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ACFA20" w14:textId="2083139B" w:rsidR="005A6356" w:rsidRPr="00514863" w:rsidRDefault="00A37F73">
      <w:pPr>
        <w:rPr>
          <w:b/>
          <w:bCs/>
          <w:sz w:val="26"/>
          <w:szCs w:val="26"/>
        </w:rPr>
      </w:pPr>
      <w:r w:rsidRPr="00514863">
        <w:rPr>
          <w:b/>
          <w:bCs/>
          <w:sz w:val="26"/>
          <w:szCs w:val="26"/>
        </w:rPr>
        <w:t>SUPPLEMENTARY INFORMATION</w:t>
      </w:r>
    </w:p>
    <w:p w14:paraId="27CB1EF7" w14:textId="670E0685" w:rsidR="00F15090" w:rsidRPr="00A37F73" w:rsidRDefault="00F15090">
      <w:pPr>
        <w:rPr>
          <w:b/>
          <w:bCs/>
        </w:rPr>
      </w:pPr>
      <w:r>
        <w:rPr>
          <w:b/>
          <w:bCs/>
        </w:rPr>
        <w:t>Sequential Extraction Procedure</w:t>
      </w:r>
      <w:r w:rsidR="00724ED1">
        <w:rPr>
          <w:b/>
          <w:bCs/>
        </w:rPr>
        <w:t xml:space="preserve"> &amp; </w:t>
      </w:r>
      <w:r>
        <w:rPr>
          <w:b/>
          <w:bCs/>
        </w:rPr>
        <w:t xml:space="preserve">ICP-MS Analysis quality control.  </w:t>
      </w:r>
    </w:p>
    <w:p w14:paraId="452616E4" w14:textId="19AFEDB8" w:rsidR="00A37F73" w:rsidRDefault="00A37F73">
      <w:r>
        <w:t xml:space="preserve">The figures below compare measured </w:t>
      </w:r>
      <w:r w:rsidR="00F15090">
        <w:t xml:space="preserve">(ICP-MS analysis; this study) </w:t>
      </w:r>
      <w:r>
        <w:t xml:space="preserve">and published metal concentrations </w:t>
      </w:r>
      <w:r w:rsidR="00F15090">
        <w:t>for</w:t>
      </w:r>
      <w:r>
        <w:t xml:space="preserve"> the leachates obtained from the BCR-701 standard.  </w:t>
      </w:r>
      <w:r w:rsidR="00F15090">
        <w:t>The different replicate samples (three in total) are indicated by different colours.</w:t>
      </w:r>
      <w:r>
        <w:t xml:space="preserve">  Published concentrations of the metals Cr, Ni, Cu, Zn, Cd and Pb (</w:t>
      </w:r>
      <w:r w:rsidR="00D63EC7">
        <w:t>Sutherland, 2010</w:t>
      </w:r>
      <w:r>
        <w:t xml:space="preserve">) are indicated by the horizontal black lines.   </w:t>
      </w:r>
      <w:r w:rsidR="00F15090">
        <w:t xml:space="preserve">Detection limits for the concentrations are indicated by the </w:t>
      </w:r>
      <w:r>
        <w:t>smaller horizontal lines</w:t>
      </w:r>
      <w:r w:rsidR="00F15090">
        <w:t xml:space="preserve"> (colour-coded</w:t>
      </w:r>
      <w:r w:rsidR="00514863">
        <w:t xml:space="preserve"> by replicate</w:t>
      </w:r>
      <w:r w:rsidR="00F15090">
        <w:t>)</w:t>
      </w:r>
      <w:r>
        <w:t>.</w:t>
      </w:r>
    </w:p>
    <w:p w14:paraId="16B6B92F" w14:textId="1A041618" w:rsidR="00724ED1" w:rsidRDefault="00724ED1"/>
    <w:p w14:paraId="6F033FB5" w14:textId="12A3BA9F" w:rsidR="00F15090" w:rsidRDefault="00F15090">
      <w:r>
        <w:t>Figure S1:</w:t>
      </w:r>
      <w:r>
        <w:tab/>
        <w:t>Step 1 (exchangeable fraction)</w:t>
      </w:r>
    </w:p>
    <w:p w14:paraId="3FCF9829" w14:textId="5480889F" w:rsidR="00A37F73" w:rsidRDefault="00A37F73">
      <w:r>
        <w:rPr>
          <w:noProof/>
        </w:rPr>
        <w:drawing>
          <wp:inline distT="0" distB="0" distL="0" distR="0" wp14:anchorId="46128C59" wp14:editId="455CFEF1">
            <wp:extent cx="4752975" cy="3329455"/>
            <wp:effectExtent l="0" t="0" r="0" b="4445"/>
            <wp:docPr id="1260611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101" cy="333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C8384" w14:textId="77777777" w:rsidR="00A37F73" w:rsidRDefault="00A37F73"/>
    <w:p w14:paraId="56417C79" w14:textId="68F59BC5" w:rsidR="00A37F73" w:rsidRDefault="00A37F73">
      <w:r>
        <w:t>Figure S2</w:t>
      </w:r>
      <w:r w:rsidR="00F15090">
        <w:t>:</w:t>
      </w:r>
      <w:r w:rsidR="00F15090">
        <w:tab/>
        <w:t>Step 2 (reducible fraction)</w:t>
      </w:r>
    </w:p>
    <w:p w14:paraId="501958F4" w14:textId="77777777" w:rsidR="00A37F73" w:rsidRDefault="00A37F73"/>
    <w:p w14:paraId="137BFC8F" w14:textId="2CA894B8" w:rsidR="00A37F73" w:rsidRDefault="00A37F73">
      <w:r>
        <w:rPr>
          <w:noProof/>
        </w:rPr>
        <w:lastRenderedPageBreak/>
        <w:drawing>
          <wp:inline distT="0" distB="0" distL="0" distR="0" wp14:anchorId="5A5E2DE9" wp14:editId="162D2434">
            <wp:extent cx="4724400" cy="3309438"/>
            <wp:effectExtent l="0" t="0" r="0" b="5715"/>
            <wp:docPr id="18761917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868" cy="331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91B7D" w14:textId="77777777" w:rsidR="00F15090" w:rsidRDefault="00F15090"/>
    <w:p w14:paraId="25530080" w14:textId="356931CA" w:rsidR="00A37F73" w:rsidRDefault="00A37F73">
      <w:r>
        <w:t>Figure S3</w:t>
      </w:r>
      <w:r w:rsidR="00F15090">
        <w:t>:</w:t>
      </w:r>
      <w:r w:rsidR="00F15090">
        <w:tab/>
        <w:t>Step 3 (oxidizable fraction)</w:t>
      </w:r>
    </w:p>
    <w:p w14:paraId="5FBFCC6D" w14:textId="0586F433" w:rsidR="00A37F73" w:rsidRDefault="00A37F73">
      <w:r>
        <w:rPr>
          <w:noProof/>
        </w:rPr>
        <w:drawing>
          <wp:inline distT="0" distB="0" distL="0" distR="0" wp14:anchorId="7226682B" wp14:editId="0D0F211C">
            <wp:extent cx="4657725" cy="3262733"/>
            <wp:effectExtent l="0" t="0" r="0" b="0"/>
            <wp:docPr id="19595814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298" cy="326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7F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F73"/>
    <w:rsid w:val="001B7CBB"/>
    <w:rsid w:val="00514863"/>
    <w:rsid w:val="005A6356"/>
    <w:rsid w:val="00724ED1"/>
    <w:rsid w:val="008B174A"/>
    <w:rsid w:val="0094613C"/>
    <w:rsid w:val="00A37F73"/>
    <w:rsid w:val="00B17CCF"/>
    <w:rsid w:val="00D63EC7"/>
    <w:rsid w:val="00F1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775A4"/>
  <w15:chartTrackingRefBased/>
  <w15:docId w15:val="{E738A445-6650-4D6F-BE33-BF3E4D5D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Nash, William</dc:creator>
  <cp:keywords/>
  <dc:description/>
  <cp:lastModifiedBy>Nash, William</cp:lastModifiedBy>
  <cp:revision>4</cp:revision>
  <dcterms:created xsi:type="dcterms:W3CDTF">2024-05-25T15:31:00Z</dcterms:created>
  <dcterms:modified xsi:type="dcterms:W3CDTF">2024-05-25T16:44:00Z</dcterms:modified>
</cp:coreProperties>
</file>