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059322" w14:textId="77777777" w:rsidR="00E67BAE" w:rsidRPr="0015784C" w:rsidRDefault="00E67BAE" w:rsidP="00E67BAE">
      <w:pPr>
        <w:jc w:val="center"/>
        <w:rPr>
          <w:rFonts w:ascii="Arial" w:eastAsia="Times New Roman" w:hAnsi="Arial" w:cs="Arial"/>
          <w:b/>
          <w:bCs/>
          <w:sz w:val="32"/>
          <w:szCs w:val="32"/>
          <w:shd w:val="clear" w:color="auto" w:fill="FFFFFF"/>
          <w:lang w:eastAsia="en-GB"/>
        </w:rPr>
      </w:pPr>
      <w:r w:rsidRPr="0015784C">
        <w:rPr>
          <w:rFonts w:ascii="Arial" w:eastAsia="Times New Roman" w:hAnsi="Arial" w:cs="Arial"/>
          <w:b/>
          <w:bCs/>
          <w:sz w:val="32"/>
          <w:szCs w:val="32"/>
          <w:shd w:val="clear" w:color="auto" w:fill="FFFFFF"/>
          <w:lang w:eastAsia="en-GB"/>
        </w:rPr>
        <w:t>APPENDICES</w:t>
      </w:r>
    </w:p>
    <w:p w14:paraId="37EA6841" w14:textId="77777777" w:rsidR="00E67BAE" w:rsidRPr="0015784C" w:rsidRDefault="00E67BAE" w:rsidP="00E67BAE">
      <w:pPr>
        <w:rPr>
          <w:rFonts w:ascii="Arial" w:eastAsia="Times New Roman" w:hAnsi="Arial" w:cs="Arial"/>
          <w:b/>
          <w:bCs/>
          <w:sz w:val="32"/>
          <w:szCs w:val="32"/>
          <w:shd w:val="clear" w:color="auto" w:fill="FFFFFF"/>
          <w:lang w:eastAsia="en-GB"/>
        </w:rPr>
      </w:pPr>
      <w:r w:rsidRPr="0015784C">
        <w:rPr>
          <w:rFonts w:ascii="Arial" w:eastAsia="Times New Roman" w:hAnsi="Arial" w:cs="Arial"/>
          <w:b/>
          <w:bCs/>
          <w:szCs w:val="22"/>
          <w:shd w:val="clear" w:color="auto" w:fill="FFFFFF"/>
          <w:lang w:eastAsia="en-GB"/>
        </w:rPr>
        <w:t>Appendix 1</w:t>
      </w:r>
    </w:p>
    <w:p w14:paraId="36AE447B" w14:textId="77777777" w:rsidR="00E67BAE" w:rsidRPr="00405CA6" w:rsidRDefault="00E67BAE" w:rsidP="00E67BAE">
      <w:pPr>
        <w:rPr>
          <w:rFonts w:ascii="Arial" w:eastAsia="Times New Roman" w:hAnsi="Arial" w:cs="Arial"/>
          <w:b/>
          <w:bCs/>
          <w:color w:val="555555"/>
          <w:sz w:val="32"/>
          <w:szCs w:val="32"/>
          <w:shd w:val="clear" w:color="auto" w:fill="FFFFFF"/>
          <w:lang w:eastAsia="en-GB"/>
        </w:rPr>
      </w:pPr>
      <w:r w:rsidRPr="00405CA6">
        <w:rPr>
          <w:rFonts w:ascii="Arial" w:eastAsia="Times New Roman" w:hAnsi="Arial" w:cs="Arial"/>
          <w:color w:val="555555"/>
          <w:szCs w:val="22"/>
          <w:shd w:val="clear" w:color="auto" w:fill="FFFFFF"/>
          <w:lang w:eastAsia="en-GB"/>
        </w:rPr>
        <w:t>AGREE-II scores for 2019 NICE Guideline- NG145 Thyroid Disease: Assessment and Management</w:t>
      </w:r>
    </w:p>
    <w:tbl>
      <w:tblPr>
        <w:tblStyle w:val="GridTable5Dark-Accent5"/>
        <w:tblW w:w="9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49"/>
        <w:gridCol w:w="1225"/>
        <w:gridCol w:w="101"/>
        <w:gridCol w:w="1124"/>
        <w:gridCol w:w="533"/>
        <w:gridCol w:w="693"/>
        <w:gridCol w:w="867"/>
        <w:gridCol w:w="358"/>
        <w:gridCol w:w="404"/>
        <w:gridCol w:w="822"/>
      </w:tblGrid>
      <w:tr w:rsidR="00E67BAE" w:rsidRPr="00405CA6" w14:paraId="23690B91" w14:textId="77777777" w:rsidTr="00E67BA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F9ED5" w:themeFill="accent4"/>
            <w:vAlign w:val="center"/>
          </w:tcPr>
          <w:p w14:paraId="5685E55E" w14:textId="77777777" w:rsidR="00E67BAE" w:rsidRPr="00405CA6" w:rsidRDefault="00E67BAE" w:rsidP="008E15AB">
            <w:pPr>
              <w:jc w:val="center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Domains and Items</w:t>
            </w:r>
          </w:p>
        </w:tc>
        <w:tc>
          <w:tcPr>
            <w:tcW w:w="6127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0F9ED5" w:themeFill="accent4"/>
            <w:vAlign w:val="center"/>
          </w:tcPr>
          <w:p w14:paraId="69BD3A50" w14:textId="77777777" w:rsidR="00E67BAE" w:rsidRPr="00405CA6" w:rsidRDefault="00E67BAE" w:rsidP="008E15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Score</w:t>
            </w:r>
          </w:p>
          <w:p w14:paraId="1B72EFDF" w14:textId="77777777" w:rsidR="00E67BAE" w:rsidRPr="00405CA6" w:rsidRDefault="00E67BAE" w:rsidP="008E15A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1</w:t>
            </w:r>
            <w:r w:rsidRPr="00405CA6">
              <w:rPr>
                <w:rFonts w:ascii="Arial" w:hAnsi="Arial" w:cs="Arial"/>
                <w:b w:val="0"/>
                <w:bCs w:val="0"/>
                <w:szCs w:val="22"/>
              </w:rPr>
              <w:t xml:space="preserve">= Strongly Disagree - </w:t>
            </w:r>
            <w:r w:rsidRPr="00405CA6">
              <w:rPr>
                <w:rFonts w:ascii="Arial" w:hAnsi="Arial" w:cs="Arial"/>
                <w:szCs w:val="22"/>
              </w:rPr>
              <w:t>7</w:t>
            </w:r>
            <w:r w:rsidRPr="00405CA6">
              <w:rPr>
                <w:rFonts w:ascii="Arial" w:hAnsi="Arial" w:cs="Arial"/>
                <w:b w:val="0"/>
                <w:bCs w:val="0"/>
                <w:szCs w:val="22"/>
              </w:rPr>
              <w:t>=Strongly Agree</w:t>
            </w:r>
          </w:p>
        </w:tc>
      </w:tr>
      <w:tr w:rsidR="00E67BAE" w:rsidRPr="00405CA6" w14:paraId="70E660A4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0FED6D14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</w:p>
        </w:tc>
        <w:tc>
          <w:tcPr>
            <w:tcW w:w="1225" w:type="dxa"/>
            <w:tcBorders>
              <w:bottom w:val="nil"/>
            </w:tcBorders>
            <w:shd w:val="clear" w:color="auto" w:fill="A5C9EB" w:themeFill="text2" w:themeFillTint="40"/>
            <w:vAlign w:val="center"/>
          </w:tcPr>
          <w:p w14:paraId="227E62F9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Appraiser 1</w:t>
            </w:r>
          </w:p>
        </w:tc>
        <w:tc>
          <w:tcPr>
            <w:tcW w:w="1225" w:type="dxa"/>
            <w:gridSpan w:val="2"/>
            <w:tcBorders>
              <w:bottom w:val="nil"/>
            </w:tcBorders>
            <w:shd w:val="clear" w:color="auto" w:fill="A5C9EB" w:themeFill="text2" w:themeFillTint="40"/>
            <w:vAlign w:val="center"/>
          </w:tcPr>
          <w:p w14:paraId="65A7A19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Appraiser 2</w:t>
            </w:r>
          </w:p>
        </w:tc>
        <w:tc>
          <w:tcPr>
            <w:tcW w:w="1226" w:type="dxa"/>
            <w:gridSpan w:val="2"/>
            <w:tcBorders>
              <w:bottom w:val="nil"/>
            </w:tcBorders>
            <w:shd w:val="clear" w:color="auto" w:fill="A5C9EB" w:themeFill="text2" w:themeFillTint="40"/>
            <w:vAlign w:val="center"/>
          </w:tcPr>
          <w:p w14:paraId="6AEF8528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Appraiser 3</w:t>
            </w:r>
          </w:p>
        </w:tc>
        <w:tc>
          <w:tcPr>
            <w:tcW w:w="1225" w:type="dxa"/>
            <w:gridSpan w:val="2"/>
            <w:tcBorders>
              <w:bottom w:val="nil"/>
            </w:tcBorders>
            <w:shd w:val="clear" w:color="auto" w:fill="A5C9EB" w:themeFill="text2" w:themeFillTint="40"/>
            <w:vAlign w:val="center"/>
          </w:tcPr>
          <w:p w14:paraId="01D4452C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Appraiser 4</w:t>
            </w:r>
          </w:p>
        </w:tc>
        <w:tc>
          <w:tcPr>
            <w:tcW w:w="1226" w:type="dxa"/>
            <w:gridSpan w:val="2"/>
            <w:tcBorders>
              <w:bottom w:val="nil"/>
            </w:tcBorders>
            <w:shd w:val="clear" w:color="auto" w:fill="E8E8E8" w:themeFill="background2"/>
            <w:vAlign w:val="center"/>
          </w:tcPr>
          <w:p w14:paraId="476E635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Total</w:t>
            </w:r>
          </w:p>
        </w:tc>
      </w:tr>
      <w:tr w:rsidR="00E67BAE" w:rsidRPr="00405CA6" w14:paraId="63B284DB" w14:textId="77777777" w:rsidTr="00E67BAE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15E99" w:themeFill="text2" w:themeFillTint="BF"/>
          </w:tcPr>
          <w:p w14:paraId="51166877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Domain 1: Scope and Purpose</w:t>
            </w:r>
          </w:p>
        </w:tc>
      </w:tr>
      <w:tr w:rsidR="00E67BAE" w:rsidRPr="00405CA6" w14:paraId="7896C9BB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top w:val="single" w:sz="4" w:space="0" w:color="auto"/>
              <w:left w:val="single" w:sz="4" w:space="0" w:color="auto"/>
            </w:tcBorders>
            <w:shd w:val="clear" w:color="auto" w:fill="0F9ED5" w:themeFill="accent4"/>
          </w:tcPr>
          <w:p w14:paraId="529FA76A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 xml:space="preserve">Item 1: </w:t>
            </w:r>
            <w:r w:rsidRPr="00405CA6">
              <w:rPr>
                <w:rFonts w:ascii="Arial" w:hAnsi="Arial" w:cs="Arial"/>
                <w:b w:val="0"/>
                <w:bCs w:val="0"/>
              </w:rPr>
              <w:t>The overall objective(s) of the guideline is (are) specifically described.</w:t>
            </w:r>
          </w:p>
        </w:tc>
        <w:tc>
          <w:tcPr>
            <w:tcW w:w="1225" w:type="dxa"/>
            <w:tcBorders>
              <w:top w:val="nil"/>
            </w:tcBorders>
            <w:shd w:val="clear" w:color="auto" w:fill="BDD6EE"/>
            <w:vAlign w:val="center"/>
          </w:tcPr>
          <w:p w14:paraId="51E66FE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tcBorders>
              <w:top w:val="nil"/>
            </w:tcBorders>
            <w:shd w:val="clear" w:color="auto" w:fill="BDD6EE"/>
            <w:vAlign w:val="center"/>
          </w:tcPr>
          <w:p w14:paraId="105F4444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tcBorders>
              <w:top w:val="nil"/>
            </w:tcBorders>
            <w:shd w:val="clear" w:color="auto" w:fill="BDD6EE"/>
            <w:vAlign w:val="center"/>
          </w:tcPr>
          <w:p w14:paraId="31CA8E4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tcBorders>
              <w:top w:val="nil"/>
            </w:tcBorders>
            <w:shd w:val="clear" w:color="auto" w:fill="BDD6EE"/>
            <w:vAlign w:val="center"/>
          </w:tcPr>
          <w:p w14:paraId="42C17F74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tcBorders>
              <w:top w:val="nil"/>
            </w:tcBorders>
            <w:shd w:val="clear" w:color="auto" w:fill="E8E8E8" w:themeFill="background2"/>
            <w:vAlign w:val="center"/>
          </w:tcPr>
          <w:p w14:paraId="1443656D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666BBDCC" w14:textId="77777777" w:rsidTr="00E67BAE">
        <w:trPr>
          <w:trHeight w:val="10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</w:tcPr>
          <w:p w14:paraId="4BC6018B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2: </w:t>
            </w:r>
            <w:r w:rsidRPr="00405CA6">
              <w:rPr>
                <w:rFonts w:ascii="Arial" w:hAnsi="Arial" w:cs="Arial"/>
                <w:b w:val="0"/>
                <w:bCs w:val="0"/>
              </w:rPr>
              <w:t>The health question(s) covered by the guideline is (are) specifically described.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0636200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577103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23B61B39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1C3F1C3F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3C2B5BC1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7B94382E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</w:tcPr>
          <w:p w14:paraId="4E5D2E46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3: </w:t>
            </w:r>
            <w:r w:rsidRPr="00405CA6">
              <w:rPr>
                <w:rFonts w:ascii="Arial" w:hAnsi="Arial" w:cs="Arial"/>
                <w:b w:val="0"/>
                <w:bCs w:val="0"/>
              </w:rPr>
              <w:t>The population (patients, public, etc.) to whom the guideline is meant to apply is specifically described.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67C5143C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EA635B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196760E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2DFC88C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C192459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26</w:t>
            </w:r>
          </w:p>
        </w:tc>
      </w:tr>
      <w:tr w:rsidR="00E67BAE" w:rsidRPr="00405CA6" w14:paraId="005FF224" w14:textId="77777777" w:rsidTr="008E15AB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03C325A" w14:textId="77777777" w:rsidR="00E67BAE" w:rsidRPr="00405CA6" w:rsidRDefault="00E67BAE" w:rsidP="008E15AB">
            <w:pPr>
              <w:rPr>
                <w:rFonts w:ascii="Arial" w:hAnsi="Arial" w:cs="Arial"/>
                <w:color w:val="auto"/>
                <w:szCs w:val="22"/>
              </w:rPr>
            </w:pPr>
            <w:r w:rsidRPr="00405CA6">
              <w:rPr>
                <w:rFonts w:ascii="Arial" w:hAnsi="Arial" w:cs="Arial"/>
                <w:color w:val="auto"/>
                <w:szCs w:val="22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20646111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21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45EC8FC2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19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1F53F1C0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20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726E184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20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04A6719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80</w:t>
            </w:r>
          </w:p>
        </w:tc>
      </w:tr>
      <w:tr w:rsidR="00E67BAE" w:rsidRPr="00405CA6" w14:paraId="3AC7ABD1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7BD90B78" w14:textId="77777777" w:rsidR="00E67BAE" w:rsidRPr="00405CA6" w:rsidRDefault="00E67BAE" w:rsidP="008E15AB">
            <w:pPr>
              <w:rPr>
                <w:rFonts w:ascii="Arial" w:hAnsi="Arial" w:cs="Arial"/>
                <w:color w:val="auto"/>
                <w:szCs w:val="22"/>
              </w:rPr>
            </w:pPr>
            <w:r w:rsidRPr="00405CA6">
              <w:rPr>
                <w:rFonts w:ascii="Arial" w:hAnsi="Arial" w:cs="Arial"/>
                <w:color w:val="auto"/>
                <w:szCs w:val="22"/>
              </w:rPr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5099E3D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95.2%</w:t>
            </w:r>
          </w:p>
        </w:tc>
      </w:tr>
      <w:tr w:rsidR="00E67BAE" w:rsidRPr="00405CA6" w14:paraId="2D207870" w14:textId="77777777" w:rsidTr="00E67BAE">
        <w:trPr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  <w:bottom w:val="single" w:sz="4" w:space="0" w:color="auto"/>
            </w:tcBorders>
            <w:shd w:val="clear" w:color="auto" w:fill="215E99" w:themeFill="text2" w:themeFillTint="BF"/>
            <w:vAlign w:val="center"/>
          </w:tcPr>
          <w:p w14:paraId="1917478C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Domain 2: Stakeholder involvement</w:t>
            </w:r>
          </w:p>
        </w:tc>
      </w:tr>
      <w:tr w:rsidR="00E67BAE" w:rsidRPr="00405CA6" w14:paraId="6D95FA46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9ED5" w:themeFill="accent4"/>
          </w:tcPr>
          <w:p w14:paraId="51B92B77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4: </w:t>
            </w:r>
            <w:r w:rsidRPr="00405CA6">
              <w:rPr>
                <w:rFonts w:ascii="Arial" w:hAnsi="Arial" w:cs="Arial"/>
                <w:b w:val="0"/>
                <w:bCs w:val="0"/>
              </w:rPr>
              <w:t>The guideline development group includes individuals from all relevant professional groups.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47C558B6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8E907D8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1EDEDF7C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7304ED1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34C9FA9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26</w:t>
            </w:r>
          </w:p>
        </w:tc>
      </w:tr>
      <w:tr w:rsidR="00E67BAE" w:rsidRPr="00405CA6" w14:paraId="2093EA07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9ED5" w:themeFill="accent4"/>
          </w:tcPr>
          <w:p w14:paraId="2DAF2E24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5: </w:t>
            </w:r>
            <w:r w:rsidRPr="00405CA6">
              <w:rPr>
                <w:rFonts w:ascii="Arial" w:hAnsi="Arial" w:cs="Arial"/>
                <w:b w:val="0"/>
                <w:bCs w:val="0"/>
              </w:rPr>
              <w:t>The views and preferences of the target population (patients, public, etc.) have been sought.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3489E55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292FC7F2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29164F21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7E67203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3EB0D2C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18</w:t>
            </w:r>
          </w:p>
        </w:tc>
      </w:tr>
      <w:tr w:rsidR="00E67BAE" w:rsidRPr="00405CA6" w14:paraId="47428CE5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9ED5" w:themeFill="accent4"/>
          </w:tcPr>
          <w:p w14:paraId="6585C311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6: </w:t>
            </w:r>
            <w:r w:rsidRPr="00405CA6">
              <w:rPr>
                <w:rFonts w:ascii="Arial" w:hAnsi="Arial" w:cs="Arial"/>
                <w:b w:val="0"/>
                <w:bCs w:val="0"/>
              </w:rPr>
              <w:t>The target users of the guideline are clearly defined.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579949AD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2EAC5E4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25A9508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B837EF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2EA9E85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23</w:t>
            </w:r>
          </w:p>
        </w:tc>
      </w:tr>
      <w:tr w:rsidR="00E67BAE" w:rsidRPr="00405CA6" w14:paraId="7A499A78" w14:textId="77777777" w:rsidTr="008E15AB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E8E8E8" w:themeFill="background2"/>
            <w:vAlign w:val="center"/>
          </w:tcPr>
          <w:p w14:paraId="5F2417BD" w14:textId="77777777" w:rsidR="00E67BAE" w:rsidRPr="00405CA6" w:rsidRDefault="00E67BAE" w:rsidP="008E15AB">
            <w:pPr>
              <w:rPr>
                <w:rFonts w:ascii="Arial" w:hAnsi="Arial" w:cs="Arial"/>
                <w:color w:val="auto"/>
                <w:szCs w:val="22"/>
              </w:rPr>
            </w:pPr>
            <w:r w:rsidRPr="00405CA6">
              <w:rPr>
                <w:rFonts w:ascii="Arial" w:hAnsi="Arial" w:cs="Arial"/>
                <w:color w:val="auto"/>
                <w:szCs w:val="22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06AF92BE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18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189D37C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62717BF9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17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36ADDF8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7649F8C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67</w:t>
            </w:r>
          </w:p>
        </w:tc>
      </w:tr>
      <w:tr w:rsidR="00E67BAE" w:rsidRPr="00405CA6" w14:paraId="1EB4818C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74B7DAE9" w14:textId="77777777" w:rsidR="00E67BAE" w:rsidRPr="00405CA6" w:rsidRDefault="00E67BAE" w:rsidP="008E15AB">
            <w:pPr>
              <w:rPr>
                <w:rFonts w:ascii="Arial" w:hAnsi="Arial" w:cs="Arial"/>
                <w:color w:val="auto"/>
                <w:szCs w:val="22"/>
              </w:rPr>
            </w:pPr>
            <w:r w:rsidRPr="00405CA6">
              <w:rPr>
                <w:rFonts w:ascii="Arial" w:hAnsi="Arial" w:cs="Arial"/>
                <w:color w:val="auto"/>
                <w:szCs w:val="22"/>
              </w:rPr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4C561D7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79.8%</w:t>
            </w:r>
          </w:p>
        </w:tc>
      </w:tr>
      <w:tr w:rsidR="00E67BAE" w:rsidRPr="00405CA6" w14:paraId="15E93F5B" w14:textId="77777777" w:rsidTr="00E67BAE">
        <w:trPr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</w:tcBorders>
            <w:shd w:val="clear" w:color="auto" w:fill="215E99" w:themeFill="text2" w:themeFillTint="BF"/>
            <w:vAlign w:val="center"/>
          </w:tcPr>
          <w:p w14:paraId="0DDA9741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  <w:szCs w:val="22"/>
              </w:rPr>
              <w:t>Domain 3: Rigour of Development</w:t>
            </w:r>
          </w:p>
        </w:tc>
      </w:tr>
      <w:tr w:rsidR="00E67BAE" w:rsidRPr="00405CA6" w14:paraId="06A5AF72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30303604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7: </w:t>
            </w:r>
            <w:r w:rsidRPr="00405CA6">
              <w:rPr>
                <w:rFonts w:ascii="Arial" w:hAnsi="Arial" w:cs="Arial"/>
                <w:b w:val="0"/>
                <w:bCs w:val="0"/>
              </w:rPr>
              <w:t>Systematic methods were used to search for evidence.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4494F48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21756D9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30F9A9B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4F1DC3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7D998C3B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076A7372" w14:textId="77777777" w:rsidTr="00E67BAE">
        <w:trPr>
          <w:trHeight w:val="7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1D484D35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8: </w:t>
            </w:r>
            <w:r w:rsidRPr="00405CA6">
              <w:rPr>
                <w:rFonts w:ascii="Arial" w:hAnsi="Arial" w:cs="Arial"/>
                <w:b w:val="0"/>
                <w:bCs w:val="0"/>
              </w:rPr>
              <w:t>The criteria for selecting the evidence are clearly described.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79C6A4D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4AEF452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56DFBF63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0BE0B62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75C7A74F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25</w:t>
            </w:r>
          </w:p>
        </w:tc>
      </w:tr>
      <w:tr w:rsidR="00E67BAE" w:rsidRPr="00405CA6" w14:paraId="259B4082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19DB85B4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9: </w:t>
            </w:r>
            <w:r w:rsidRPr="00405CA6">
              <w:rPr>
                <w:rFonts w:ascii="Arial" w:hAnsi="Arial" w:cs="Arial"/>
                <w:b w:val="0"/>
                <w:bCs w:val="0"/>
              </w:rPr>
              <w:t>The strengths and limitations of the body of evidence are clearly described.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15A5011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62799C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68428F7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C8719A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5F00FC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26</w:t>
            </w:r>
          </w:p>
        </w:tc>
      </w:tr>
      <w:tr w:rsidR="00E67BAE" w:rsidRPr="00405CA6" w14:paraId="4EF437FB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50067991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lastRenderedPageBreak/>
              <w:t xml:space="preserve">Item 10: </w:t>
            </w:r>
            <w:r w:rsidRPr="00405CA6">
              <w:rPr>
                <w:rFonts w:ascii="Arial" w:hAnsi="Arial" w:cs="Arial"/>
                <w:b w:val="0"/>
                <w:bCs w:val="0"/>
              </w:rPr>
              <w:t>The methods for formulating the recommendations are clearly described.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23728E50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CCA565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795F728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DB9183B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20E3670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24</w:t>
            </w:r>
          </w:p>
        </w:tc>
      </w:tr>
      <w:tr w:rsidR="00E67BAE" w:rsidRPr="00405CA6" w14:paraId="36561B84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0A147A1E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11: </w:t>
            </w:r>
            <w:r w:rsidRPr="00405CA6">
              <w:rPr>
                <w:rFonts w:ascii="Arial" w:hAnsi="Arial" w:cs="Arial"/>
                <w:b w:val="0"/>
                <w:bCs w:val="0"/>
              </w:rPr>
              <w:t>The health benefits, side effects, and risks have been considered in formulating the recommendations.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4E9D93E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E3F2DC8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28CBFB9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3480AB7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73E2674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24</w:t>
            </w:r>
          </w:p>
        </w:tc>
      </w:tr>
      <w:tr w:rsidR="00E67BAE" w:rsidRPr="00405CA6" w14:paraId="28E78401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206A5598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 xml:space="preserve">Item 12: </w:t>
            </w:r>
            <w:r w:rsidRPr="00405CA6">
              <w:rPr>
                <w:rFonts w:ascii="Arial" w:hAnsi="Arial" w:cs="Arial"/>
                <w:b w:val="0"/>
                <w:bCs w:val="0"/>
              </w:rPr>
              <w:t>There is an explicit link between the recommendations and the supporting evidence.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2A627C5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1F49D4F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6E7B4DF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B6AAE7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16B495E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24</w:t>
            </w:r>
          </w:p>
        </w:tc>
      </w:tr>
      <w:tr w:rsidR="00E67BAE" w:rsidRPr="00405CA6" w14:paraId="6A455ECA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54BFDFF9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13: </w:t>
            </w:r>
            <w:r w:rsidRPr="00405CA6">
              <w:rPr>
                <w:rFonts w:ascii="Arial" w:hAnsi="Arial" w:cs="Arial"/>
                <w:b w:val="0"/>
                <w:bCs w:val="0"/>
              </w:rPr>
              <w:t>The guideline has been externally reviewed by experts prior to its publication.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6000237B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05DFF3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311509D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F28738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1DE4B6CB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20</w:t>
            </w:r>
          </w:p>
        </w:tc>
      </w:tr>
      <w:tr w:rsidR="00E67BAE" w:rsidRPr="00405CA6" w14:paraId="7CF875C0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02524B72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14: </w:t>
            </w:r>
            <w:r w:rsidRPr="00405CA6">
              <w:rPr>
                <w:rFonts w:ascii="Arial" w:hAnsi="Arial" w:cs="Arial"/>
                <w:b w:val="0"/>
                <w:bCs w:val="0"/>
              </w:rPr>
              <w:t>A procedure for updating the guideline is provided.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2A2502A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8E3508E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7396358B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4910D2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2BB2948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26</w:t>
            </w:r>
          </w:p>
        </w:tc>
      </w:tr>
      <w:tr w:rsidR="00E67BAE" w:rsidRPr="00405CA6" w14:paraId="251C4C2C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2CA32DF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020E730D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48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7F606B9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310DB1EB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52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756F583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49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4B9819A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196</w:t>
            </w:r>
          </w:p>
        </w:tc>
      </w:tr>
      <w:tr w:rsidR="00E67BAE" w:rsidRPr="00405CA6" w14:paraId="03FD8CE4" w14:textId="77777777" w:rsidTr="008E15AB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49A2F22D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0B31790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87.5%</w:t>
            </w:r>
          </w:p>
        </w:tc>
      </w:tr>
      <w:tr w:rsidR="00E67BAE" w:rsidRPr="00405CA6" w14:paraId="370C0DCD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</w:tcBorders>
            <w:shd w:val="clear" w:color="auto" w:fill="215E99" w:themeFill="text2" w:themeFillTint="BF"/>
            <w:vAlign w:val="center"/>
          </w:tcPr>
          <w:p w14:paraId="3112BDE7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>Domain 4: Clarity of Presentation</w:t>
            </w:r>
          </w:p>
        </w:tc>
      </w:tr>
      <w:tr w:rsidR="00E67BAE" w:rsidRPr="00405CA6" w14:paraId="608CD5C6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647A44DE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15: </w:t>
            </w:r>
            <w:r w:rsidRPr="00405CA6">
              <w:rPr>
                <w:rFonts w:ascii="Arial" w:hAnsi="Arial" w:cs="Arial"/>
                <w:b w:val="0"/>
                <w:bCs w:val="0"/>
              </w:rPr>
              <w:t>The recommendations are specific and unambiguous.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41B0D8DB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387C2C1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0EB442BA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3470A14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5FE7F41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28</w:t>
            </w:r>
          </w:p>
        </w:tc>
      </w:tr>
      <w:tr w:rsidR="00E67BAE" w:rsidRPr="00405CA6" w14:paraId="7327FBF8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15F1F396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16: </w:t>
            </w:r>
            <w:r w:rsidRPr="00405CA6">
              <w:rPr>
                <w:rFonts w:ascii="Arial" w:hAnsi="Arial" w:cs="Arial"/>
                <w:b w:val="0"/>
                <w:bCs w:val="0"/>
              </w:rPr>
              <w:t>The different options for management of the condition or health issue are clearly presented.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7E1A6F1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725E9D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6489381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F3AD4A0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0EFBF66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44E91D9B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5FFA4849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17: </w:t>
            </w:r>
            <w:r w:rsidRPr="00405CA6">
              <w:rPr>
                <w:rFonts w:ascii="Arial" w:hAnsi="Arial" w:cs="Arial"/>
                <w:b w:val="0"/>
                <w:bCs w:val="0"/>
              </w:rPr>
              <w:t>Key recommendations are easily identifiable.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1FB407A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895E05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08CD3C0F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4485D0FC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5CAF1C9A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28</w:t>
            </w:r>
          </w:p>
        </w:tc>
      </w:tr>
      <w:tr w:rsidR="00E67BAE" w:rsidRPr="00405CA6" w14:paraId="79A6A4D7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3E219F19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2AE1491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21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1FBEBED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20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73AD229D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21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5415C450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21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621924D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83</w:t>
            </w:r>
          </w:p>
        </w:tc>
      </w:tr>
      <w:tr w:rsidR="00E67BAE" w:rsidRPr="00405CA6" w14:paraId="37EF1BD5" w14:textId="77777777" w:rsidTr="008E15AB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90EC56B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16B85059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98.8%</w:t>
            </w:r>
          </w:p>
        </w:tc>
      </w:tr>
      <w:tr w:rsidR="00E67BAE" w:rsidRPr="00405CA6" w14:paraId="347BCE73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</w:tcBorders>
            <w:shd w:val="clear" w:color="auto" w:fill="215E99" w:themeFill="text2" w:themeFillTint="BF"/>
            <w:vAlign w:val="center"/>
          </w:tcPr>
          <w:p w14:paraId="6B0B8861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>Domain 5: Applicability</w:t>
            </w:r>
          </w:p>
        </w:tc>
      </w:tr>
      <w:tr w:rsidR="00E67BAE" w:rsidRPr="00405CA6" w14:paraId="4B846796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0CABEA1F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18: </w:t>
            </w:r>
            <w:r w:rsidRPr="00405CA6">
              <w:rPr>
                <w:rFonts w:ascii="Arial" w:hAnsi="Arial" w:cs="Arial"/>
                <w:b w:val="0"/>
                <w:bCs w:val="0"/>
              </w:rPr>
              <w:t>The guideline describes facilitators and barriers to its application.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3A4160A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925EC1D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3EE001A2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3</w:t>
            </w: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shd w:val="clear" w:color="auto" w:fill="BDD6EE"/>
            <w:vAlign w:val="center"/>
          </w:tcPr>
          <w:p w14:paraId="32AB6950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3</w:t>
            </w: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74F3E42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12</w:t>
            </w:r>
          </w:p>
        </w:tc>
      </w:tr>
      <w:tr w:rsidR="00E67BAE" w:rsidRPr="00405CA6" w14:paraId="34624AF2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3186C0FB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19: </w:t>
            </w:r>
            <w:r w:rsidRPr="00405CA6">
              <w:rPr>
                <w:rFonts w:ascii="Arial" w:hAnsi="Arial" w:cs="Arial"/>
                <w:b w:val="0"/>
                <w:bCs w:val="0"/>
              </w:rPr>
              <w:t>The guideline provides advice and/or tools on how the recommendations can be put into practice.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19A62EB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175AA136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3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0AE744BA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3</w:t>
            </w: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shd w:val="clear" w:color="auto" w:fill="BDD6EE"/>
            <w:vAlign w:val="center"/>
          </w:tcPr>
          <w:p w14:paraId="6544383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4</w:t>
            </w: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52D42A4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14</w:t>
            </w:r>
          </w:p>
        </w:tc>
      </w:tr>
      <w:tr w:rsidR="00E67BAE" w:rsidRPr="00405CA6" w14:paraId="7127FF67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39E1F6B0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20: </w:t>
            </w:r>
            <w:r w:rsidRPr="00405CA6">
              <w:rPr>
                <w:rFonts w:ascii="Arial" w:hAnsi="Arial" w:cs="Arial"/>
                <w:b w:val="0"/>
                <w:bCs w:val="0"/>
              </w:rPr>
              <w:t>The potential resource implications of</w:t>
            </w:r>
            <w:r w:rsidRPr="00405CA6">
              <w:rPr>
                <w:rFonts w:ascii="Arial" w:hAnsi="Arial" w:cs="Arial"/>
              </w:rPr>
              <w:t xml:space="preserve"> </w:t>
            </w:r>
            <w:r w:rsidRPr="00405CA6">
              <w:rPr>
                <w:rFonts w:ascii="Arial" w:hAnsi="Arial" w:cs="Arial"/>
                <w:b w:val="0"/>
                <w:bCs w:val="0"/>
              </w:rPr>
              <w:t>applying the recommendations have been considered.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2CC1906F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18CECBA4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506719D6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shd w:val="clear" w:color="auto" w:fill="BDD6EE"/>
            <w:vAlign w:val="center"/>
          </w:tcPr>
          <w:p w14:paraId="1E56F69E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93FD701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23</w:t>
            </w:r>
          </w:p>
        </w:tc>
      </w:tr>
      <w:tr w:rsidR="00E67BAE" w:rsidRPr="00405CA6" w14:paraId="5F9486FF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267DFB8B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21: </w:t>
            </w:r>
            <w:r w:rsidRPr="00405CA6">
              <w:rPr>
                <w:rFonts w:ascii="Arial" w:hAnsi="Arial" w:cs="Arial"/>
                <w:b w:val="0"/>
                <w:bCs w:val="0"/>
              </w:rPr>
              <w:t>The guideline presents monitoring and/or auditing criteria.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4A27D75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757D084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58B2BC2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shd w:val="clear" w:color="auto" w:fill="BDD6EE"/>
            <w:vAlign w:val="center"/>
          </w:tcPr>
          <w:p w14:paraId="5BE8AE22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86D2E43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21</w:t>
            </w:r>
          </w:p>
        </w:tc>
      </w:tr>
      <w:tr w:rsidR="00E67BAE" w:rsidRPr="00405CA6" w14:paraId="720DD89A" w14:textId="77777777" w:rsidTr="008E15AB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00BC97D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3F3DACFB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19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3C21FA9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15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7E9751C9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17</w:t>
            </w:r>
          </w:p>
        </w:tc>
        <w:tc>
          <w:tcPr>
            <w:tcW w:w="1225" w:type="dxa"/>
            <w:gridSpan w:val="2"/>
            <w:tcBorders>
              <w:right w:val="single" w:sz="4" w:space="0" w:color="auto"/>
            </w:tcBorders>
            <w:shd w:val="clear" w:color="auto" w:fill="E8E8E8" w:themeFill="background2"/>
            <w:vAlign w:val="center"/>
          </w:tcPr>
          <w:p w14:paraId="0E29918C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19</w:t>
            </w:r>
          </w:p>
        </w:tc>
        <w:tc>
          <w:tcPr>
            <w:tcW w:w="1226" w:type="dxa"/>
            <w:gridSpan w:val="2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6BC14F5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70</w:t>
            </w:r>
          </w:p>
        </w:tc>
      </w:tr>
      <w:tr w:rsidR="00E67BAE" w:rsidRPr="00405CA6" w14:paraId="42B89286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183B930B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lastRenderedPageBreak/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4084D3A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62.5%</w:t>
            </w:r>
          </w:p>
        </w:tc>
      </w:tr>
      <w:tr w:rsidR="00E67BAE" w:rsidRPr="00405CA6" w14:paraId="6B2EB9DF" w14:textId="77777777" w:rsidTr="00E67BAE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</w:tcBorders>
            <w:shd w:val="clear" w:color="auto" w:fill="215E99" w:themeFill="text2" w:themeFillTint="BF"/>
            <w:vAlign w:val="center"/>
          </w:tcPr>
          <w:p w14:paraId="3DD9E4E3" w14:textId="77777777" w:rsidR="00E67BAE" w:rsidRPr="00405CA6" w:rsidRDefault="00E67BAE" w:rsidP="008E15AB">
            <w:pPr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>Domain 6: Editorial Independence</w:t>
            </w:r>
          </w:p>
        </w:tc>
      </w:tr>
      <w:tr w:rsidR="00E67BAE" w:rsidRPr="00405CA6" w14:paraId="1F013351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7A9D7EF1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22: </w:t>
            </w:r>
            <w:r w:rsidRPr="00405CA6">
              <w:rPr>
                <w:rFonts w:ascii="Arial" w:hAnsi="Arial" w:cs="Arial"/>
                <w:b w:val="0"/>
                <w:bCs w:val="0"/>
              </w:rPr>
              <w:t>The views of the funding body have not influenced the content of the guideline.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071BE92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54CC2B8C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37AF8469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63776EDC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77E4C908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09D040FC" w14:textId="77777777" w:rsidTr="00E67BAE">
        <w:trPr>
          <w:trHeight w:val="10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0C1A6433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</w:rPr>
              <w:t xml:space="preserve">Item 23: </w:t>
            </w:r>
            <w:r w:rsidRPr="00405CA6">
              <w:rPr>
                <w:rFonts w:ascii="Arial" w:hAnsi="Arial" w:cs="Arial"/>
                <w:b w:val="0"/>
                <w:bCs w:val="0"/>
              </w:rPr>
              <w:t>Competing interests of guideline development group members have been recorded and addressed.</w:t>
            </w:r>
          </w:p>
        </w:tc>
        <w:tc>
          <w:tcPr>
            <w:tcW w:w="1225" w:type="dxa"/>
            <w:shd w:val="clear" w:color="auto" w:fill="BDD6EE"/>
            <w:vAlign w:val="center"/>
          </w:tcPr>
          <w:p w14:paraId="6B82ADB9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0F4F9110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1226" w:type="dxa"/>
            <w:gridSpan w:val="2"/>
            <w:shd w:val="clear" w:color="auto" w:fill="BDD6EE"/>
            <w:vAlign w:val="center"/>
          </w:tcPr>
          <w:p w14:paraId="7A7CDA37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5" w:type="dxa"/>
            <w:gridSpan w:val="2"/>
            <w:shd w:val="clear" w:color="auto" w:fill="BDD6EE"/>
            <w:vAlign w:val="center"/>
          </w:tcPr>
          <w:p w14:paraId="22CC742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1890E5E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27</w:t>
            </w:r>
          </w:p>
        </w:tc>
      </w:tr>
      <w:tr w:rsidR="00E67BAE" w:rsidRPr="00405CA6" w14:paraId="675358D2" w14:textId="77777777" w:rsidTr="008E1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1559BF45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Total:</w:t>
            </w:r>
          </w:p>
        </w:tc>
        <w:tc>
          <w:tcPr>
            <w:tcW w:w="1225" w:type="dxa"/>
            <w:shd w:val="clear" w:color="auto" w:fill="E8E8E8" w:themeFill="background2"/>
            <w:vAlign w:val="center"/>
          </w:tcPr>
          <w:p w14:paraId="2F0B64A1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14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63202E8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12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64A6F50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14</w:t>
            </w:r>
          </w:p>
        </w:tc>
        <w:tc>
          <w:tcPr>
            <w:tcW w:w="1225" w:type="dxa"/>
            <w:gridSpan w:val="2"/>
            <w:shd w:val="clear" w:color="auto" w:fill="E8E8E8" w:themeFill="background2"/>
            <w:vAlign w:val="center"/>
          </w:tcPr>
          <w:p w14:paraId="7412AF2F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14</w:t>
            </w:r>
          </w:p>
        </w:tc>
        <w:tc>
          <w:tcPr>
            <w:tcW w:w="1226" w:type="dxa"/>
            <w:gridSpan w:val="2"/>
            <w:shd w:val="clear" w:color="auto" w:fill="E8E8E8" w:themeFill="background2"/>
            <w:vAlign w:val="center"/>
          </w:tcPr>
          <w:p w14:paraId="0BD78D45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54</w:t>
            </w:r>
          </w:p>
        </w:tc>
      </w:tr>
      <w:tr w:rsidR="00E67BAE" w:rsidRPr="00405CA6" w14:paraId="3FCC1EE7" w14:textId="77777777" w:rsidTr="008E15AB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E8E8E8" w:themeFill="background2"/>
            <w:vAlign w:val="center"/>
          </w:tcPr>
          <w:p w14:paraId="03835872" w14:textId="77777777" w:rsidR="00E67BAE" w:rsidRPr="00405CA6" w:rsidRDefault="00E67BAE" w:rsidP="008E15AB">
            <w:pPr>
              <w:rPr>
                <w:rFonts w:ascii="Arial" w:hAnsi="Arial" w:cs="Arial"/>
                <w:color w:val="auto"/>
              </w:rPr>
            </w:pPr>
            <w:r w:rsidRPr="00405CA6">
              <w:rPr>
                <w:rFonts w:ascii="Arial" w:hAnsi="Arial" w:cs="Arial"/>
                <w:color w:val="auto"/>
              </w:rPr>
              <w:t>Domain Score:</w:t>
            </w:r>
          </w:p>
        </w:tc>
        <w:tc>
          <w:tcPr>
            <w:tcW w:w="6127" w:type="dxa"/>
            <w:gridSpan w:val="9"/>
            <w:shd w:val="clear" w:color="auto" w:fill="E8E8E8" w:themeFill="background2"/>
            <w:vAlign w:val="center"/>
          </w:tcPr>
          <w:p w14:paraId="60E4ACF5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96.4%</w:t>
            </w:r>
          </w:p>
        </w:tc>
      </w:tr>
      <w:tr w:rsidR="00E67BAE" w:rsidRPr="00405CA6" w14:paraId="2FF7CA1E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76" w:type="dxa"/>
            <w:gridSpan w:val="10"/>
            <w:tcBorders>
              <w:left w:val="single" w:sz="4" w:space="0" w:color="auto"/>
            </w:tcBorders>
            <w:shd w:val="clear" w:color="auto" w:fill="215E99" w:themeFill="text2" w:themeFillTint="BF"/>
            <w:vAlign w:val="center"/>
          </w:tcPr>
          <w:p w14:paraId="14CA4CFA" w14:textId="77777777" w:rsidR="00E67BAE" w:rsidRPr="00405CA6" w:rsidRDefault="00E67BAE" w:rsidP="008E15AB">
            <w:pPr>
              <w:jc w:val="center"/>
              <w:rPr>
                <w:rFonts w:ascii="Arial" w:hAnsi="Arial" w:cs="Arial"/>
                <w:szCs w:val="22"/>
              </w:rPr>
            </w:pPr>
            <w:r w:rsidRPr="00405CA6">
              <w:rPr>
                <w:rFonts w:ascii="Arial" w:hAnsi="Arial" w:cs="Arial"/>
              </w:rPr>
              <w:t>OVERALL GUIDELINE ASSESSMENT</w:t>
            </w:r>
          </w:p>
        </w:tc>
      </w:tr>
      <w:tr w:rsidR="00E67BAE" w:rsidRPr="00405CA6" w14:paraId="0906D105" w14:textId="77777777" w:rsidTr="00E67BAE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</w:tcBorders>
            <w:shd w:val="clear" w:color="auto" w:fill="0F9ED5" w:themeFill="accent4"/>
            <w:vAlign w:val="center"/>
          </w:tcPr>
          <w:p w14:paraId="5011BCAF" w14:textId="77777777" w:rsidR="00E67BAE" w:rsidRPr="00405CA6" w:rsidRDefault="00E67BAE" w:rsidP="008E15AB">
            <w:pPr>
              <w:rPr>
                <w:rFonts w:ascii="Arial" w:hAnsi="Arial" w:cs="Arial"/>
                <w:b w:val="0"/>
                <w:bCs w:val="0"/>
              </w:rPr>
            </w:pPr>
            <w:r w:rsidRPr="00405CA6">
              <w:rPr>
                <w:rFonts w:ascii="Arial" w:hAnsi="Arial" w:cs="Arial"/>
                <w:b w:val="0"/>
                <w:bCs w:val="0"/>
              </w:rPr>
              <w:t>1. Rate the overall quality of this guideline.</w:t>
            </w:r>
          </w:p>
        </w:tc>
        <w:tc>
          <w:tcPr>
            <w:tcW w:w="1326" w:type="dxa"/>
            <w:gridSpan w:val="2"/>
            <w:shd w:val="clear" w:color="auto" w:fill="BDD6EE"/>
            <w:vAlign w:val="center"/>
          </w:tcPr>
          <w:p w14:paraId="538072F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1657" w:type="dxa"/>
            <w:gridSpan w:val="2"/>
            <w:shd w:val="clear" w:color="auto" w:fill="BDD6EE"/>
            <w:vAlign w:val="center"/>
          </w:tcPr>
          <w:p w14:paraId="01C7756E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5</w:t>
            </w:r>
          </w:p>
        </w:tc>
        <w:tc>
          <w:tcPr>
            <w:tcW w:w="1560" w:type="dxa"/>
            <w:gridSpan w:val="2"/>
            <w:shd w:val="clear" w:color="auto" w:fill="BDD6EE"/>
            <w:vAlign w:val="center"/>
          </w:tcPr>
          <w:p w14:paraId="5BF0AE90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6</w:t>
            </w:r>
          </w:p>
        </w:tc>
        <w:tc>
          <w:tcPr>
            <w:tcW w:w="762" w:type="dxa"/>
            <w:gridSpan w:val="2"/>
            <w:shd w:val="clear" w:color="auto" w:fill="BDD6EE"/>
            <w:vAlign w:val="center"/>
          </w:tcPr>
          <w:p w14:paraId="3B65AD98" w14:textId="77777777" w:rsidR="00E67BAE" w:rsidRPr="00405CA6" w:rsidRDefault="00E67BAE" w:rsidP="008E15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Fonts w:ascii="Arial" w:hAnsi="Arial" w:cs="Arial"/>
                <w:b/>
                <w:bCs/>
                <w:szCs w:val="22"/>
              </w:rPr>
              <w:t>7</w:t>
            </w:r>
          </w:p>
        </w:tc>
        <w:tc>
          <w:tcPr>
            <w:tcW w:w="822" w:type="dxa"/>
            <w:vMerge w:val="restart"/>
            <w:shd w:val="clear" w:color="auto" w:fill="000000" w:themeFill="text1"/>
          </w:tcPr>
          <w:p w14:paraId="46C1848C" w14:textId="77777777" w:rsidR="00E67BAE" w:rsidRPr="00405CA6" w:rsidRDefault="00E67BAE" w:rsidP="008E15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</w:p>
        </w:tc>
      </w:tr>
      <w:tr w:rsidR="00E67BAE" w:rsidRPr="00405CA6" w14:paraId="43062BD5" w14:textId="77777777" w:rsidTr="00E67B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9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9ED5" w:themeFill="accent4"/>
            <w:vAlign w:val="center"/>
          </w:tcPr>
          <w:p w14:paraId="658D5E58" w14:textId="77777777" w:rsidR="00E67BAE" w:rsidRPr="00405CA6" w:rsidRDefault="00E67BAE" w:rsidP="008E15AB">
            <w:pPr>
              <w:rPr>
                <w:rFonts w:ascii="Arial" w:hAnsi="Arial" w:cs="Arial"/>
              </w:rPr>
            </w:pPr>
            <w:r w:rsidRPr="00405CA6">
              <w:rPr>
                <w:rFonts w:ascii="Arial" w:hAnsi="Arial" w:cs="Arial"/>
                <w:b w:val="0"/>
                <w:bCs w:val="0"/>
              </w:rPr>
              <w:t>2. I would recommend this guideline for use.</w:t>
            </w:r>
            <w:r w:rsidRPr="00405CA6">
              <w:rPr>
                <w:rFonts w:ascii="Arial" w:hAnsi="Arial" w:cs="Arial"/>
              </w:rPr>
              <w:t xml:space="preserve"> (Yes/Yes, with modifications/No</w:t>
            </w:r>
          </w:p>
        </w:tc>
        <w:tc>
          <w:tcPr>
            <w:tcW w:w="1326" w:type="dxa"/>
            <w:gridSpan w:val="2"/>
            <w:shd w:val="clear" w:color="auto" w:fill="BDD6EE"/>
            <w:vAlign w:val="center"/>
          </w:tcPr>
          <w:p w14:paraId="7B693247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  <w:shd w:val="clear" w:color="auto" w:fill="BDD6EE"/>
              </w:rPr>
              <w:t>Yes</w:t>
            </w:r>
          </w:p>
        </w:tc>
        <w:tc>
          <w:tcPr>
            <w:tcW w:w="1657" w:type="dxa"/>
            <w:gridSpan w:val="2"/>
            <w:shd w:val="clear" w:color="auto" w:fill="BDD6EE"/>
            <w:vAlign w:val="center"/>
          </w:tcPr>
          <w:p w14:paraId="0DBAC59B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</w:rPr>
              <w:t>Yes, with modifications</w:t>
            </w:r>
          </w:p>
        </w:tc>
        <w:tc>
          <w:tcPr>
            <w:tcW w:w="1560" w:type="dxa"/>
            <w:gridSpan w:val="2"/>
            <w:shd w:val="clear" w:color="auto" w:fill="BDD6EE"/>
            <w:vAlign w:val="center"/>
          </w:tcPr>
          <w:p w14:paraId="513B8FDE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2"/>
              </w:rPr>
            </w:pPr>
            <w:r w:rsidRPr="00405CA6">
              <w:rPr>
                <w:rStyle w:val="normaltextrun"/>
                <w:rFonts w:ascii="Arial" w:hAnsi="Arial" w:cs="Arial"/>
                <w:b/>
                <w:bCs/>
                <w:color w:val="000000"/>
                <w:sz w:val="20"/>
              </w:rPr>
              <w:t>Yes, with modifications</w:t>
            </w:r>
          </w:p>
        </w:tc>
        <w:tc>
          <w:tcPr>
            <w:tcW w:w="762" w:type="dxa"/>
            <w:gridSpan w:val="2"/>
            <w:shd w:val="clear" w:color="auto" w:fill="BDD6EE"/>
            <w:vAlign w:val="center"/>
          </w:tcPr>
          <w:p w14:paraId="750B1934" w14:textId="77777777" w:rsidR="00E67BAE" w:rsidRPr="00405CA6" w:rsidRDefault="00E67BAE" w:rsidP="008E15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0"/>
              </w:rPr>
            </w:pPr>
            <w:r w:rsidRPr="00405CA6">
              <w:rPr>
                <w:rFonts w:ascii="Arial" w:hAnsi="Arial" w:cs="Arial"/>
                <w:b/>
                <w:bCs/>
                <w:sz w:val="20"/>
              </w:rPr>
              <w:t>Yes</w:t>
            </w:r>
          </w:p>
        </w:tc>
        <w:tc>
          <w:tcPr>
            <w:tcW w:w="822" w:type="dxa"/>
            <w:vMerge/>
            <w:shd w:val="clear" w:color="auto" w:fill="000000" w:themeFill="text1"/>
          </w:tcPr>
          <w:p w14:paraId="45D2CCC3" w14:textId="77777777" w:rsidR="00E67BAE" w:rsidRPr="00405CA6" w:rsidRDefault="00E67BAE" w:rsidP="008E15A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Cs w:val="22"/>
              </w:rPr>
            </w:pPr>
          </w:p>
        </w:tc>
      </w:tr>
    </w:tbl>
    <w:p w14:paraId="5ECC5FCC" w14:textId="77777777" w:rsidR="00E67BAE" w:rsidRDefault="00E67BAE" w:rsidP="00E67BAE">
      <w:pPr>
        <w:rPr>
          <w:rFonts w:ascii="Arial" w:hAnsi="Arial" w:cs="Arial"/>
          <w:szCs w:val="22"/>
        </w:rPr>
      </w:pPr>
    </w:p>
    <w:p w14:paraId="6183F1A5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1DDA2D4C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560874BB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1D7305A6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60AC715E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5286089A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7B04D389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03341593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002C63F9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42040A72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301190B9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2CE9E692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243F2EF4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26F91E29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3E06C45D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24A809D7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5D8E3FB7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352F3BAE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701140C6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p w14:paraId="60EEDF78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  <w:r w:rsidRPr="0015784C">
        <w:rPr>
          <w:rFonts w:ascii="Arial" w:hAnsi="Arial" w:cs="Arial"/>
          <w:b/>
          <w:bCs/>
          <w:szCs w:val="22"/>
        </w:rPr>
        <w:lastRenderedPageBreak/>
        <w:t>Appendix 2</w:t>
      </w:r>
    </w:p>
    <w:p w14:paraId="46FFDC07" w14:textId="77777777" w:rsidR="00E67BAE" w:rsidRDefault="00E67BAE" w:rsidP="00E67BAE">
      <w:pPr>
        <w:rPr>
          <w:rFonts w:ascii="Arial" w:hAnsi="Arial" w:cs="Arial"/>
          <w:b/>
          <w:bCs/>
          <w:szCs w:val="22"/>
        </w:rPr>
      </w:pPr>
    </w:p>
    <w:tbl>
      <w:tblPr>
        <w:tblpPr w:leftFromText="180" w:rightFromText="180" w:vertAnchor="page" w:horzAnchor="margin" w:tblpXSpec="center" w:tblpY="2266"/>
        <w:tblW w:w="112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95"/>
        <w:gridCol w:w="996"/>
        <w:gridCol w:w="3776"/>
        <w:gridCol w:w="1253"/>
        <w:gridCol w:w="2869"/>
        <w:gridCol w:w="25"/>
      </w:tblGrid>
      <w:tr w:rsidR="00E67BAE" w:rsidRPr="0015784C" w14:paraId="4A8449C7" w14:textId="77777777" w:rsidTr="00E67BAE">
        <w:trPr>
          <w:gridAfter w:val="1"/>
          <w:wAfter w:w="25" w:type="dxa"/>
          <w:trHeight w:val="566"/>
        </w:trPr>
        <w:tc>
          <w:tcPr>
            <w:tcW w:w="11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60A8E5C9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before="128" w:after="0" w:line="240" w:lineRule="auto"/>
              <w:ind w:left="1411" w:right="1475"/>
              <w:jc w:val="center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NICE Guideline – NG145 Thyroid disease: assessment and</w:t>
            </w:r>
            <w:r w:rsidRPr="0015784C">
              <w:rPr>
                <w:rFonts w:ascii="Arial" w:hAnsi="Arial" w:cs="Arial"/>
                <w:b/>
                <w:bCs/>
                <w:color w:val="FFFFFF"/>
                <w:spacing w:val="-17"/>
                <w:sz w:val="24"/>
                <w:szCs w:val="24"/>
                <w:lang w:bidi="ar-SA"/>
              </w:rPr>
              <w:t xml:space="preserve"> </w:t>
            </w: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management</w:t>
            </w:r>
          </w:p>
        </w:tc>
      </w:tr>
      <w:tr w:rsidR="00E67BAE" w:rsidRPr="0015784C" w14:paraId="745BA02D" w14:textId="77777777" w:rsidTr="00E67BAE">
        <w:trPr>
          <w:gridAfter w:val="1"/>
          <w:wAfter w:w="25" w:type="dxa"/>
          <w:trHeight w:val="827"/>
        </w:trPr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500F3780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</w:p>
          <w:p w14:paraId="72D10C07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5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Publication Time</w:t>
            </w:r>
          </w:p>
        </w:tc>
        <w:tc>
          <w:tcPr>
            <w:tcW w:w="3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58C76346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</w:p>
          <w:p w14:paraId="743862A5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1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November 2019</w:t>
            </w:r>
          </w:p>
        </w:tc>
        <w:tc>
          <w:tcPr>
            <w:tcW w:w="1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322D5B90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</w:p>
          <w:p w14:paraId="111E7477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6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Authors</w:t>
            </w:r>
          </w:p>
        </w:tc>
        <w:tc>
          <w:tcPr>
            <w:tcW w:w="2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5866A1D7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70" w:lineRule="atLeast"/>
              <w:ind w:left="455" w:right="455"/>
              <w:jc w:val="center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NGC (National Guideline Centre) hosted by RCP</w:t>
            </w:r>
          </w:p>
        </w:tc>
      </w:tr>
      <w:tr w:rsidR="00E67BAE" w:rsidRPr="0015784C" w14:paraId="67BB896A" w14:textId="77777777" w:rsidTr="00E67BAE">
        <w:trPr>
          <w:gridAfter w:val="1"/>
          <w:wAfter w:w="25" w:type="dxa"/>
          <w:trHeight w:val="1144"/>
        </w:trPr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7A1CCDD6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before="8" w:after="0" w:line="240" w:lineRule="auto"/>
              <w:rPr>
                <w:rFonts w:ascii="Times New Roman" w:hAnsi="Times New Roman" w:cs="Times New Roman"/>
                <w:sz w:val="37"/>
                <w:szCs w:val="37"/>
                <w:lang w:bidi="ar-SA"/>
              </w:rPr>
            </w:pPr>
          </w:p>
          <w:p w14:paraId="3E1195BC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645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Review Question</w:t>
            </w:r>
          </w:p>
        </w:tc>
        <w:tc>
          <w:tcPr>
            <w:tcW w:w="7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43AA250A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182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Review I: ‘What is the clinical and cost effectiveness of using radioactive iodine vs antithyroid drugs vs surgery to treat thyrotoxicosis secondary to Graves’ disease?’</w:t>
            </w:r>
          </w:p>
          <w:p w14:paraId="715BBF01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774"/>
              <w:rPr>
                <w:rFonts w:ascii="Arial" w:hAnsi="Arial" w:cs="Arial"/>
                <w:i/>
                <w:iCs/>
                <w:szCs w:val="22"/>
                <w:lang w:bidi="ar-SA"/>
              </w:rPr>
            </w:pPr>
            <w:r w:rsidRPr="0015784C">
              <w:rPr>
                <w:rFonts w:ascii="Arial" w:hAnsi="Arial" w:cs="Arial"/>
                <w:i/>
                <w:iCs/>
                <w:szCs w:val="22"/>
                <w:lang w:bidi="ar-SA"/>
              </w:rPr>
              <w:t>As well as single therapy reviews J, K and L</w:t>
            </w:r>
          </w:p>
        </w:tc>
      </w:tr>
      <w:tr w:rsidR="00E67BAE" w:rsidRPr="0015784C" w14:paraId="7680FCEA" w14:textId="77777777" w:rsidTr="00E67BAE">
        <w:trPr>
          <w:gridAfter w:val="1"/>
          <w:wAfter w:w="25" w:type="dxa"/>
          <w:trHeight w:val="431"/>
        </w:trPr>
        <w:tc>
          <w:tcPr>
            <w:tcW w:w="32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209391AF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before="138" w:after="0" w:line="240" w:lineRule="auto"/>
              <w:ind w:left="65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Studies included</w:t>
            </w:r>
          </w:p>
        </w:tc>
        <w:tc>
          <w:tcPr>
            <w:tcW w:w="7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5848A8CF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70" w:lineRule="atLeast"/>
              <w:ind w:left="3286" w:right="701" w:hanging="2568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15 studies: 1 Cochrane Review (of 2 RCTs); 6 RCTs; 8 non- randomised</w:t>
            </w:r>
          </w:p>
        </w:tc>
      </w:tr>
      <w:tr w:rsidR="00E67BAE" w:rsidRPr="0015784C" w14:paraId="6B40940F" w14:textId="77777777" w:rsidTr="00E67BAE">
        <w:trPr>
          <w:gridAfter w:val="1"/>
          <w:wAfter w:w="25" w:type="dxa"/>
          <w:trHeight w:val="2114"/>
        </w:trPr>
        <w:tc>
          <w:tcPr>
            <w:tcW w:w="2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4D73968B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39" w:right="85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Summary of Recommendations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66631DF2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1.6.18</w:t>
            </w:r>
          </w:p>
        </w:tc>
        <w:tc>
          <w:tcPr>
            <w:tcW w:w="7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0380C9C0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529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Antithyroid drugs should be offered for at least two years</w:t>
            </w:r>
            <w:r>
              <w:rPr>
                <w:rFonts w:ascii="Arial" w:hAnsi="Arial" w:cs="Arial"/>
                <w:sz w:val="24"/>
                <w:szCs w:val="24"/>
                <w:lang w:bidi="ar-SA"/>
              </w:rPr>
              <w:t xml:space="preserve"> </w:t>
            </w: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or more for children and young people suffering with Graves’ disease.</w:t>
            </w:r>
          </w:p>
          <w:p w14:paraId="7EC86F63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ar-SA"/>
              </w:rPr>
            </w:pPr>
          </w:p>
          <w:p w14:paraId="6A662259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115"/>
              <w:rPr>
                <w:rFonts w:ascii="Arial" w:hAnsi="Arial" w:cs="Arial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sz w:val="24"/>
                <w:szCs w:val="24"/>
                <w:lang w:bidi="ar-SA"/>
              </w:rPr>
              <w:t>“Use of carbimazole is subject to MHRA advice on contraception and risk of acute pancreatitis. November 2019 – carbimazole use is off label for children under 2 years.”</w:t>
            </w:r>
          </w:p>
        </w:tc>
      </w:tr>
      <w:tr w:rsidR="00E67BAE" w:rsidRPr="0015784C" w14:paraId="6A98B11B" w14:textId="77777777" w:rsidTr="00E67BAE">
        <w:trPr>
          <w:gridAfter w:val="1"/>
          <w:wAfter w:w="25" w:type="dxa"/>
          <w:trHeight w:val="1274"/>
        </w:trPr>
        <w:tc>
          <w:tcPr>
            <w:tcW w:w="2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277CFA96" w14:textId="77777777" w:rsidR="00E67BAE" w:rsidRPr="0015784C" w:rsidRDefault="00E67BAE" w:rsidP="008E15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00A61F24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1.6.19</w:t>
            </w:r>
          </w:p>
        </w:tc>
        <w:tc>
          <w:tcPr>
            <w:tcW w:w="7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000568F8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155"/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Either continue or restart antithyroid drugs or discuss radioactive iodine and surgery (total thyroidectomy) for paediatrics with Graves' disease who have had antithyroid drugs but have relapsed back into hyperthyroidism.</w:t>
            </w:r>
          </w:p>
        </w:tc>
      </w:tr>
      <w:tr w:rsidR="00E67BAE" w:rsidRPr="0015784C" w14:paraId="457AD187" w14:textId="77777777" w:rsidTr="00E67BAE">
        <w:trPr>
          <w:trHeight w:val="2299"/>
        </w:trPr>
        <w:tc>
          <w:tcPr>
            <w:tcW w:w="2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7ECF5B4A" w14:textId="77777777" w:rsidR="00E67BAE" w:rsidRPr="0015784C" w:rsidRDefault="00E67BAE" w:rsidP="008E15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F9ED5" w:themeFill="accent4"/>
          </w:tcPr>
          <w:p w14:paraId="73EE312C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2"/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b/>
                <w:bCs/>
                <w:color w:val="FFFFFF"/>
                <w:sz w:val="24"/>
                <w:szCs w:val="24"/>
                <w:lang w:bidi="ar-SA"/>
              </w:rPr>
              <w:t>1.6.20</w:t>
            </w:r>
          </w:p>
        </w:tc>
        <w:tc>
          <w:tcPr>
            <w:tcW w:w="78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</w:tcPr>
          <w:p w14:paraId="13E1589A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left="103" w:right="246"/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For children and young people with hyperthyroidism secondary to a single or multiple nodules:</w:t>
            </w:r>
          </w:p>
          <w:p w14:paraId="4710C9E9" w14:textId="77777777" w:rsidR="00E67BAE" w:rsidRPr="0015784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before="6" w:after="0" w:line="240" w:lineRule="auto"/>
              <w:rPr>
                <w:rFonts w:ascii="Times New Roman" w:hAnsi="Times New Roman" w:cs="Times New Roman"/>
                <w:sz w:val="21"/>
                <w:szCs w:val="21"/>
                <w:lang w:bidi="ar-SA"/>
              </w:rPr>
            </w:pPr>
          </w:p>
          <w:p w14:paraId="6A1ED1CC" w14:textId="77777777" w:rsidR="00E67BAE" w:rsidRPr="0015784C" w:rsidRDefault="00E67BAE" w:rsidP="008E15AB">
            <w:pPr>
              <w:numPr>
                <w:ilvl w:val="0"/>
                <w:numId w:val="1"/>
              </w:numPr>
              <w:tabs>
                <w:tab w:val="left" w:pos="823"/>
              </w:tabs>
              <w:kinsoku w:val="0"/>
              <w:overflowPunct w:val="0"/>
              <w:autoSpaceDE w:val="0"/>
              <w:autoSpaceDN w:val="0"/>
              <w:adjustRightInd w:val="0"/>
              <w:spacing w:after="0" w:line="307" w:lineRule="auto"/>
              <w:ind w:right="865"/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Give antithyroid drugs using a dose titration regimen of carbimazole.</w:t>
            </w:r>
          </w:p>
          <w:p w14:paraId="3B637D5D" w14:textId="77777777" w:rsidR="00E67BAE" w:rsidRPr="0015784C" w:rsidRDefault="00E67BAE" w:rsidP="008E15AB">
            <w:pPr>
              <w:numPr>
                <w:ilvl w:val="0"/>
                <w:numId w:val="1"/>
              </w:numPr>
              <w:tabs>
                <w:tab w:val="left" w:pos="823"/>
              </w:tabs>
              <w:kinsoku w:val="0"/>
              <w:overflowPunct w:val="0"/>
              <w:autoSpaceDE w:val="0"/>
              <w:autoSpaceDN w:val="0"/>
              <w:adjustRightInd w:val="0"/>
              <w:spacing w:after="0" w:line="307" w:lineRule="auto"/>
              <w:ind w:right="199"/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</w:pP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Consider role of radioactive iodine and surgery with child</w:t>
            </w:r>
            <w:r w:rsidRPr="0015784C">
              <w:rPr>
                <w:rFonts w:ascii="Arial" w:hAnsi="Arial" w:cs="Arial"/>
                <w:color w:val="0D0D0D"/>
                <w:spacing w:val="-29"/>
                <w:sz w:val="24"/>
                <w:szCs w:val="24"/>
                <w:lang w:bidi="ar-SA"/>
              </w:rPr>
              <w:t xml:space="preserve"> </w:t>
            </w: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and family, after input and advice from multidisciplinary</w:t>
            </w:r>
            <w:r w:rsidRPr="0015784C">
              <w:rPr>
                <w:rFonts w:ascii="Arial" w:hAnsi="Arial" w:cs="Arial"/>
                <w:color w:val="0D0D0D"/>
                <w:spacing w:val="-11"/>
                <w:sz w:val="24"/>
                <w:szCs w:val="24"/>
                <w:lang w:bidi="ar-SA"/>
              </w:rPr>
              <w:t xml:space="preserve"> </w:t>
            </w:r>
            <w:r w:rsidRPr="0015784C">
              <w:rPr>
                <w:rFonts w:ascii="Arial" w:hAnsi="Arial" w:cs="Arial"/>
                <w:color w:val="0D0D0D"/>
                <w:sz w:val="24"/>
                <w:szCs w:val="24"/>
                <w:lang w:bidi="ar-SA"/>
              </w:rPr>
              <w:t>team</w:t>
            </w:r>
          </w:p>
        </w:tc>
        <w:tc>
          <w:tcPr>
            <w:tcW w:w="25" w:type="dxa"/>
            <w:tcBorders>
              <w:top w:val="nil"/>
              <w:left w:val="single" w:sz="4" w:space="0" w:color="auto"/>
              <w:bottom w:val="none" w:sz="6" w:space="0" w:color="auto"/>
              <w:right w:val="none" w:sz="6" w:space="0" w:color="auto"/>
            </w:tcBorders>
          </w:tcPr>
          <w:p w14:paraId="72CD3518" w14:textId="77777777" w:rsidR="00E67BAE" w:rsidRPr="0015784C" w:rsidRDefault="00E67BAE" w:rsidP="008E15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bidi="ar-SA"/>
              </w:rPr>
            </w:pPr>
          </w:p>
        </w:tc>
      </w:tr>
    </w:tbl>
    <w:p w14:paraId="13C512F8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0A756F4A" w14:textId="77777777" w:rsidR="00E67BAE" w:rsidRPr="006E7DCB" w:rsidRDefault="00E67BAE" w:rsidP="00E67BAE">
      <w:pPr>
        <w:tabs>
          <w:tab w:val="left" w:pos="2895"/>
        </w:tabs>
        <w:jc w:val="center"/>
        <w:rPr>
          <w:rFonts w:ascii="Arial" w:hAnsi="Arial" w:cs="Arial"/>
          <w:sz w:val="28"/>
          <w:szCs w:val="28"/>
        </w:rPr>
      </w:pPr>
      <w:r w:rsidRPr="006E7DCB">
        <w:rPr>
          <w:rFonts w:ascii="Arial-ItalicMT" w:hAnsi="Arial-ItalicMT" w:cs="Arial-ItalicMT"/>
          <w:sz w:val="24"/>
          <w:szCs w:val="24"/>
          <w:lang w:bidi="ar-SA"/>
        </w:rPr>
        <w:t>Guideline Characteristics</w:t>
      </w:r>
    </w:p>
    <w:p w14:paraId="563B3064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37BC433F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4C6C9656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7CD041E5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5C7CFA88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41A4157D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4ED92D55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7CACF64F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12722C23" w14:textId="77777777" w:rsidR="00E67BAE" w:rsidRPr="00432D18" w:rsidRDefault="00E67BAE" w:rsidP="00E67BAE">
      <w:pPr>
        <w:rPr>
          <w:rFonts w:ascii="Arial" w:hAnsi="Arial" w:cs="Arial"/>
          <w:szCs w:val="22"/>
        </w:rPr>
      </w:pPr>
      <w:r w:rsidRPr="007068CE">
        <w:rPr>
          <w:rFonts w:ascii="Arial" w:hAnsi="Arial" w:cs="Arial"/>
          <w:noProof/>
          <w:szCs w:val="22"/>
        </w:rPr>
        <w:lastRenderedPageBreak/>
        <w:drawing>
          <wp:anchor distT="0" distB="0" distL="114300" distR="114300" simplePos="0" relativeHeight="251659264" behindDoc="1" locked="0" layoutInCell="1" allowOverlap="1" wp14:anchorId="538C0616" wp14:editId="3DD24BA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31510" cy="2219325"/>
            <wp:effectExtent l="0" t="0" r="2540" b="9525"/>
            <wp:wrapTight wrapText="bothSides">
              <wp:wrapPolygon edited="0">
                <wp:start x="0" y="0"/>
                <wp:lineTo x="0" y="21507"/>
                <wp:lineTo x="21538" y="21507"/>
                <wp:lineTo x="21538" y="0"/>
                <wp:lineTo x="0" y="0"/>
              </wp:wrapPolygon>
            </wp:wrapTight>
            <wp:docPr id="214181525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815259" name="Picture 1" descr="A screenshot of a computer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9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1402DF" w14:textId="77777777" w:rsidR="00E67BAE" w:rsidRPr="00432D18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Supplementary Table 1: Search Criteria for Systematic Reviews</w:t>
      </w:r>
    </w:p>
    <w:p w14:paraId="37BEFBC8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34CDE82C" w14:textId="77777777" w:rsidR="00E67BAE" w:rsidRPr="00432D18" w:rsidRDefault="00E67BAE" w:rsidP="00E67BAE">
      <w:pPr>
        <w:rPr>
          <w:rFonts w:ascii="Arial" w:hAnsi="Arial" w:cs="Arial"/>
          <w:szCs w:val="22"/>
        </w:rPr>
      </w:pPr>
      <w:r w:rsidRPr="00030BEF">
        <w:rPr>
          <w:rFonts w:ascii="Arial" w:hAnsi="Arial" w:cs="Arial"/>
          <w:noProof/>
          <w:szCs w:val="22"/>
        </w:rPr>
        <w:drawing>
          <wp:anchor distT="0" distB="0" distL="114300" distR="114300" simplePos="0" relativeHeight="251660288" behindDoc="1" locked="0" layoutInCell="1" allowOverlap="1" wp14:anchorId="47AD9226" wp14:editId="68CC8A07">
            <wp:simplePos x="0" y="0"/>
            <wp:positionH relativeFrom="column">
              <wp:posOffset>-635</wp:posOffset>
            </wp:positionH>
            <wp:positionV relativeFrom="paragraph">
              <wp:posOffset>212090</wp:posOffset>
            </wp:positionV>
            <wp:extent cx="5800725" cy="4438015"/>
            <wp:effectExtent l="0" t="0" r="9525" b="635"/>
            <wp:wrapTight wrapText="bothSides">
              <wp:wrapPolygon edited="0">
                <wp:start x="0" y="0"/>
                <wp:lineTo x="0" y="21510"/>
                <wp:lineTo x="21565" y="21510"/>
                <wp:lineTo x="21565" y="0"/>
                <wp:lineTo x="0" y="0"/>
              </wp:wrapPolygon>
            </wp:wrapTight>
            <wp:docPr id="89893602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936026" name="Picture 1" descr="A screenshot of a comput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4438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5A50A285" w14:textId="77777777" w:rsidR="00E67BAE" w:rsidRPr="00432D18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Supplementary Table 2: Search Criteria for Primary Studies</w:t>
      </w:r>
    </w:p>
    <w:p w14:paraId="6277AD8B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2449968C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362145A9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tbl>
      <w:tblPr>
        <w:tblpPr w:leftFromText="180" w:rightFromText="180" w:vertAnchor="text" w:horzAnchor="margin" w:tblpY="-269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26"/>
        <w:gridCol w:w="4480"/>
      </w:tblGrid>
      <w:tr w:rsidR="00E67BAE" w:rsidRPr="00AF0BFC" w14:paraId="3D1A2DD1" w14:textId="77777777" w:rsidTr="008E15AB">
        <w:trPr>
          <w:trHeight w:val="406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357A4534" w14:textId="77777777" w:rsidR="00E67BAE" w:rsidRPr="00AF0BF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</w:pPr>
            <w:r w:rsidRPr="00AF0BFC"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  <w:lastRenderedPageBreak/>
              <w:t>Inclusion Criteria</w:t>
            </w:r>
          </w:p>
        </w:tc>
        <w:tc>
          <w:tcPr>
            <w:tcW w:w="4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2EBDA971" w14:textId="77777777" w:rsidR="00E67BAE" w:rsidRPr="00AF0BFC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</w:pPr>
            <w:r w:rsidRPr="00AF0BFC"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  <w:t>Exclusion Criteria</w:t>
            </w:r>
          </w:p>
        </w:tc>
      </w:tr>
      <w:tr w:rsidR="00E67BAE" w:rsidRPr="00AF0BFC" w14:paraId="5FCAA066" w14:textId="77777777" w:rsidTr="008E15AB">
        <w:trPr>
          <w:trHeight w:val="4879"/>
        </w:trPr>
        <w:tc>
          <w:tcPr>
            <w:tcW w:w="4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305C75A1" w14:textId="77777777" w:rsidR="00E67BAE" w:rsidRPr="00AF0BFC" w:rsidRDefault="00E67BAE" w:rsidP="008E15AB">
            <w:pPr>
              <w:pStyle w:val="ListParagraph"/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Full text is available to</w:t>
            </w:r>
            <w:r w:rsidRPr="00AF0BFC">
              <w:rPr>
                <w:rFonts w:ascii="Arial" w:hAnsi="Arial" w:cs="Arial"/>
                <w:spacing w:val="-4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read</w:t>
            </w:r>
          </w:p>
          <w:p w14:paraId="66197EFF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32" w:after="0" w:line="273" w:lineRule="auto"/>
              <w:ind w:right="204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Participants included in studies were all up to 20 years of age and receiving therapeutic treatment for their Grave’s Disease</w:t>
            </w:r>
          </w:p>
          <w:p w14:paraId="7B29F0D9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66" w:lineRule="auto"/>
              <w:ind w:right="254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Outcomes include efficacy (in terms of remission rates) or any adverse</w:t>
            </w:r>
            <w:r w:rsidRPr="00AF0BFC">
              <w:rPr>
                <w:rFonts w:ascii="Arial" w:hAnsi="Arial" w:cs="Arial"/>
                <w:spacing w:val="-18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events</w:t>
            </w:r>
          </w:p>
          <w:p w14:paraId="1309AA79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8" w:after="0" w:line="271" w:lineRule="auto"/>
              <w:ind w:right="278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 xml:space="preserve">Sample sizes comprised a minimum </w:t>
            </w:r>
            <w:r w:rsidRPr="00AF0BFC">
              <w:rPr>
                <w:rFonts w:ascii="Arial" w:hAnsi="Arial" w:cs="Arial"/>
                <w:spacing w:val="-7"/>
                <w:szCs w:val="22"/>
                <w:lang w:bidi="ar-SA"/>
              </w:rPr>
              <w:t xml:space="preserve">of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10 participants in each primary study included in the systematic</w:t>
            </w:r>
            <w:r w:rsidRPr="00AF0BFC">
              <w:rPr>
                <w:rFonts w:ascii="Arial" w:hAnsi="Arial" w:cs="Arial"/>
                <w:spacing w:val="-5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review</w:t>
            </w:r>
          </w:p>
          <w:p w14:paraId="74DD9E53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4" w:after="0" w:line="271" w:lineRule="auto"/>
              <w:ind w:right="265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Reviews that included both adult and paediatric cohorts but carried out the analysis and reported result</w:t>
            </w:r>
            <w:r w:rsidRPr="00AF0BFC">
              <w:rPr>
                <w:rFonts w:ascii="Arial" w:hAnsi="Arial" w:cs="Arial"/>
                <w:spacing w:val="-15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separately</w:t>
            </w:r>
          </w:p>
          <w:p w14:paraId="750FC318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3" w:after="0" w:line="240" w:lineRule="auto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Published in a peer reviewed</w:t>
            </w:r>
            <w:r w:rsidRPr="00AF0BFC">
              <w:rPr>
                <w:rFonts w:ascii="Arial" w:hAnsi="Arial" w:cs="Arial"/>
                <w:spacing w:val="-9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journal</w:t>
            </w:r>
          </w:p>
        </w:tc>
        <w:tc>
          <w:tcPr>
            <w:tcW w:w="44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78BC741D" w14:textId="77777777" w:rsidR="00E67BAE" w:rsidRPr="00AF0BFC" w:rsidRDefault="00E67BAE" w:rsidP="008E15AB">
            <w:pPr>
              <w:pStyle w:val="ListParagraph"/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141" w:after="0" w:line="271" w:lineRule="auto"/>
              <w:ind w:right="244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Reviews analysing both paediatric</w:t>
            </w:r>
            <w:r w:rsidRPr="00AF0BFC">
              <w:rPr>
                <w:rFonts w:ascii="Arial" w:hAnsi="Arial" w:cs="Arial"/>
                <w:spacing w:val="-28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and adult Grave’s Disease patients concurrently</w:t>
            </w:r>
          </w:p>
          <w:p w14:paraId="70BF7B3C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4" w:after="0" w:line="266" w:lineRule="auto"/>
              <w:ind w:right="525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Reviews with non-English</w:t>
            </w:r>
            <w:r w:rsidRPr="00AF0BFC">
              <w:rPr>
                <w:rFonts w:ascii="Arial" w:hAnsi="Arial" w:cs="Arial"/>
                <w:spacing w:val="-21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language Text</w:t>
            </w:r>
          </w:p>
          <w:p w14:paraId="7CE7B2FD" w14:textId="77777777" w:rsidR="00E67BAE" w:rsidRPr="00AF0BFC" w:rsidRDefault="00E67BAE" w:rsidP="008E15AB">
            <w:pPr>
              <w:numPr>
                <w:ilvl w:val="0"/>
                <w:numId w:val="4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9" w:after="0" w:line="271" w:lineRule="auto"/>
              <w:ind w:right="196"/>
              <w:rPr>
                <w:rFonts w:ascii="Arial" w:hAnsi="Arial" w:cs="Arial"/>
                <w:szCs w:val="22"/>
                <w:lang w:bidi="ar-SA"/>
              </w:rPr>
            </w:pPr>
            <w:r w:rsidRPr="00AF0BFC">
              <w:rPr>
                <w:rFonts w:ascii="Arial" w:hAnsi="Arial" w:cs="Arial"/>
                <w:szCs w:val="22"/>
                <w:lang w:bidi="ar-SA"/>
              </w:rPr>
              <w:t>Studies taken place in least developed countries as these are less representative of the UK clinical</w:t>
            </w:r>
            <w:r w:rsidRPr="00AF0BFC">
              <w:rPr>
                <w:rFonts w:ascii="Arial" w:hAnsi="Arial" w:cs="Arial"/>
                <w:spacing w:val="-14"/>
                <w:szCs w:val="22"/>
                <w:lang w:bidi="ar-SA"/>
              </w:rPr>
              <w:t xml:space="preserve"> </w:t>
            </w:r>
            <w:r w:rsidRPr="00AF0BFC">
              <w:rPr>
                <w:rFonts w:ascii="Arial" w:hAnsi="Arial" w:cs="Arial"/>
                <w:szCs w:val="22"/>
                <w:lang w:bidi="ar-SA"/>
              </w:rPr>
              <w:t>setting</w:t>
            </w:r>
          </w:p>
        </w:tc>
      </w:tr>
    </w:tbl>
    <w:p w14:paraId="7B785912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52FDF695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73E99375" w14:textId="77777777" w:rsidR="00E67BAE" w:rsidRPr="00AF0BFC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Supplementary Table 3: Selection Criteria for Systematic Review</w:t>
      </w:r>
    </w:p>
    <w:p w14:paraId="62CAEDD5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1E12E7D0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5653CB76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tbl>
      <w:tblPr>
        <w:tblpPr w:leftFromText="180" w:rightFromText="180" w:vertAnchor="text" w:horzAnchor="margin" w:tblpY="197"/>
        <w:tblW w:w="901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16"/>
        <w:gridCol w:w="4400"/>
      </w:tblGrid>
      <w:tr w:rsidR="00E67BAE" w:rsidRPr="00DC6CF5" w14:paraId="388FF1A6" w14:textId="77777777" w:rsidTr="008E15AB">
        <w:trPr>
          <w:trHeight w:val="423"/>
        </w:trPr>
        <w:tc>
          <w:tcPr>
            <w:tcW w:w="4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67B150D8" w14:textId="77777777" w:rsidR="00E67BAE" w:rsidRPr="00DC6CF5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</w:pPr>
            <w:r w:rsidRPr="00DC6CF5"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  <w:t>Inclusion Criteria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B9BD5"/>
            <w:vAlign w:val="center"/>
          </w:tcPr>
          <w:p w14:paraId="18776CA7" w14:textId="77777777" w:rsidR="00E67BAE" w:rsidRPr="00DC6CF5" w:rsidRDefault="00E67BAE" w:rsidP="008E15AB">
            <w:pPr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</w:pPr>
            <w:r w:rsidRPr="00DC6CF5">
              <w:rPr>
                <w:rFonts w:ascii="Arial" w:hAnsi="Arial" w:cs="Arial"/>
                <w:b/>
                <w:bCs/>
                <w:sz w:val="28"/>
                <w:szCs w:val="28"/>
                <w:lang w:bidi="ar-SA"/>
              </w:rPr>
              <w:t>Exclusion criteria</w:t>
            </w:r>
          </w:p>
        </w:tc>
      </w:tr>
      <w:tr w:rsidR="00E67BAE" w:rsidRPr="00DC6CF5" w14:paraId="2C853162" w14:textId="77777777" w:rsidTr="008E15AB">
        <w:trPr>
          <w:trHeight w:val="4687"/>
        </w:trPr>
        <w:tc>
          <w:tcPr>
            <w:tcW w:w="46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053642E0" w14:textId="77777777" w:rsidR="00E67BAE" w:rsidRPr="00DC6CF5" w:rsidRDefault="00E67BAE" w:rsidP="008E15AB">
            <w:pPr>
              <w:pStyle w:val="ListParagraph"/>
              <w:numPr>
                <w:ilvl w:val="0"/>
                <w:numId w:val="3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66" w:lineRule="auto"/>
              <w:ind w:right="123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Full electronic print version is available to read</w:t>
            </w:r>
          </w:p>
          <w:p w14:paraId="0DB04F7D" w14:textId="77777777" w:rsidR="00E67BAE" w:rsidRPr="00DC6CF5" w:rsidRDefault="00E67BAE" w:rsidP="008E15AB">
            <w:pPr>
              <w:numPr>
                <w:ilvl w:val="0"/>
                <w:numId w:val="3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10" w:after="0" w:line="273" w:lineRule="auto"/>
              <w:ind w:right="159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Participants included in study were all up to 20 years of age and receiving therapeutic treatment for their Grave’s Disease</w:t>
            </w:r>
          </w:p>
          <w:p w14:paraId="3FE62628" w14:textId="77777777" w:rsidR="00E67BAE" w:rsidRPr="00DC6CF5" w:rsidRDefault="00E67BAE" w:rsidP="008E15AB">
            <w:pPr>
              <w:numPr>
                <w:ilvl w:val="0"/>
                <w:numId w:val="3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66" w:lineRule="auto"/>
              <w:ind w:right="172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Outcomes include efficacy (in terms of remission rates) and any adverse</w:t>
            </w:r>
            <w:r w:rsidRPr="00DC6CF5">
              <w:rPr>
                <w:rFonts w:ascii="Arial" w:hAnsi="Arial" w:cs="Arial"/>
                <w:spacing w:val="-14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events</w:t>
            </w:r>
          </w:p>
          <w:p w14:paraId="7B52ABC3" w14:textId="77777777" w:rsidR="00E67BAE" w:rsidRPr="00DC6CF5" w:rsidRDefault="00E67BAE" w:rsidP="008E15AB">
            <w:pPr>
              <w:numPr>
                <w:ilvl w:val="0"/>
                <w:numId w:val="3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8" w:after="0" w:line="271" w:lineRule="auto"/>
              <w:ind w:right="136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Study design is not limited to</w:t>
            </w:r>
            <w:r w:rsidRPr="00DC6CF5">
              <w:rPr>
                <w:rFonts w:ascii="Arial" w:hAnsi="Arial" w:cs="Arial"/>
                <w:spacing w:val="-29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intervention vs control but can include varying doses of antithyroid/ radioiodine</w:t>
            </w:r>
            <w:r w:rsidRPr="00DC6CF5">
              <w:rPr>
                <w:rFonts w:ascii="Arial" w:hAnsi="Arial" w:cs="Arial"/>
                <w:spacing w:val="-10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treatment.</w:t>
            </w:r>
          </w:p>
          <w:p w14:paraId="2D9452E0" w14:textId="77777777" w:rsidR="00E67BAE" w:rsidRPr="00DC6CF5" w:rsidRDefault="00E67BAE" w:rsidP="008E15AB">
            <w:pPr>
              <w:numPr>
                <w:ilvl w:val="0"/>
                <w:numId w:val="3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3" w:after="0" w:line="271" w:lineRule="auto"/>
              <w:ind w:right="246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Bare minimum of addressing effectiveness or adverse events on</w:t>
            </w:r>
            <w:r w:rsidRPr="00DC6CF5">
              <w:rPr>
                <w:rFonts w:ascii="Arial" w:hAnsi="Arial" w:cs="Arial"/>
                <w:spacing w:val="-23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their own.</w:t>
            </w:r>
          </w:p>
        </w:tc>
        <w:tc>
          <w:tcPr>
            <w:tcW w:w="4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</w:tcPr>
          <w:p w14:paraId="2E3C18BE" w14:textId="77777777" w:rsidR="00E67BAE" w:rsidRPr="00DC6CF5" w:rsidRDefault="00E67BAE" w:rsidP="008E15AB">
            <w:pPr>
              <w:numPr>
                <w:ilvl w:val="0"/>
                <w:numId w:val="2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100" w:after="0" w:line="271" w:lineRule="auto"/>
              <w:ind w:right="322" w:hanging="360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Participants comprising the study population must not be followed for a period less than 6</w:t>
            </w:r>
            <w:r w:rsidRPr="00DC6CF5">
              <w:rPr>
                <w:rFonts w:ascii="Arial" w:hAnsi="Arial" w:cs="Arial"/>
                <w:spacing w:val="-5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months</w:t>
            </w:r>
          </w:p>
          <w:p w14:paraId="528E01CC" w14:textId="77777777" w:rsidR="00E67BAE" w:rsidRPr="00DC6CF5" w:rsidRDefault="00E67BAE" w:rsidP="008E15AB">
            <w:pPr>
              <w:numPr>
                <w:ilvl w:val="0"/>
                <w:numId w:val="2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3" w:after="0" w:line="266" w:lineRule="auto"/>
              <w:ind w:right="543" w:hanging="360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Studies with non-English</w:t>
            </w:r>
            <w:r w:rsidRPr="00DC6CF5">
              <w:rPr>
                <w:rFonts w:ascii="Arial" w:hAnsi="Arial" w:cs="Arial"/>
                <w:spacing w:val="-23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language Text</w:t>
            </w:r>
          </w:p>
          <w:p w14:paraId="2CE7C19B" w14:textId="77777777" w:rsidR="00E67BAE" w:rsidRPr="00DC6CF5" w:rsidRDefault="00E67BAE" w:rsidP="008E15AB">
            <w:pPr>
              <w:numPr>
                <w:ilvl w:val="0"/>
                <w:numId w:val="2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10" w:after="0" w:line="266" w:lineRule="auto"/>
              <w:ind w:right="1240" w:hanging="360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Conference abstracts,</w:t>
            </w:r>
            <w:r w:rsidRPr="00DC6CF5">
              <w:rPr>
                <w:rFonts w:ascii="Arial" w:hAnsi="Arial" w:cs="Arial"/>
                <w:spacing w:val="-12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case reports/series,</w:t>
            </w:r>
            <w:r w:rsidRPr="00DC6CF5">
              <w:rPr>
                <w:rFonts w:ascii="Arial" w:hAnsi="Arial" w:cs="Arial"/>
                <w:spacing w:val="-2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reviews</w:t>
            </w:r>
          </w:p>
          <w:p w14:paraId="51FB309F" w14:textId="77777777" w:rsidR="00E67BAE" w:rsidRPr="00DC6CF5" w:rsidRDefault="00E67BAE" w:rsidP="008E15AB">
            <w:pPr>
              <w:numPr>
                <w:ilvl w:val="0"/>
                <w:numId w:val="2"/>
              </w:numPr>
              <w:tabs>
                <w:tab w:val="left" w:pos="461"/>
              </w:tabs>
              <w:kinsoku w:val="0"/>
              <w:overflowPunct w:val="0"/>
              <w:autoSpaceDE w:val="0"/>
              <w:autoSpaceDN w:val="0"/>
              <w:adjustRightInd w:val="0"/>
              <w:spacing w:before="10" w:after="0" w:line="271" w:lineRule="auto"/>
              <w:ind w:right="116" w:hanging="360"/>
              <w:rPr>
                <w:rFonts w:ascii="Arial" w:hAnsi="Arial" w:cs="Arial"/>
                <w:szCs w:val="22"/>
                <w:lang w:bidi="ar-SA"/>
              </w:rPr>
            </w:pPr>
            <w:r w:rsidRPr="00DC6CF5">
              <w:rPr>
                <w:rFonts w:ascii="Arial" w:hAnsi="Arial" w:cs="Arial"/>
                <w:szCs w:val="22"/>
                <w:lang w:bidi="ar-SA"/>
              </w:rPr>
              <w:t>Studies taken place in the least developed countries as these are less representative of the UK clinical</w:t>
            </w:r>
            <w:r w:rsidRPr="00DC6CF5">
              <w:rPr>
                <w:rFonts w:ascii="Arial" w:hAnsi="Arial" w:cs="Arial"/>
                <w:spacing w:val="-14"/>
                <w:szCs w:val="22"/>
                <w:lang w:bidi="ar-SA"/>
              </w:rPr>
              <w:t xml:space="preserve"> </w:t>
            </w:r>
            <w:r w:rsidRPr="00DC6CF5">
              <w:rPr>
                <w:rFonts w:ascii="Arial" w:hAnsi="Arial" w:cs="Arial"/>
                <w:szCs w:val="22"/>
                <w:lang w:bidi="ar-SA"/>
              </w:rPr>
              <w:t>setting</w:t>
            </w:r>
          </w:p>
        </w:tc>
      </w:tr>
    </w:tbl>
    <w:p w14:paraId="0CC44C7B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61B6AFEC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3887D524" w14:textId="77777777" w:rsidR="00E67BAE" w:rsidRDefault="00E67BAE" w:rsidP="00E67BAE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sz w:val="24"/>
          <w:szCs w:val="24"/>
          <w:lang w:bidi="ar-SA"/>
        </w:rPr>
      </w:pPr>
    </w:p>
    <w:p w14:paraId="4E0888D7" w14:textId="77777777" w:rsidR="00E67BAE" w:rsidRPr="00432D18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Supplementary Table 4: Selection Criteria for Primary Studies</w:t>
      </w:r>
    </w:p>
    <w:p w14:paraId="387673E0" w14:textId="77777777" w:rsidR="00E67BAE" w:rsidRPr="00AF0BFC" w:rsidRDefault="00E67BAE" w:rsidP="00E67BAE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sz w:val="7"/>
          <w:szCs w:val="7"/>
          <w:lang w:bidi="ar-SA"/>
        </w:rPr>
      </w:pPr>
    </w:p>
    <w:p w14:paraId="33483510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742874BC" w14:textId="77777777" w:rsidR="00E67BAE" w:rsidRPr="00432D18" w:rsidRDefault="00E67BAE" w:rsidP="00E67BAE">
      <w:pPr>
        <w:rPr>
          <w:rFonts w:ascii="Arial" w:hAnsi="Arial" w:cs="Arial"/>
          <w:szCs w:val="22"/>
        </w:rPr>
      </w:pPr>
      <w:r w:rsidRPr="006F0AB2">
        <w:rPr>
          <w:rFonts w:ascii="Arial" w:hAnsi="Arial" w:cs="Arial"/>
          <w:noProof/>
          <w:szCs w:val="22"/>
        </w:rPr>
        <w:lastRenderedPageBreak/>
        <w:drawing>
          <wp:anchor distT="0" distB="0" distL="114300" distR="114300" simplePos="0" relativeHeight="251662336" behindDoc="1" locked="0" layoutInCell="1" allowOverlap="1" wp14:anchorId="09D820AA" wp14:editId="4369BF5F">
            <wp:simplePos x="0" y="0"/>
            <wp:positionH relativeFrom="column">
              <wp:posOffset>-381000</wp:posOffset>
            </wp:positionH>
            <wp:positionV relativeFrom="paragraph">
              <wp:posOffset>19050</wp:posOffset>
            </wp:positionV>
            <wp:extent cx="6567805" cy="6810375"/>
            <wp:effectExtent l="19050" t="19050" r="23495" b="28575"/>
            <wp:wrapTight wrapText="bothSides">
              <wp:wrapPolygon edited="0">
                <wp:start x="-63" y="-60"/>
                <wp:lineTo x="-63" y="21630"/>
                <wp:lineTo x="21615" y="21630"/>
                <wp:lineTo x="21615" y="-60"/>
                <wp:lineTo x="-63" y="-60"/>
              </wp:wrapPolygon>
            </wp:wrapTight>
            <wp:docPr id="909384842" name="Picture 1" descr="A diagram of a research proce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384842" name="Picture 1" descr="A diagram of a research process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7805" cy="68103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134CE7" w14:textId="77777777" w:rsidR="00E67BAE" w:rsidRPr="00432D18" w:rsidRDefault="00E67BAE" w:rsidP="00E67BAE">
      <w:pPr>
        <w:rPr>
          <w:rFonts w:ascii="Arial" w:hAnsi="Arial" w:cs="Arial"/>
          <w:szCs w:val="22"/>
        </w:rPr>
      </w:pPr>
    </w:p>
    <w:p w14:paraId="327A1675" w14:textId="77777777" w:rsidR="00E67BAE" w:rsidRPr="00432D18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Supplementary Figure 1: PRISMA </w:t>
      </w:r>
      <w:r w:rsidRPr="005C754B">
        <w:rPr>
          <w:rFonts w:ascii="Arial" w:hAnsi="Arial" w:cs="Arial"/>
          <w:szCs w:val="22"/>
        </w:rPr>
        <w:t xml:space="preserve">Flowchart </w:t>
      </w:r>
      <w:r>
        <w:rPr>
          <w:rFonts w:ascii="Arial" w:hAnsi="Arial" w:cs="Arial"/>
          <w:szCs w:val="22"/>
        </w:rPr>
        <w:t>depicting</w:t>
      </w:r>
      <w:r w:rsidRPr="005C754B">
        <w:rPr>
          <w:rFonts w:ascii="Arial" w:hAnsi="Arial" w:cs="Arial"/>
          <w:szCs w:val="22"/>
        </w:rPr>
        <w:t xml:space="preserve"> screening </w:t>
      </w:r>
      <w:r>
        <w:rPr>
          <w:rFonts w:ascii="Arial" w:hAnsi="Arial" w:cs="Arial"/>
          <w:szCs w:val="22"/>
        </w:rPr>
        <w:t>fo</w:t>
      </w:r>
      <w:r w:rsidRPr="005C754B">
        <w:rPr>
          <w:rFonts w:ascii="Arial" w:hAnsi="Arial" w:cs="Arial"/>
          <w:szCs w:val="22"/>
        </w:rPr>
        <w:t>r systematic reviews</w:t>
      </w:r>
    </w:p>
    <w:p w14:paraId="10BC467F" w14:textId="77777777" w:rsidR="00E67BAE" w:rsidRDefault="00E67BAE" w:rsidP="00E67BAE">
      <w:pPr>
        <w:rPr>
          <w:rFonts w:ascii="Arial" w:hAnsi="Arial" w:cs="Arial"/>
          <w:szCs w:val="22"/>
        </w:rPr>
      </w:pPr>
    </w:p>
    <w:p w14:paraId="21E92E43" w14:textId="77777777" w:rsidR="00E67BAE" w:rsidRDefault="00E67BAE" w:rsidP="00E67BAE">
      <w:pPr>
        <w:rPr>
          <w:rFonts w:ascii="Arial" w:hAnsi="Arial" w:cs="Arial"/>
          <w:szCs w:val="22"/>
        </w:rPr>
      </w:pPr>
    </w:p>
    <w:p w14:paraId="09A075B1" w14:textId="77777777" w:rsidR="00E67BAE" w:rsidRDefault="00E67BAE" w:rsidP="00E67BAE">
      <w:pPr>
        <w:rPr>
          <w:rFonts w:ascii="Arial" w:hAnsi="Arial" w:cs="Arial"/>
          <w:szCs w:val="22"/>
        </w:rPr>
      </w:pPr>
    </w:p>
    <w:p w14:paraId="6BCFC75D" w14:textId="77777777" w:rsidR="00E67BAE" w:rsidRDefault="00E67BAE" w:rsidP="00E67BAE">
      <w:pPr>
        <w:rPr>
          <w:rFonts w:ascii="Arial" w:hAnsi="Arial" w:cs="Arial"/>
          <w:szCs w:val="22"/>
        </w:rPr>
      </w:pPr>
    </w:p>
    <w:p w14:paraId="1D20203E" w14:textId="77777777" w:rsidR="00E67BAE" w:rsidRDefault="00E67BAE" w:rsidP="00E67BAE">
      <w:pPr>
        <w:rPr>
          <w:rFonts w:ascii="Arial" w:hAnsi="Arial" w:cs="Arial"/>
          <w:szCs w:val="22"/>
        </w:rPr>
      </w:pPr>
      <w:r w:rsidRPr="007A2525">
        <w:rPr>
          <w:rFonts w:ascii="Arial" w:hAnsi="Arial" w:cs="Arial"/>
          <w:noProof/>
          <w:szCs w:val="22"/>
        </w:rPr>
        <w:lastRenderedPageBreak/>
        <w:drawing>
          <wp:anchor distT="0" distB="0" distL="114300" distR="114300" simplePos="0" relativeHeight="251661312" behindDoc="1" locked="0" layoutInCell="1" allowOverlap="1" wp14:anchorId="4ADF8065" wp14:editId="7B4D7735">
            <wp:simplePos x="0" y="0"/>
            <wp:positionH relativeFrom="column">
              <wp:posOffset>-400050</wp:posOffset>
            </wp:positionH>
            <wp:positionV relativeFrom="paragraph">
              <wp:posOffset>19050</wp:posOffset>
            </wp:positionV>
            <wp:extent cx="6400800" cy="7282180"/>
            <wp:effectExtent l="19050" t="19050" r="19050" b="13970"/>
            <wp:wrapTight wrapText="bothSides">
              <wp:wrapPolygon edited="0">
                <wp:start x="-64" y="-57"/>
                <wp:lineTo x="-64" y="21585"/>
                <wp:lineTo x="21600" y="21585"/>
                <wp:lineTo x="21600" y="-57"/>
                <wp:lineTo x="-64" y="-57"/>
              </wp:wrapPolygon>
            </wp:wrapTight>
            <wp:docPr id="1518210361" name="Picture 1" descr="A diagram of a medical proced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210361" name="Picture 1" descr="A diagram of a medical procedure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72821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819BE6" w14:textId="77777777" w:rsidR="00E67BAE" w:rsidRDefault="00E67BAE" w:rsidP="00E67BAE">
      <w:pPr>
        <w:jc w:val="center"/>
        <w:rPr>
          <w:rFonts w:ascii="Arial" w:hAnsi="Arial" w:cs="Arial"/>
          <w:szCs w:val="22"/>
        </w:rPr>
      </w:pPr>
    </w:p>
    <w:p w14:paraId="2B46BB4B" w14:textId="77777777" w:rsidR="00E67BAE" w:rsidRPr="00432D18" w:rsidRDefault="00E67BAE" w:rsidP="00E67BAE">
      <w:pPr>
        <w:jc w:val="center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Supplementary Figure 2: PRISMA </w:t>
      </w:r>
      <w:r w:rsidRPr="005C754B">
        <w:rPr>
          <w:rFonts w:ascii="Arial" w:hAnsi="Arial" w:cs="Arial"/>
          <w:szCs w:val="22"/>
        </w:rPr>
        <w:t xml:space="preserve">Flowchart </w:t>
      </w:r>
      <w:r>
        <w:rPr>
          <w:rFonts w:ascii="Arial" w:hAnsi="Arial" w:cs="Arial"/>
          <w:szCs w:val="22"/>
        </w:rPr>
        <w:t>depicting</w:t>
      </w:r>
      <w:r w:rsidRPr="005C754B">
        <w:rPr>
          <w:rFonts w:ascii="Arial" w:hAnsi="Arial" w:cs="Arial"/>
          <w:szCs w:val="22"/>
        </w:rPr>
        <w:t xml:space="preserve"> screening </w:t>
      </w:r>
      <w:r>
        <w:rPr>
          <w:rFonts w:ascii="Arial" w:hAnsi="Arial" w:cs="Arial"/>
          <w:szCs w:val="22"/>
        </w:rPr>
        <w:t>fo</w:t>
      </w:r>
      <w:r w:rsidRPr="005C754B">
        <w:rPr>
          <w:rFonts w:ascii="Arial" w:hAnsi="Arial" w:cs="Arial"/>
          <w:szCs w:val="22"/>
        </w:rPr>
        <w:t xml:space="preserve">r </w:t>
      </w:r>
      <w:r>
        <w:rPr>
          <w:rFonts w:ascii="Arial" w:hAnsi="Arial" w:cs="Arial"/>
          <w:szCs w:val="22"/>
        </w:rPr>
        <w:t>primary studies</w:t>
      </w:r>
    </w:p>
    <w:p w14:paraId="599EDED3" w14:textId="77777777" w:rsidR="00393E7E" w:rsidRDefault="00393E7E"/>
    <w:sectPr w:rsidR="00393E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402"/>
    <w:multiLevelType w:val="multilevel"/>
    <w:tmpl w:val="FFFFFFFF"/>
    <w:lvl w:ilvl="0">
      <w:numFmt w:val="bullet"/>
      <w:lvlText w:val=""/>
      <w:lvlJc w:val="left"/>
      <w:pPr>
        <w:ind w:left="823" w:hanging="360"/>
      </w:pPr>
      <w:rPr>
        <w:rFonts w:ascii="Symbol" w:hAnsi="Symbol" w:cs="Symbol"/>
        <w:b w:val="0"/>
        <w:bCs w:val="0"/>
        <w:color w:val="0D0D0D"/>
        <w:w w:val="100"/>
        <w:sz w:val="24"/>
        <w:szCs w:val="24"/>
      </w:rPr>
    </w:lvl>
    <w:lvl w:ilvl="1">
      <w:numFmt w:val="bullet"/>
      <w:lvlText w:val="•"/>
      <w:lvlJc w:val="left"/>
      <w:pPr>
        <w:ind w:left="1488" w:hanging="360"/>
      </w:pPr>
    </w:lvl>
    <w:lvl w:ilvl="2">
      <w:numFmt w:val="bullet"/>
      <w:lvlText w:val="•"/>
      <w:lvlJc w:val="left"/>
      <w:pPr>
        <w:ind w:left="2157" w:hanging="360"/>
      </w:pPr>
    </w:lvl>
    <w:lvl w:ilvl="3">
      <w:numFmt w:val="bullet"/>
      <w:lvlText w:val="•"/>
      <w:lvlJc w:val="left"/>
      <w:pPr>
        <w:ind w:left="2826" w:hanging="360"/>
      </w:pPr>
    </w:lvl>
    <w:lvl w:ilvl="4">
      <w:numFmt w:val="bullet"/>
      <w:lvlText w:val="•"/>
      <w:lvlJc w:val="left"/>
      <w:pPr>
        <w:ind w:left="3494" w:hanging="360"/>
      </w:pPr>
    </w:lvl>
    <w:lvl w:ilvl="5">
      <w:numFmt w:val="bullet"/>
      <w:lvlText w:val="•"/>
      <w:lvlJc w:val="left"/>
      <w:pPr>
        <w:ind w:left="4163" w:hanging="360"/>
      </w:pPr>
    </w:lvl>
    <w:lvl w:ilvl="6">
      <w:numFmt w:val="bullet"/>
      <w:lvlText w:val="•"/>
      <w:lvlJc w:val="left"/>
      <w:pPr>
        <w:ind w:left="4832" w:hanging="360"/>
      </w:pPr>
    </w:lvl>
    <w:lvl w:ilvl="7">
      <w:numFmt w:val="bullet"/>
      <w:lvlText w:val="•"/>
      <w:lvlJc w:val="left"/>
      <w:pPr>
        <w:ind w:left="5500" w:hanging="360"/>
      </w:pPr>
    </w:lvl>
    <w:lvl w:ilvl="8">
      <w:numFmt w:val="bullet"/>
      <w:lvlText w:val="•"/>
      <w:lvlJc w:val="left"/>
      <w:pPr>
        <w:ind w:left="6169" w:hanging="360"/>
      </w:pPr>
    </w:lvl>
  </w:abstractNum>
  <w:abstractNum w:abstractNumId="1" w15:restartNumberingAfterBreak="0">
    <w:nsid w:val="00000403"/>
    <w:multiLevelType w:val="multilevel"/>
    <w:tmpl w:val="FFFFFFFF"/>
    <w:lvl w:ilvl="0">
      <w:numFmt w:val="bullet"/>
      <w:lvlText w:val=""/>
      <w:lvlJc w:val="left"/>
      <w:pPr>
        <w:ind w:left="460" w:hanging="361"/>
      </w:pPr>
      <w:rPr>
        <w:rFonts w:ascii="Symbol" w:hAnsi="Symbol" w:cs="Symbol"/>
        <w:b w:val="0"/>
        <w:bCs w:val="0"/>
        <w:w w:val="100"/>
        <w:sz w:val="24"/>
        <w:szCs w:val="24"/>
      </w:rPr>
    </w:lvl>
    <w:lvl w:ilvl="1">
      <w:numFmt w:val="bullet"/>
      <w:lvlText w:val="•"/>
      <w:lvlJc w:val="left"/>
      <w:pPr>
        <w:ind w:left="852" w:hanging="361"/>
      </w:pPr>
    </w:lvl>
    <w:lvl w:ilvl="2">
      <w:numFmt w:val="bullet"/>
      <w:lvlText w:val="•"/>
      <w:lvlJc w:val="left"/>
      <w:pPr>
        <w:ind w:left="1244" w:hanging="361"/>
      </w:pPr>
    </w:lvl>
    <w:lvl w:ilvl="3">
      <w:numFmt w:val="bullet"/>
      <w:lvlText w:val="•"/>
      <w:lvlJc w:val="left"/>
      <w:pPr>
        <w:ind w:left="1636" w:hanging="361"/>
      </w:pPr>
    </w:lvl>
    <w:lvl w:ilvl="4">
      <w:numFmt w:val="bullet"/>
      <w:lvlText w:val="•"/>
      <w:lvlJc w:val="left"/>
      <w:pPr>
        <w:ind w:left="2028" w:hanging="361"/>
      </w:pPr>
    </w:lvl>
    <w:lvl w:ilvl="5">
      <w:numFmt w:val="bullet"/>
      <w:lvlText w:val="•"/>
      <w:lvlJc w:val="left"/>
      <w:pPr>
        <w:ind w:left="2420" w:hanging="361"/>
      </w:pPr>
    </w:lvl>
    <w:lvl w:ilvl="6">
      <w:numFmt w:val="bullet"/>
      <w:lvlText w:val="•"/>
      <w:lvlJc w:val="left"/>
      <w:pPr>
        <w:ind w:left="2812" w:hanging="361"/>
      </w:pPr>
    </w:lvl>
    <w:lvl w:ilvl="7">
      <w:numFmt w:val="bullet"/>
      <w:lvlText w:val="•"/>
      <w:lvlJc w:val="left"/>
      <w:pPr>
        <w:ind w:left="3204" w:hanging="361"/>
      </w:pPr>
    </w:lvl>
    <w:lvl w:ilvl="8">
      <w:numFmt w:val="bullet"/>
      <w:lvlText w:val="•"/>
      <w:lvlJc w:val="left"/>
      <w:pPr>
        <w:ind w:left="3596" w:hanging="361"/>
      </w:pPr>
    </w:lvl>
  </w:abstractNum>
  <w:abstractNum w:abstractNumId="2" w15:restartNumberingAfterBreak="0">
    <w:nsid w:val="50CB420D"/>
    <w:multiLevelType w:val="hybridMultilevel"/>
    <w:tmpl w:val="5060D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AB020B"/>
    <w:multiLevelType w:val="hybridMultilevel"/>
    <w:tmpl w:val="8368A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8962554">
    <w:abstractNumId w:val="0"/>
  </w:num>
  <w:num w:numId="2" w16cid:durableId="911041737">
    <w:abstractNumId w:val="1"/>
  </w:num>
  <w:num w:numId="3" w16cid:durableId="1236822922">
    <w:abstractNumId w:val="2"/>
  </w:num>
  <w:num w:numId="4" w16cid:durableId="101889370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AE"/>
    <w:rsid w:val="00393E7E"/>
    <w:rsid w:val="0060641C"/>
    <w:rsid w:val="007D7073"/>
    <w:rsid w:val="00E352E0"/>
    <w:rsid w:val="00E6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E061F"/>
  <w15:chartTrackingRefBased/>
  <w15:docId w15:val="{5058C5D1-35CD-422F-A7F0-DC83E02097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BAE"/>
    <w:rPr>
      <w:kern w:val="0"/>
      <w:szCs w:val="20"/>
      <w:lang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7B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7B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7B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7B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7B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7B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7B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7B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7B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7B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7B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7B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7B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7B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7B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7B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7B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7B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7B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7B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7B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7B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7B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7B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E67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7B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7B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7B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7BAE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E67BAE"/>
  </w:style>
  <w:style w:type="table" w:styleId="GridTable5Dark-Accent5">
    <w:name w:val="Grid Table 5 Dark Accent 5"/>
    <w:basedOn w:val="TableNormal"/>
    <w:uiPriority w:val="50"/>
    <w:rsid w:val="00E67BAE"/>
    <w:pPr>
      <w:spacing w:after="0" w:line="240" w:lineRule="auto"/>
    </w:pPr>
    <w:rPr>
      <w:kern w:val="0"/>
      <w:szCs w:val="20"/>
      <w:lang w:bidi="hi-IN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977</Words>
  <Characters>5574</Characters>
  <Application>Microsoft Office Word</Application>
  <DocSecurity>0</DocSecurity>
  <Lines>46</Lines>
  <Paragraphs>13</Paragraphs>
  <ScaleCrop>false</ScaleCrop>
  <Company/>
  <LinksUpToDate>false</LinksUpToDate>
  <CharactersWithSpaces>6538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Sinha</dc:creator>
  <cp:keywords/>
  <dc:description/>
  <cp:lastModifiedBy>Rakesh Sinha</cp:lastModifiedBy>
  <cp:revision>1</cp:revision>
  <dcterms:created xsi:type="dcterms:W3CDTF">2024-06-01T10:34:00Z</dcterms:created>
  <dcterms:modified xsi:type="dcterms:W3CDTF">2024-06-01T10:39:00Z</dcterms:modified>
</cp:coreProperties>
</file>