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t>Supporting information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 xml:space="preserve"> for</w:t>
      </w:r>
    </w:p>
    <w:p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820"/>
        </w:tabs>
        <w:adjustRightInd w:val="0"/>
        <w:outlineLvl w:val="0"/>
        <w:rPr>
          <w:rFonts w:ascii="Times New Roman" w:hAnsi="Times New Roman" w:eastAsia="等线" w:cs="Times New Roman"/>
          <w:b/>
          <w:bCs/>
          <w:sz w:val="22"/>
        </w:rPr>
      </w:pPr>
    </w:p>
    <w:p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820"/>
        </w:tabs>
        <w:adjustRightInd w:val="0"/>
        <w:outlineLvl w:val="0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adjustRightInd w:val="0"/>
        <w:snapToGrid w:val="0"/>
        <w:spacing w:before="120"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8035357"/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Zinc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i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sotope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f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ractionation in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oil-rice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ystems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constrained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by varying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w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ater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r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egimes and Zn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f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ertilizer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appl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ication</w:t>
      </w:r>
      <w:bookmarkStart w:id="3" w:name="_GoBack"/>
      <w:bookmarkEnd w:id="3"/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: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i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mplication for Zn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b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iofortification </w:t>
      </w:r>
    </w:p>
    <w:bookmarkEnd w:id="0"/>
    <w:p>
      <w:pPr>
        <w:adjustRightInd w:val="0"/>
        <w:snapToGrid w:val="0"/>
        <w:spacing w:line="480" w:lineRule="auto"/>
        <w:rPr>
          <w:rFonts w:ascii="Times New Roman" w:hAnsi="Times New Roman" w:cs="Times New Roman"/>
          <w:b w:val="0"/>
          <w:bCs/>
          <w:sz w:val="24"/>
          <w:szCs w:val="24"/>
          <w:highlight w:val="none"/>
        </w:rPr>
      </w:pPr>
      <w:bookmarkStart w:id="1" w:name="_Hlk64818315"/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>Songxiong Zhong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,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vertAlign w:val="superscript"/>
        </w:rPr>
        <w:t>†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 xml:space="preserve"> Ruichuan Gao,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vertAlign w:val="superscript"/>
        </w:rPr>
        <w:t>†</w:t>
      </w:r>
      <w:r>
        <w:rPr>
          <w:rFonts w:hint="eastAsia" w:ascii="Times New Roman" w:hAnsi="Times New Roman" w:cs="Times New Roman"/>
          <w:b w:val="0"/>
          <w:sz w:val="24"/>
          <w:szCs w:val="24"/>
          <w:highlight w:val="none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Yuhui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Liu,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  <w:vertAlign w:val="superscript"/>
        </w:rPr>
        <w:t xml:space="preserve">‡ </w:t>
      </w:r>
      <w:r>
        <w:rPr>
          <w:rFonts w:hint="eastAsia" w:ascii="Times New Roman" w:hAnsi="Times New Roman" w:eastAsia="宋体" w:cs="Times New Roman"/>
          <w:b w:val="0"/>
          <w:color w:val="000000"/>
          <w:sz w:val="24"/>
          <w:szCs w:val="24"/>
          <w:highlight w:val="none"/>
        </w:rPr>
        <w:t>Kaiwen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 w:val="0"/>
          <w:color w:val="000000"/>
          <w:sz w:val="24"/>
          <w:szCs w:val="24"/>
          <w:highlight w:val="none"/>
        </w:rPr>
        <w:t>C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>ao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,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vertAlign w:val="superscript"/>
        </w:rPr>
        <w:t>†</w:t>
      </w:r>
      <w:r>
        <w:rPr>
          <w:rFonts w:hint="eastAsia" w:ascii="Times New Roman" w:hAnsi="Times New Roman" w:cs="Times New Roman"/>
          <w:b w:val="0"/>
          <w:sz w:val="24"/>
          <w:szCs w:val="24"/>
          <w:highlight w:val="none"/>
          <w:vertAlign w:val="superscript"/>
        </w:rPr>
        <w:t xml:space="preserve"> </w:t>
      </w:r>
      <w:r>
        <w:rPr>
          <w:rFonts w:hint="eastAsia" w:ascii="Times New Roman" w:hAnsi="Times New Roman" w:eastAsia="宋体" w:cs="Times New Roman"/>
          <w:b w:val="0"/>
          <w:color w:val="000000"/>
          <w:sz w:val="24"/>
          <w:szCs w:val="24"/>
          <w:highlight w:val="none"/>
        </w:rPr>
        <w:t>Chao Jin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>,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vertAlign w:val="superscript"/>
        </w:rPr>
        <w:t>†</w:t>
      </w:r>
      <w:r>
        <w:rPr>
          <w:rFonts w:hint="eastAsia" w:ascii="Times New Roman" w:hAnsi="Times New Roman" w:cs="Times New Roman"/>
          <w:b w:val="0"/>
          <w:sz w:val="24"/>
          <w:szCs w:val="24"/>
          <w:highlight w:val="none"/>
          <w:vertAlign w:val="superscript"/>
        </w:rPr>
        <w:t xml:space="preserve"> 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>Xiaomin Li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,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 xml:space="preserve">§ 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>Liping Fang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,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vertAlign w:val="superscript"/>
        </w:rPr>
        <w:t>†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Tongxu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Liu,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  <w:vertAlign w:val="superscript"/>
        </w:rPr>
        <w:t xml:space="preserve">‡ 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vertAlign w:val="superscript"/>
        </w:rPr>
        <w:t xml:space="preserve"> </w:t>
      </w:r>
      <w:r>
        <w:rPr>
          <w:rFonts w:hint="eastAsia" w:ascii="Times New Roman" w:hAnsi="Times New Roman" w:cs="Times New Roman"/>
          <w:b w:val="0"/>
          <w:sz w:val="24"/>
          <w:szCs w:val="24"/>
          <w:vertAlign w:val="baseline"/>
          <w:lang w:val="en-US" w:eastAsia="zh-CN"/>
        </w:rPr>
        <w:t>Chuanping Liu,</w:t>
      </w:r>
      <w:r>
        <w:rPr>
          <w:rFonts w:ascii="Times New Roman" w:hAnsi="Times New Roman" w:cs="Times New Roman"/>
          <w:b w:val="0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vertAlign w:val="superscript"/>
        </w:rPr>
        <w:t>,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</w:rPr>
        <w:t>*</w:t>
      </w:r>
      <w:r>
        <w:rPr>
          <w:rFonts w:hint="eastAsia" w:ascii="Times New Roman" w:hAnsi="Times New Roman" w:eastAsia="宋体" w:cs="Times New Roman"/>
          <w:b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>Fangbai Li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</w:rPr>
        <w:t>,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vertAlign w:val="superscript"/>
        </w:rPr>
        <w:t>†</w:t>
      </w: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 xml:space="preserve"> 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eastAsia="･ﾒ･鬣ｮ･ﾎｽﾇ･ｴ Pro W3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bookmarkEnd w:id="1"/>
    <w:p>
      <w:pPr>
        <w:pStyle w:val="1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</w:tabs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vertAlign w:val="superscript"/>
        </w:rPr>
      </w:pPr>
    </w:p>
    <w:p>
      <w:pPr>
        <w:pStyle w:val="1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</w:tabs>
        <w:adjustRightInd w:val="0"/>
        <w:snapToGrid w:val="0"/>
        <w:spacing w:line="480" w:lineRule="auto"/>
        <w:jc w:val="left"/>
        <w:rPr>
          <w:rFonts w:ascii="Times New Roman" w:hAnsi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4"/>
          <w:vertAlign w:val="superscript"/>
        </w:rPr>
        <w:t>†</w:t>
      </w:r>
      <w:bookmarkStart w:id="2" w:name="_Hlk26367876"/>
      <w:r>
        <w:rPr>
          <w:rFonts w:ascii="Times New Roman" w:hAnsi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Guangdong Key Laboratory of Integrated Agro-Environmental Pollution Control and Management, Guangdong Institute of Eco-</w:t>
      </w:r>
      <w:r>
        <w:rPr>
          <w:rFonts w:ascii="Times New Roman" w:hAnsi="Times New Roman"/>
          <w:i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E</w:t>
      </w:r>
      <w:r>
        <w:rPr>
          <w:rFonts w:ascii="Times New Roman" w:hAnsi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nvironmental Science &amp; Technology</w:t>
      </w:r>
      <w:r>
        <w:rPr>
          <w:rFonts w:ascii="Times New Roman" w:hAnsi="Times New Roman"/>
          <w:i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Guangzhou 510650, China</w:t>
      </w:r>
    </w:p>
    <w:bookmarkEnd w:id="2"/>
    <w:p>
      <w:pPr>
        <w:adjustRightInd w:val="0"/>
        <w:snapToGrid w:val="0"/>
        <w:spacing w:line="480" w:lineRule="auto"/>
        <w:rPr>
          <w:rFonts w:ascii="Times New Roman" w:hAnsi="Times New Roman" w:eastAsia="･ﾒ･鬣ｮ･ﾎｽﾇ･ｴ Pro W3" w:cs="Times New Roman"/>
          <w:b w:val="0"/>
          <w:i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vertAlign w:val="superscript"/>
        </w:rPr>
        <w:t>‡</w:t>
      </w:r>
      <w:r>
        <w:rPr>
          <w:rFonts w:ascii="Times New Roman" w:hAnsi="Times New Roman" w:eastAsia="･ﾒ･鬣ｮ･ﾎｽﾇ･ｴ Pro W3" w:cs="Times New Roman"/>
          <w:b w:val="0"/>
          <w:i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  <w:t>State Key Laboratory of Environmental Geochemistry, Institute of Geochemistry, Chinese Academy of Sciences, Guiyang 550081, P.R. China</w:t>
      </w:r>
    </w:p>
    <w:p>
      <w:pPr>
        <w:adjustRightInd w:val="0"/>
        <w:snapToGrid w:val="0"/>
        <w:spacing w:line="480" w:lineRule="auto"/>
        <w:rPr>
          <w:rFonts w:ascii="Times New Roman" w:hAnsi="Times New Roman" w:eastAsia="･ﾒ･鬣ｮ･ﾎｽﾇ･ｴ Pro W3" w:cs="Times New Roman"/>
          <w:b w:val="0"/>
          <w:i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§</w:t>
      </w:r>
      <w:r>
        <w:rPr>
          <w:rFonts w:ascii="Times New Roman" w:hAnsi="Times New Roman" w:eastAsia="･ﾒ･鬣ｮ･ﾎｽﾇ･ｴ Pro W3" w:cs="Times New Roman"/>
          <w:b w:val="0"/>
          <w:i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  <w:t>SCNU Environmental Research Institute, Guangdong Provincial Key Laboratory of Chemical Pollution and Environmental Safety &amp; MOE Key Laboratory of Theoretical Chemistry</w:t>
      </w:r>
      <w:r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of </w:t>
      </w:r>
      <w:r>
        <w:rPr>
          <w:rFonts w:ascii="Times New Roman" w:hAnsi="Times New Roman" w:eastAsia="･ﾒ･鬣ｮ･ﾎｽﾇ･ｴ Pro W3" w:cs="Times New Roman"/>
          <w:b w:val="0"/>
          <w:i/>
          <w:color w:val="000000" w:themeColor="text1"/>
          <w:sz w:val="24"/>
          <w:szCs w:val="24"/>
          <w:lang w:eastAsia="ja-JP"/>
          <w14:textFill>
            <w14:solidFill>
              <w14:schemeClr w14:val="tx1"/>
            </w14:solidFill>
          </w14:textFill>
        </w:rPr>
        <w:t>Environment, South China Normal University, Guangzhou 510006, China</w:t>
      </w:r>
    </w:p>
    <w:p>
      <w:pPr>
        <w:tabs>
          <w:tab w:val="left" w:pos="8820"/>
        </w:tabs>
        <w:spacing w:after="156" w:afterLines="50" w:line="320" w:lineRule="exact"/>
        <w:ind w:left="357" w:hanging="357"/>
        <w:rPr>
          <w:rFonts w:ascii="Times New Roman" w:hAnsi="Times New Roman" w:eastAsia="宋体"/>
          <w:bCs/>
          <w:i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</w:pPr>
    </w:p>
    <w:p>
      <w:pPr>
        <w:tabs>
          <w:tab w:val="left" w:pos="8820"/>
        </w:tabs>
        <w:spacing w:after="156" w:afterLines="50" w:line="320" w:lineRule="exact"/>
        <w:ind w:left="357" w:hanging="357"/>
        <w:rPr>
          <w:rFonts w:ascii="Times New Roman" w:hAnsi="Times New Roman" w:eastAsia="等线" w:cs="Times New Roman"/>
          <w:b/>
          <w:color w:val="000000"/>
          <w:sz w:val="24"/>
          <w:szCs w:val="24"/>
        </w:rPr>
      </w:pPr>
    </w:p>
    <w:p>
      <w:pPr>
        <w:tabs>
          <w:tab w:val="left" w:pos="8820"/>
        </w:tabs>
        <w:spacing w:line="320" w:lineRule="exact"/>
        <w:ind w:left="360" w:hanging="360"/>
        <w:rPr>
          <w:rFonts w:ascii="Times New Roman" w:hAnsi="Times New Roman" w:eastAsia="等线" w:cs="Times New Roman"/>
          <w:b/>
          <w:color w:val="000000"/>
          <w:sz w:val="24"/>
          <w:szCs w:val="24"/>
        </w:rPr>
      </w:pPr>
    </w:p>
    <w:p>
      <w:pPr>
        <w:tabs>
          <w:tab w:val="left" w:pos="8820"/>
        </w:tabs>
        <w:ind w:left="360" w:hanging="360"/>
        <w:rPr>
          <w:rFonts w:ascii="Times New Roman" w:hAnsi="Times New Roman" w:eastAsia="等线" w:cs="Times New Roman"/>
          <w:b/>
          <w:color w:val="000000"/>
          <w:sz w:val="24"/>
          <w:szCs w:val="24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eastAsia="ja-JP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eastAsia="ja-JP"/>
          <w14:textFill>
            <w14:solidFill>
              <w14:schemeClr w14:val="tx1"/>
            </w14:solidFill>
          </w14:textFill>
        </w:rPr>
        <w:t xml:space="preserve">*Corresponding author. </w:t>
      </w:r>
    </w:p>
    <w:p>
      <w:pPr>
        <w:adjustRightInd w:val="0"/>
        <w:snapToGrid w:val="0"/>
        <w:spacing w:line="480" w:lineRule="auto"/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eastAsia="ja-JP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eastAsia="ja-JP"/>
          <w14:textFill>
            <w14:solidFill>
              <w14:schemeClr w14:val="tx1"/>
            </w14:solidFill>
          </w14:textFill>
        </w:rPr>
        <w:t>Mailing address:</w:t>
      </w:r>
      <w:r>
        <w:rPr>
          <w:rFonts w:hint="eastAsia"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eastAsia="ja-JP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eastAsia="ja-JP"/>
          <w14:textFill>
            <w14:solidFill>
              <w14:schemeClr w14:val="tx1"/>
            </w14:solidFill>
          </w14:textFill>
        </w:rPr>
        <w:t>No. 808 Tianyuan Road, Guangzhou 510650, P. R. China</w:t>
      </w:r>
    </w:p>
    <w:p>
      <w:pPr>
        <w:adjustRightInd w:val="0"/>
        <w:snapToGrid w:val="0"/>
        <w:spacing w:line="480" w:lineRule="auto"/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val="fr-FR" w:eastAsia="ja-JP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val="fr-FR" w:eastAsia="ja-JP"/>
          <w14:textFill>
            <w14:solidFill>
              <w14:schemeClr w14:val="tx1"/>
            </w14:solidFill>
          </w14:textFill>
        </w:rPr>
        <w:t>Phone: +86-20-37021396  Fax: +86-20-87024123</w:t>
      </w:r>
    </w:p>
    <w:p>
      <w:pPr>
        <w:adjustRightInd w:val="0"/>
        <w:snapToGrid w:val="0"/>
        <w:spacing w:line="480" w:lineRule="auto"/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val="fr-FR" w:eastAsia="ja-JP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･ﾒ･鬣ｮ･ﾎｽﾇ･ｴ Pro W3" w:cs="Times New Roman"/>
          <w:b w:val="0"/>
          <w:i w:val="0"/>
          <w:iCs/>
          <w:color w:val="000000" w:themeColor="text1"/>
          <w:sz w:val="24"/>
          <w:szCs w:val="24"/>
          <w:highlight w:val="none"/>
          <w:lang w:val="fr-FR" w:eastAsia="ja-JP"/>
          <w14:textFill>
            <w14:solidFill>
              <w14:schemeClr w14:val="tx1"/>
            </w14:solidFill>
          </w14:textFill>
        </w:rPr>
        <w:t xml:space="preserve">E-mail: </w:t>
      </w:r>
      <w:r>
        <w:rPr>
          <w:rFonts w:hint="eastAsia" w:ascii="Times New Roman" w:hAnsi="Times New Roman" w:eastAsia="等线" w:cs="Times New Roman"/>
          <w:b w:val="0"/>
          <w:bCs/>
          <w:i w:val="0"/>
          <w:iCs/>
          <w:color w:val="0000FF"/>
          <w:sz w:val="24"/>
          <w:szCs w:val="24"/>
          <w:highlight w:val="none"/>
          <w:lang w:val="en-US" w:eastAsia="zh-CN"/>
        </w:rPr>
        <w:t>cpliu@soil.gd.cn</w:t>
      </w:r>
    </w:p>
    <w:p>
      <w:pPr>
        <w:rPr>
          <w:rFonts w:ascii="Times New Roman" w:hAnsi="Times New Roman" w:eastAsia="等线" w:cs="Times New Roman"/>
          <w:b/>
          <w:sz w:val="24"/>
          <w:szCs w:val="24"/>
          <w:lang w:val="fr-FR"/>
        </w:rPr>
      </w:pPr>
    </w:p>
    <w:p>
      <w:pPr>
        <w:adjustRightInd w:val="0"/>
        <w:snapToGrid w:val="0"/>
        <w:spacing w:line="320" w:lineRule="exact"/>
        <w:rPr>
          <w:rFonts w:ascii="Times New Roman" w:hAnsi="Times New Roman" w:eastAsia="等线" w:cs="Times New Roman"/>
          <w:b/>
          <w:sz w:val="24"/>
          <w:szCs w:val="24"/>
          <w:lang w:val="fr-FR"/>
        </w:rPr>
      </w:pPr>
    </w:p>
    <w:p>
      <w:pPr>
        <w:adjustRightInd w:val="0"/>
        <w:snapToGrid w:val="0"/>
        <w:spacing w:line="320" w:lineRule="exact"/>
        <w:rPr>
          <w:rFonts w:ascii="Times New Roman" w:hAnsi="Times New Roman" w:eastAsia="等线" w:cs="Times New Roman"/>
          <w:b/>
          <w:sz w:val="24"/>
          <w:szCs w:val="24"/>
          <w:lang w:val="fr-FR"/>
        </w:rPr>
      </w:pPr>
    </w:p>
    <w:p>
      <w:pPr>
        <w:adjustRightInd w:val="0"/>
        <w:snapToGrid w:val="0"/>
        <w:spacing w:line="320" w:lineRule="exact"/>
        <w:rPr>
          <w:rFonts w:ascii="Times New Roman" w:hAnsi="Times New Roman" w:eastAsia="等线" w:cs="Times New Roman"/>
          <w:b/>
          <w:sz w:val="24"/>
          <w:szCs w:val="24"/>
          <w:lang w:val="fr-FR"/>
        </w:rPr>
      </w:pPr>
      <w:r>
        <w:rPr>
          <w:rFonts w:ascii="Times New Roman" w:hAnsi="Times New Roman" w:eastAsia="等线" w:cs="Times New Roman"/>
          <w:b/>
          <w:bCs/>
          <w:sz w:val="24"/>
        </w:rPr>
        <w:t>This file includes</w:t>
      </w:r>
      <w:r>
        <w:rPr>
          <w:rFonts w:hint="eastAsia" w:ascii="Times New Roman" w:hAnsi="Times New Roman" w:eastAsia="等线" w:cs="Times New Roman"/>
          <w:b/>
          <w:bCs/>
          <w:sz w:val="24"/>
        </w:rPr>
        <w:t>:</w:t>
      </w:r>
      <w:r>
        <w:rPr>
          <w:rFonts w:hint="eastAsia" w:ascii="Times New Roman" w:hAnsi="Times New Roman" w:eastAsia="等线" w:cs="Times New Roman"/>
          <w:sz w:val="24"/>
        </w:rPr>
        <w:t xml:space="preserve"> 1 PDF (</w:t>
      </w:r>
      <w:r>
        <w:rPr>
          <w:rFonts w:hint="eastAsia" w:ascii="Times New Roman" w:hAnsi="Times New Roman" w:eastAsia="等线" w:cs="Times New Roman"/>
          <w:sz w:val="24"/>
          <w:lang w:val="en-US" w:eastAsia="zh-CN"/>
        </w:rPr>
        <w:t>6</w:t>
      </w:r>
      <w:r>
        <w:rPr>
          <w:rFonts w:ascii="Times New Roman" w:hAnsi="Times New Roman" w:eastAsia="等线" w:cs="Times New Roman"/>
          <w:sz w:val="24"/>
        </w:rPr>
        <w:t xml:space="preserve"> </w:t>
      </w:r>
      <w:r>
        <w:rPr>
          <w:rFonts w:hint="eastAsia" w:ascii="Times New Roman" w:hAnsi="Times New Roman" w:eastAsia="等线" w:cs="Times New Roman"/>
          <w:sz w:val="24"/>
        </w:rPr>
        <w:t xml:space="preserve">pages) of </w:t>
      </w:r>
      <w:r>
        <w:rPr>
          <w:rFonts w:hint="eastAsia" w:ascii="Times New Roman" w:hAnsi="Times New Roman" w:eastAsia="等线" w:cs="Times New Roman"/>
          <w:sz w:val="24"/>
          <w:lang w:val="en-US" w:eastAsia="zh-CN"/>
        </w:rPr>
        <w:t>2</w:t>
      </w:r>
      <w:r>
        <w:rPr>
          <w:rFonts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sz w:val="24"/>
          <w:szCs w:val="24"/>
        </w:rPr>
        <w:t>figures (Figure S</w:t>
      </w:r>
      <w:r>
        <w:rPr>
          <w:rFonts w:ascii="Times New Roman" w:hAnsi="Times New Roman" w:eastAsia="等线" w:cs="Times New Roman"/>
          <w:sz w:val="24"/>
          <w:szCs w:val="24"/>
        </w:rPr>
        <w:t>1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to Figure S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等线" w:cs="Times New Roman"/>
          <w:sz w:val="24"/>
        </w:rPr>
        <w:t>)</w:t>
      </w:r>
      <w:r>
        <w:rPr>
          <w:rFonts w:ascii="Times New Roman" w:hAnsi="Times New Roman" w:eastAsia="等线" w:cs="Times New Roman"/>
          <w:sz w:val="24"/>
        </w:rPr>
        <w:t>, 2</w:t>
      </w:r>
      <w:r>
        <w:rPr>
          <w:rFonts w:hint="eastAsia" w:ascii="Times New Roman" w:hAnsi="Times New Roman" w:eastAsia="等线" w:cs="Times New Roman"/>
          <w:sz w:val="24"/>
        </w:rPr>
        <w:t xml:space="preserve"> table (</w:t>
      </w:r>
      <w:r>
        <w:rPr>
          <w:rFonts w:hint="eastAsia" w:ascii="Times New Roman" w:hAnsi="Times New Roman" w:eastAsia="等线" w:cs="Times New Roman"/>
          <w:sz w:val="24"/>
          <w:szCs w:val="24"/>
        </w:rPr>
        <w:t>Table S1</w:t>
      </w:r>
      <w:r>
        <w:rPr>
          <w:rFonts w:ascii="Times New Roman" w:hAnsi="Times New Roman" w:eastAsia="等线" w:cs="Times New Roman"/>
          <w:sz w:val="24"/>
          <w:szCs w:val="24"/>
        </w:rPr>
        <w:t xml:space="preserve"> and Table S2</w:t>
      </w:r>
      <w:r>
        <w:rPr>
          <w:rFonts w:hint="eastAsia" w:ascii="Times New Roman" w:hAnsi="Times New Roman" w:eastAsia="等线" w:cs="Times New Roman"/>
          <w:sz w:val="24"/>
          <w:szCs w:val="24"/>
        </w:rPr>
        <w:t>), and reference</w:t>
      </w:r>
      <w:r>
        <w:rPr>
          <w:rFonts w:ascii="Times New Roman" w:hAnsi="Times New Roman" w:eastAsia="等线" w:cs="Times New Roman"/>
          <w:sz w:val="24"/>
          <w:szCs w:val="24"/>
        </w:rPr>
        <w:t xml:space="preserve"> list</w:t>
      </w:r>
      <w:r>
        <w:rPr>
          <w:rFonts w:hint="eastAsia" w:ascii="Times New Roman" w:hAnsi="Times New Roman" w:eastAsia="等线" w:cs="Times New Roman"/>
          <w:sz w:val="24"/>
          <w:szCs w:val="24"/>
        </w:rPr>
        <w:t>.</w:t>
      </w:r>
      <w:r>
        <w:rPr>
          <w:rFonts w:ascii="Times New Roman" w:hAnsi="Times New Roman" w:eastAsia="等线" w:cs="Times New Roman"/>
          <w:sz w:val="24"/>
          <w:szCs w:val="24"/>
        </w:rPr>
        <w:br w:type="page"/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>
          <w:footerReference r:id="rId3" w:type="default"/>
          <w:pgSz w:w="11906" w:h="16838"/>
          <w:pgMar w:top="1440" w:right="1077" w:bottom="1440" w:left="1077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. Forward and reverse specific primers for the RT-PCR amplification of the HMA and ZIP cDNAs </w:t>
      </w:r>
    </w:p>
    <w:tbl>
      <w:tblPr>
        <w:tblStyle w:val="6"/>
        <w:tblW w:w="13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5136"/>
        <w:gridCol w:w="5245"/>
        <w:gridCol w:w="2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513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Forward primer 5’-3’</w:t>
            </w:r>
          </w:p>
        </w:tc>
        <w:tc>
          <w:tcPr>
            <w:tcW w:w="524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Reverse primer 5’-3’</w:t>
            </w:r>
          </w:p>
        </w:tc>
        <w:tc>
          <w:tcPr>
            <w:tcW w:w="2334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OsHMA2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CATAGTGAAGCTGCCTGAGAC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GATCAAACGCATAGCAGCATCG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Shao et al.,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OsZIP3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AAAAAGCAGGCTTCTCATCATCTTATTCCCTTCTAC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AGAAAGCTGGGTCTGTGGTGTTAGCACAGTCGC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Sasaki et al.,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OsZIP4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GCGAAAGCAACAGTGATCATGGCGACTTTC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GCAGCTCTTGGTTGCTCTGAAGATCTCATG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Ishimaru et al., 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OsZIP5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CTGGAGCTGGGAGTGGTGGT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ATGTCGACGAGCGCCATGTA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Lee et al.,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OsZIP7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CAGGTTCTACGAGGGCAATCA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CAAGTATCTGCGACACCACGAC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Yang et al., 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OsZIP9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CATCAGTTCTTCGAAGGGATAGG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TGTGGTTAGCGAGAAGAAGATG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Yang et al.,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actin</w:t>
            </w:r>
          </w:p>
        </w:tc>
        <w:tc>
          <w:tcPr>
            <w:tcW w:w="5136" w:type="dxa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GACTCTGGTGATGGTGTCAGC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GGCTGGAAGAGGACCTCAGG</w:t>
            </w:r>
          </w:p>
        </w:tc>
        <w:tc>
          <w:tcPr>
            <w:tcW w:w="2334" w:type="dxa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S2. </w:t>
      </w:r>
      <w:r>
        <w:rPr>
          <w:rFonts w:ascii="Times New Roman" w:hAnsi="Times New Roman" w:cs="Times New Roman"/>
          <w:bCs/>
          <w:sz w:val="24"/>
          <w:szCs w:val="24"/>
        </w:rPr>
        <w:t>δ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66 </w:t>
      </w:r>
      <w:r>
        <w:rPr>
          <w:rFonts w:ascii="Times New Roman" w:hAnsi="Times New Roman" w:cs="Times New Roman"/>
          <w:bCs/>
          <w:sz w:val="24"/>
          <w:szCs w:val="24"/>
        </w:rPr>
        <w:t xml:space="preserve">Zn values (means ± 2SD) and Zn concentration for various soil pools under 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drainage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flooding regimes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6"/>
        <w:tblW w:w="139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664"/>
        <w:gridCol w:w="2161"/>
        <w:gridCol w:w="2829"/>
        <w:gridCol w:w="1985"/>
        <w:gridCol w:w="2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E7E6E6" w:themeFill="background2"/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Growing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stage</w:t>
            </w:r>
          </w:p>
        </w:tc>
        <w:tc>
          <w:tcPr>
            <w:tcW w:w="2664" w:type="dxa"/>
            <w:vMerge w:val="restart"/>
            <w:tcBorders>
              <w:left w:val="nil"/>
              <w:right w:val="nil"/>
            </w:tcBorders>
            <w:shd w:val="clear" w:color="auto" w:fill="E7E6E6" w:themeFill="background2"/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pools</w:t>
            </w:r>
          </w:p>
        </w:tc>
        <w:tc>
          <w:tcPr>
            <w:tcW w:w="49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Drainage regime</w:t>
            </w:r>
          </w:p>
        </w:tc>
        <w:tc>
          <w:tcPr>
            <w:tcW w:w="48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Flooding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gime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66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Zn</w:t>
            </w:r>
          </w:p>
        </w:tc>
        <w:tc>
          <w:tcPr>
            <w:tcW w:w="28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Zn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concentration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(mg kg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66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Zn</w:t>
            </w:r>
          </w:p>
        </w:tc>
        <w:tc>
          <w:tcPr>
            <w:tcW w:w="28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Zn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concentration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(mg kg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spacing w:line="120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Jointing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Soil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solution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0.01 ± 0.03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.59 ± 0.02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.06 ± 0.04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.28±0.03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plaque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.38 ± 0.05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3.22 ±0.37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.50 ± 0.05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8.10 ±1.19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Root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0.12 ± 0.04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4.94 ±3.44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0.21 ± 0.03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9.43±1.21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Stem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.25 ± 0.03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2.64 ± 2.58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 ± 0.06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7.10±3.18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Leaf</w:t>
            </w:r>
          </w:p>
        </w:tc>
        <w:tc>
          <w:tcPr>
            <w:tcW w:w="21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.11 ± 0.05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7.30 ± 1.56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.11 ± 0.05</w:t>
            </w:r>
          </w:p>
        </w:tc>
        <w:tc>
          <w:tcPr>
            <w:tcW w:w="288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4.62±2.11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spacing w:line="24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Maturity</w:t>
            </w:r>
          </w:p>
        </w:tc>
        <w:tc>
          <w:tcPr>
            <w:tcW w:w="266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Bulk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soil</w:t>
            </w:r>
          </w:p>
        </w:tc>
        <w:tc>
          <w:tcPr>
            <w:tcW w:w="21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0.12 ± 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28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± 6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0.14 ± 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288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 ± 6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HCl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extract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0.53 ± 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4.92 ± 0.58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0.52 ± 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5.88 ± 0.23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CaCl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extract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0.54 ± 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 ± 0.00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0.60 ± 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 ± 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Soil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eastAsia="zh-CN"/>
              </w:rPr>
              <w:t>solution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-0.34 ± 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 ± 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-0.31 ± 0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 ± 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Stem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.33 ± 0.06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7.40 ± 1.14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.51 ± 0.01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2.72 ± 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ode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Ⅲ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.31 ± 0.01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8.86 ± 5.20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.43 ± 0.02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4.84 ± 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Node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Ⅱ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.29 ± 0.02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6.31 ± 2.41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.41 ± 0.01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3.46 ± 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Node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Ⅰ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.41 ± 0.07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19.65 ± 2.10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.56 ± 0.02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± 0.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Leaf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.21 ± 0.02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.36 ± 0.25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.13 ± 0.05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.31 ± 0.31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Rachis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.07 ± 0.05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4.50 ± 1.06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.04 ± 0.03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1.30 ± 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Husk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0.23 ± 0.01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3.34 ± 0.66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0.13 ± 0.05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1.81 ± 0.54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18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Seed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0.24 ± 0.02</w:t>
            </w:r>
          </w:p>
        </w:tc>
        <w:tc>
          <w:tcPr>
            <w:tcW w:w="2829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54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1.07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0.26 ± 0.02</w:t>
            </w:r>
          </w:p>
        </w:tc>
        <w:tc>
          <w:tcPr>
            <w:tcW w:w="2882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± 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the unit of Zn concentration in soil </w:t>
      </w:r>
      <w:r>
        <w:rPr>
          <w:rFonts w:hint="eastAsia" w:ascii="Times New Roman" w:hAnsi="Times New Roman" w:cs="Times New Roman"/>
          <w:bCs/>
          <w:sz w:val="24"/>
          <w:szCs w:val="24"/>
          <w:lang w:eastAsia="zh-CN"/>
        </w:rPr>
        <w:t>solution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was mg L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widowControl/>
        <w:spacing w:before="156" w:beforeLines="50"/>
        <w:rPr>
          <w:rFonts w:ascii="Times New Roman" w:hAnsi="Times New Roman" w:cs="Times New Roman"/>
          <w:b/>
          <w:bCs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widowControl/>
        <w:spacing w:before="120" w:beforeLines="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drawing>
          <wp:inline distT="0" distB="0" distL="114300" distR="114300">
            <wp:extent cx="5855970" cy="3594100"/>
            <wp:effectExtent l="0" t="0" r="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l="196" t="12241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S1</w:t>
      </w:r>
      <w:r>
        <w:rPr>
          <w:rFonts w:ascii="Times New Roman" w:hAnsi="Times New Roman" w:cs="Times New Roman"/>
          <w:bCs/>
          <w:sz w:val="24"/>
          <w:szCs w:val="24"/>
        </w:rPr>
        <w:t xml:space="preserve"> (a) the change in redox potential, (b) soil pH values (Data are means ± standard deviation of three biological replicates), and (c) the corresponding Zn isotope composition in soil </w:t>
      </w:r>
      <w:r>
        <w:rPr>
          <w:rFonts w:hint="eastAsia" w:ascii="Times New Roman" w:hAnsi="Times New Roman" w:cs="Times New Roman"/>
          <w:bCs/>
          <w:sz w:val="24"/>
          <w:szCs w:val="24"/>
          <w:lang w:eastAsia="zh-CN"/>
        </w:rPr>
        <w:t>solution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after rice sowing under high and low Zn </w:t>
      </w:r>
      <w:r>
        <w:rPr>
          <w:rFonts w:hint="eastAsia" w:ascii="Times New Roman" w:hAnsi="Times New Roman" w:cs="Times New Roman"/>
          <w:bCs/>
          <w:sz w:val="24"/>
          <w:szCs w:val="24"/>
        </w:rPr>
        <w:t>mode</w:t>
      </w:r>
      <w:r>
        <w:rPr>
          <w:rFonts w:ascii="Times New Roman" w:hAnsi="Times New Roman" w:cs="Times New Roman"/>
          <w:bCs/>
          <w:sz w:val="24"/>
          <w:szCs w:val="24"/>
        </w:rPr>
        <w:t>s.</w:t>
      </w:r>
    </w:p>
    <w:p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>
      <w:pPr>
        <w:widowControl/>
        <w:jc w:val="center"/>
      </w:pPr>
      <w:r>
        <w:drawing>
          <wp:inline distT="0" distB="0" distL="114300" distR="114300">
            <wp:extent cx="5429885" cy="5356860"/>
            <wp:effectExtent l="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885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Zn</w:t>
      </w:r>
      <w:r>
        <w:rPr>
          <w:rFonts w:hint="eastAsia"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isotope fractionation from jointing stage to maturity stage in various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compartments calculated as difference between mean Zn isotope ratios at full maturity and at jointing stage (n =3). Error bars denote 2sd of calculated standard errors.</w:t>
      </w:r>
    </w:p>
    <w:p>
      <w:pPr>
        <w:widowControl/>
        <w:jc w:val="left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widowControl/>
        <w:spacing w:before="120" w:beforeLines="50" w:line="48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References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Lee S, Jeong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H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J, Kim SA, Lee J, Guerinot ML, An G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(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2010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)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OsZIP5 is a plasma membrane zinc transporter in rice. Plant Mol Biol 73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: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507–517.  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Ishimaru Y, Suzuki M, Kobayashi T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(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2005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)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OsZIP4, a novel zinc-regulated zinc transporter in rice. J Exp Bot 56 (422)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: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3207-3214.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  <w:t>Sasaki A, Yamaji N, Mitani-Ueno N, Kashino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M, Ma JF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(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2015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)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A node-localized transporter OsZIP3 is responsible for the preferential distribution of Zn to developing tissues in rice. Plant J 84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: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374–384.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Shao JF, Che J, Yamaji N, Shen RF, Ma JF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(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2018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)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Effective reduction of cadmium accumulation in rice grain by expressing OsHMA3 under the control of OsHMA2 promoter. J Exp Bot 69 (10)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2743-2752.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Yang M, Li YT, Liu ZH, Tian JJ, Liang LM, Qiu Y, Wang GY, Du QQ, Cheng D, Cai HM, Shi L, Xu FS, Lian XM 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(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>2020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)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A high activity zinc transporter OsZIP9 mediates zinc uptake in rice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Plant J 103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: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1695-1709.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  <w:t>Yang X, Huang J, Jiang Y, Zhang HS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(</w:t>
      </w:r>
      <w:r>
        <w:rPr>
          <w:rFonts w:ascii="Times New Roman" w:hAnsi="Times New Roman" w:cs="Times New Roman"/>
          <w:sz w:val="24"/>
          <w:szCs w:val="24"/>
          <w:highlight w:val="none"/>
        </w:rPr>
        <w:t>2009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)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Cloning and functional identification of two members of the ZIP (Zrt, Irt-like protein) gene family in rice (</w:t>
      </w:r>
      <w:r>
        <w:rPr>
          <w:rFonts w:ascii="Times New Roman" w:hAnsi="Times New Roman" w:cs="Times New Roman"/>
          <w:bCs/>
          <w:i/>
          <w:iCs/>
          <w:sz w:val="24"/>
          <w:szCs w:val="24"/>
          <w:highlight w:val="none"/>
        </w:rPr>
        <w:t>Oryza sativa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L.). Mol Biol Rep 36</w:t>
      </w:r>
      <w:r>
        <w:rPr>
          <w:rFonts w:hint="eastAsia" w:ascii="Times New Roman" w:hAnsi="Times New Roman" w:cs="Times New Roman"/>
          <w:bCs/>
          <w:sz w:val="24"/>
          <w:szCs w:val="24"/>
          <w:highlight w:val="none"/>
          <w:lang w:val="en-US" w:eastAsia="zh-CN"/>
        </w:rPr>
        <w:t>: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  <w:t xml:space="preserve"> 281–287.</w:t>
      </w:r>
    </w:p>
    <w:p>
      <w:pPr>
        <w:pStyle w:val="13"/>
        <w:adjustRightInd w:val="0"/>
        <w:snapToGrid w:val="0"/>
        <w:spacing w:line="480" w:lineRule="auto"/>
        <w:ind w:left="360" w:firstLine="0" w:firstLineChars="0"/>
        <w:rPr>
          <w:rFonts w:ascii="Times New Roman" w:hAnsi="Times New Roman" w:cs="Times New Roman"/>
          <w:b w:val="0"/>
          <w:bCs/>
          <w:sz w:val="24"/>
          <w:szCs w:val="24"/>
        </w:rPr>
      </w:pPr>
    </w:p>
    <w:sectPr>
      <w:pgSz w:w="11906" w:h="16838"/>
      <w:pgMar w:top="1440" w:right="1077" w:bottom="1440" w:left="107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･ﾒ･鬣ｮ･ﾎｽﾇ･ｴ Pro W3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t>SI-</w:t>
    </w:r>
    <w:sdt>
      <w:sdtPr>
        <w:id w:val="-924563265"/>
        <w:docPartObj>
          <w:docPartGallery w:val="autotext"/>
        </w:docPartObj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sdtContent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2OTliNTM5MTU5YWFmNThmOGNmM2U4ZTI1ZWFlM2YifQ=="/>
  </w:docVars>
  <w:rsids>
    <w:rsidRoot w:val="009E4C90"/>
    <w:rsid w:val="000037AC"/>
    <w:rsid w:val="00026A71"/>
    <w:rsid w:val="00031EEB"/>
    <w:rsid w:val="00051665"/>
    <w:rsid w:val="000549CC"/>
    <w:rsid w:val="00060DD4"/>
    <w:rsid w:val="00061149"/>
    <w:rsid w:val="0006752E"/>
    <w:rsid w:val="00071143"/>
    <w:rsid w:val="000A2D40"/>
    <w:rsid w:val="000A69ED"/>
    <w:rsid w:val="000B2D24"/>
    <w:rsid w:val="000B3776"/>
    <w:rsid w:val="000B3EAF"/>
    <w:rsid w:val="000C0CC8"/>
    <w:rsid w:val="000D0C7F"/>
    <w:rsid w:val="000D15B0"/>
    <w:rsid w:val="000D6920"/>
    <w:rsid w:val="000E055E"/>
    <w:rsid w:val="000F5DC9"/>
    <w:rsid w:val="00103BEB"/>
    <w:rsid w:val="00105986"/>
    <w:rsid w:val="0014624D"/>
    <w:rsid w:val="001632B5"/>
    <w:rsid w:val="0016681D"/>
    <w:rsid w:val="00175CD8"/>
    <w:rsid w:val="001839FB"/>
    <w:rsid w:val="00190F13"/>
    <w:rsid w:val="00191D01"/>
    <w:rsid w:val="001A1304"/>
    <w:rsid w:val="001A1951"/>
    <w:rsid w:val="001A1FA2"/>
    <w:rsid w:val="001D0448"/>
    <w:rsid w:val="001F1866"/>
    <w:rsid w:val="002022D3"/>
    <w:rsid w:val="00206ECD"/>
    <w:rsid w:val="00235637"/>
    <w:rsid w:val="00235CC4"/>
    <w:rsid w:val="00237227"/>
    <w:rsid w:val="00241D73"/>
    <w:rsid w:val="00245D1C"/>
    <w:rsid w:val="002462E8"/>
    <w:rsid w:val="002528A7"/>
    <w:rsid w:val="0025502F"/>
    <w:rsid w:val="00280541"/>
    <w:rsid w:val="00280649"/>
    <w:rsid w:val="0028282B"/>
    <w:rsid w:val="002865ED"/>
    <w:rsid w:val="00290FB7"/>
    <w:rsid w:val="00292328"/>
    <w:rsid w:val="002A132C"/>
    <w:rsid w:val="002A5920"/>
    <w:rsid w:val="002A6BE3"/>
    <w:rsid w:val="002B1284"/>
    <w:rsid w:val="002C69D4"/>
    <w:rsid w:val="002C7671"/>
    <w:rsid w:val="002D1F08"/>
    <w:rsid w:val="002D396C"/>
    <w:rsid w:val="002F109A"/>
    <w:rsid w:val="00306C1F"/>
    <w:rsid w:val="00333B32"/>
    <w:rsid w:val="00352441"/>
    <w:rsid w:val="003554AA"/>
    <w:rsid w:val="0035663B"/>
    <w:rsid w:val="00360448"/>
    <w:rsid w:val="00360C93"/>
    <w:rsid w:val="003648B5"/>
    <w:rsid w:val="00367EFA"/>
    <w:rsid w:val="0037436C"/>
    <w:rsid w:val="00374511"/>
    <w:rsid w:val="003905E2"/>
    <w:rsid w:val="003B0887"/>
    <w:rsid w:val="003B08A6"/>
    <w:rsid w:val="003C0174"/>
    <w:rsid w:val="003E7114"/>
    <w:rsid w:val="003F228B"/>
    <w:rsid w:val="003F488B"/>
    <w:rsid w:val="00406476"/>
    <w:rsid w:val="0040663B"/>
    <w:rsid w:val="00406B66"/>
    <w:rsid w:val="004423B5"/>
    <w:rsid w:val="00442565"/>
    <w:rsid w:val="0044439F"/>
    <w:rsid w:val="004444CE"/>
    <w:rsid w:val="004655BC"/>
    <w:rsid w:val="00473105"/>
    <w:rsid w:val="0048292A"/>
    <w:rsid w:val="0048419C"/>
    <w:rsid w:val="00490F86"/>
    <w:rsid w:val="00495274"/>
    <w:rsid w:val="004957B3"/>
    <w:rsid w:val="004A0419"/>
    <w:rsid w:val="004C66FE"/>
    <w:rsid w:val="004D0A72"/>
    <w:rsid w:val="004D4773"/>
    <w:rsid w:val="004D7AC6"/>
    <w:rsid w:val="005078C9"/>
    <w:rsid w:val="00510042"/>
    <w:rsid w:val="0052258B"/>
    <w:rsid w:val="00527551"/>
    <w:rsid w:val="00551971"/>
    <w:rsid w:val="00563437"/>
    <w:rsid w:val="005653CA"/>
    <w:rsid w:val="00573047"/>
    <w:rsid w:val="00587910"/>
    <w:rsid w:val="00587C24"/>
    <w:rsid w:val="00593FDD"/>
    <w:rsid w:val="00594EBF"/>
    <w:rsid w:val="005A45A1"/>
    <w:rsid w:val="005A4F9E"/>
    <w:rsid w:val="005B5C5D"/>
    <w:rsid w:val="005B6C38"/>
    <w:rsid w:val="005B6DD9"/>
    <w:rsid w:val="005C27A9"/>
    <w:rsid w:val="005D3100"/>
    <w:rsid w:val="005D57A3"/>
    <w:rsid w:val="0060005F"/>
    <w:rsid w:val="00615397"/>
    <w:rsid w:val="006163C1"/>
    <w:rsid w:val="006240CE"/>
    <w:rsid w:val="006319EA"/>
    <w:rsid w:val="006421C9"/>
    <w:rsid w:val="006478B1"/>
    <w:rsid w:val="00651122"/>
    <w:rsid w:val="00655E9C"/>
    <w:rsid w:val="00667CA1"/>
    <w:rsid w:val="0067509B"/>
    <w:rsid w:val="00683618"/>
    <w:rsid w:val="0068590A"/>
    <w:rsid w:val="0068702D"/>
    <w:rsid w:val="00691CE7"/>
    <w:rsid w:val="00694189"/>
    <w:rsid w:val="0069534E"/>
    <w:rsid w:val="006B26CD"/>
    <w:rsid w:val="006B3394"/>
    <w:rsid w:val="006B611B"/>
    <w:rsid w:val="006D355D"/>
    <w:rsid w:val="006E00A5"/>
    <w:rsid w:val="006E4A18"/>
    <w:rsid w:val="006F0261"/>
    <w:rsid w:val="006F571B"/>
    <w:rsid w:val="00706D18"/>
    <w:rsid w:val="007174D6"/>
    <w:rsid w:val="00720087"/>
    <w:rsid w:val="007347BD"/>
    <w:rsid w:val="0073748C"/>
    <w:rsid w:val="00747235"/>
    <w:rsid w:val="00750551"/>
    <w:rsid w:val="007706D2"/>
    <w:rsid w:val="007737E4"/>
    <w:rsid w:val="0078582C"/>
    <w:rsid w:val="00785945"/>
    <w:rsid w:val="00786510"/>
    <w:rsid w:val="0079177E"/>
    <w:rsid w:val="007A7431"/>
    <w:rsid w:val="007B2478"/>
    <w:rsid w:val="007C00F3"/>
    <w:rsid w:val="007C0581"/>
    <w:rsid w:val="007C3C1B"/>
    <w:rsid w:val="007D0BCA"/>
    <w:rsid w:val="007D580C"/>
    <w:rsid w:val="007D75B1"/>
    <w:rsid w:val="007E3CDE"/>
    <w:rsid w:val="007F722B"/>
    <w:rsid w:val="00800880"/>
    <w:rsid w:val="00816EC3"/>
    <w:rsid w:val="0082497C"/>
    <w:rsid w:val="0084745C"/>
    <w:rsid w:val="008512FC"/>
    <w:rsid w:val="00851420"/>
    <w:rsid w:val="00863604"/>
    <w:rsid w:val="00882A67"/>
    <w:rsid w:val="0088315D"/>
    <w:rsid w:val="008847A4"/>
    <w:rsid w:val="00886B40"/>
    <w:rsid w:val="00892A8B"/>
    <w:rsid w:val="008944E8"/>
    <w:rsid w:val="00897F56"/>
    <w:rsid w:val="008A31A5"/>
    <w:rsid w:val="008A751C"/>
    <w:rsid w:val="008B1680"/>
    <w:rsid w:val="008D024D"/>
    <w:rsid w:val="008D4A2E"/>
    <w:rsid w:val="008D5565"/>
    <w:rsid w:val="008D622C"/>
    <w:rsid w:val="008D6A50"/>
    <w:rsid w:val="008F1875"/>
    <w:rsid w:val="008F6B72"/>
    <w:rsid w:val="009011ED"/>
    <w:rsid w:val="0090150A"/>
    <w:rsid w:val="00952C61"/>
    <w:rsid w:val="009566A7"/>
    <w:rsid w:val="00976A5C"/>
    <w:rsid w:val="00980993"/>
    <w:rsid w:val="00986BD3"/>
    <w:rsid w:val="00993B48"/>
    <w:rsid w:val="009958E7"/>
    <w:rsid w:val="009B555C"/>
    <w:rsid w:val="009D1C17"/>
    <w:rsid w:val="009E4C90"/>
    <w:rsid w:val="009F05BA"/>
    <w:rsid w:val="00A22A96"/>
    <w:rsid w:val="00A25880"/>
    <w:rsid w:val="00A2692C"/>
    <w:rsid w:val="00A311DF"/>
    <w:rsid w:val="00A35E46"/>
    <w:rsid w:val="00A41EE2"/>
    <w:rsid w:val="00A5412A"/>
    <w:rsid w:val="00A77E61"/>
    <w:rsid w:val="00A83B49"/>
    <w:rsid w:val="00A9106A"/>
    <w:rsid w:val="00A940F1"/>
    <w:rsid w:val="00AA41DE"/>
    <w:rsid w:val="00AD16DD"/>
    <w:rsid w:val="00AD3A7C"/>
    <w:rsid w:val="00AD58FD"/>
    <w:rsid w:val="00AD5F85"/>
    <w:rsid w:val="00AE50AB"/>
    <w:rsid w:val="00AF5C74"/>
    <w:rsid w:val="00AF6179"/>
    <w:rsid w:val="00B12665"/>
    <w:rsid w:val="00B14ACD"/>
    <w:rsid w:val="00B30189"/>
    <w:rsid w:val="00B327AE"/>
    <w:rsid w:val="00B510D4"/>
    <w:rsid w:val="00B722B0"/>
    <w:rsid w:val="00B74174"/>
    <w:rsid w:val="00B87BFF"/>
    <w:rsid w:val="00BA3D85"/>
    <w:rsid w:val="00BA65E5"/>
    <w:rsid w:val="00BA75A9"/>
    <w:rsid w:val="00BC26A4"/>
    <w:rsid w:val="00BE2F6A"/>
    <w:rsid w:val="00BE54E3"/>
    <w:rsid w:val="00C11E06"/>
    <w:rsid w:val="00C12DC0"/>
    <w:rsid w:val="00C24420"/>
    <w:rsid w:val="00C27496"/>
    <w:rsid w:val="00C34B7A"/>
    <w:rsid w:val="00C41057"/>
    <w:rsid w:val="00C44552"/>
    <w:rsid w:val="00C4706E"/>
    <w:rsid w:val="00C55DB8"/>
    <w:rsid w:val="00C7115C"/>
    <w:rsid w:val="00C81874"/>
    <w:rsid w:val="00C90287"/>
    <w:rsid w:val="00C91222"/>
    <w:rsid w:val="00CA2D50"/>
    <w:rsid w:val="00CB11FD"/>
    <w:rsid w:val="00CB424E"/>
    <w:rsid w:val="00CC2C62"/>
    <w:rsid w:val="00CC5A9D"/>
    <w:rsid w:val="00CD1FDD"/>
    <w:rsid w:val="00CD2CBF"/>
    <w:rsid w:val="00CD505C"/>
    <w:rsid w:val="00CE3DF7"/>
    <w:rsid w:val="00CF1A32"/>
    <w:rsid w:val="00D10C02"/>
    <w:rsid w:val="00D1680B"/>
    <w:rsid w:val="00D408DE"/>
    <w:rsid w:val="00D446DC"/>
    <w:rsid w:val="00D5373F"/>
    <w:rsid w:val="00D70913"/>
    <w:rsid w:val="00D70EBD"/>
    <w:rsid w:val="00D82B99"/>
    <w:rsid w:val="00D82FE2"/>
    <w:rsid w:val="00DA091D"/>
    <w:rsid w:val="00DA162E"/>
    <w:rsid w:val="00DB6645"/>
    <w:rsid w:val="00DC46C6"/>
    <w:rsid w:val="00DC7D2A"/>
    <w:rsid w:val="00DD0702"/>
    <w:rsid w:val="00DD0E05"/>
    <w:rsid w:val="00DF1EB0"/>
    <w:rsid w:val="00E17C62"/>
    <w:rsid w:val="00E26573"/>
    <w:rsid w:val="00E3177B"/>
    <w:rsid w:val="00E41604"/>
    <w:rsid w:val="00E41AE5"/>
    <w:rsid w:val="00E420B0"/>
    <w:rsid w:val="00E6599B"/>
    <w:rsid w:val="00E66F1C"/>
    <w:rsid w:val="00E74DA8"/>
    <w:rsid w:val="00E768A7"/>
    <w:rsid w:val="00E836C7"/>
    <w:rsid w:val="00E87D67"/>
    <w:rsid w:val="00E919CF"/>
    <w:rsid w:val="00E93041"/>
    <w:rsid w:val="00EA0FA8"/>
    <w:rsid w:val="00EA4197"/>
    <w:rsid w:val="00EB0B9A"/>
    <w:rsid w:val="00EB3ED6"/>
    <w:rsid w:val="00ED1548"/>
    <w:rsid w:val="00EE23AC"/>
    <w:rsid w:val="00F11F8F"/>
    <w:rsid w:val="00F31591"/>
    <w:rsid w:val="00F32228"/>
    <w:rsid w:val="00F34EB9"/>
    <w:rsid w:val="00F41F1E"/>
    <w:rsid w:val="00F5502B"/>
    <w:rsid w:val="00F61842"/>
    <w:rsid w:val="00F64216"/>
    <w:rsid w:val="00F706DB"/>
    <w:rsid w:val="00F84E7D"/>
    <w:rsid w:val="00F86521"/>
    <w:rsid w:val="00FA6B9D"/>
    <w:rsid w:val="00FB627F"/>
    <w:rsid w:val="00FC300A"/>
    <w:rsid w:val="00FD2A55"/>
    <w:rsid w:val="00FD71D2"/>
    <w:rsid w:val="00FD7ED7"/>
    <w:rsid w:val="00FE4E84"/>
    <w:rsid w:val="00FF030C"/>
    <w:rsid w:val="00FF393E"/>
    <w:rsid w:val="0D8700EB"/>
    <w:rsid w:val="19803344"/>
    <w:rsid w:val="1DBA7698"/>
    <w:rsid w:val="235F532C"/>
    <w:rsid w:val="36EA7C97"/>
    <w:rsid w:val="4D58546B"/>
    <w:rsid w:val="505E6C43"/>
    <w:rsid w:val="58BC0654"/>
    <w:rsid w:val="5E25317F"/>
    <w:rsid w:val="62B91FC8"/>
    <w:rsid w:val="6B3248E3"/>
    <w:rsid w:val="6DD8708F"/>
    <w:rsid w:val="73B40134"/>
    <w:rsid w:val="74AC5FB0"/>
    <w:rsid w:val="7A0E296D"/>
    <w:rsid w:val="7E1E47B4"/>
    <w:rsid w:val="7F80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line number"/>
    <w:basedOn w:val="7"/>
    <w:autoRedefine/>
    <w:semiHidden/>
    <w:unhideWhenUsed/>
    <w:qFormat/>
    <w:uiPriority w:val="99"/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autoRedefine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high-light-bg"/>
    <w:basedOn w:val="7"/>
    <w:autoRedefine/>
    <w:qFormat/>
    <w:uiPriority w:val="0"/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b/>
    </w:rPr>
  </w:style>
  <w:style w:type="paragraph" w:customStyle="1" w:styleId="14">
    <w:name w:val="EndNote Bibliography"/>
    <w:basedOn w:val="1"/>
    <w:autoRedefine/>
    <w:qFormat/>
    <w:uiPriority w:val="0"/>
    <w:rPr>
      <w:rFonts w:cs="Calibri"/>
      <w:szCs w:val="21"/>
    </w:rPr>
  </w:style>
  <w:style w:type="paragraph" w:customStyle="1" w:styleId="15">
    <w:name w:val="標準1"/>
    <w:autoRedefine/>
    <w:qFormat/>
    <w:uiPriority w:val="0"/>
    <w:pPr>
      <w:widowControl w:val="0"/>
      <w:jc w:val="both"/>
    </w:pPr>
    <w:rPr>
      <w:rFonts w:ascii="Century" w:hAnsi="Century" w:eastAsia="･ﾒ･鬣ｮ･ﾎｽﾇ･ｴ Pro W3" w:cs="Times New Roman"/>
      <w:color w:val="000000"/>
      <w:kern w:val="2"/>
      <w:sz w:val="21"/>
      <w:szCs w:val="24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1689</Words>
  <Characters>9630</Characters>
  <Lines>80</Lines>
  <Paragraphs>22</Paragraphs>
  <TotalTime>0</TotalTime>
  <ScaleCrop>false</ScaleCrop>
  <LinksUpToDate>false</LinksUpToDate>
  <CharactersWithSpaces>11297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2021-07-24T15:15:00Z</dcterms:created>
  <dc:creator>zhong songxiong</dc:creator>
  <cp:lastModifiedBy>Ong</cp:lastModifiedBy>
  <dcterms:modified xsi:type="dcterms:W3CDTF">2024-06-01T09:36:41Z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23CD8AA0C8114DF99474D4F8E1380DD8_13</vt:lpwstr>
  </property>
</Properties>
</file>