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2268"/>
        <w:gridCol w:w="2151"/>
        <w:gridCol w:w="2221"/>
      </w:tblGrid>
      <w:tr w:rsidR="00785C56" w:rsidRPr="003C2B5E" w14:paraId="5A4A3393" w14:textId="77777777" w:rsidTr="00086203">
        <w:trPr>
          <w:trHeight w:val="454"/>
        </w:trPr>
        <w:tc>
          <w:tcPr>
            <w:tcW w:w="1216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56BC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Table 1.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Demographic data of study patients</w:t>
            </w:r>
          </w:p>
        </w:tc>
      </w:tr>
      <w:tr w:rsidR="00785C56" w:rsidRPr="003C2B5E" w14:paraId="5DB53D87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980F7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57984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PL approach (n=32)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3AB7A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P-PL approach (n=34)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617B9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CPP approach (n=25)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8FB16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p-value</w:t>
            </w:r>
          </w:p>
        </w:tc>
      </w:tr>
      <w:tr w:rsidR="00785C56" w:rsidRPr="003C2B5E" w14:paraId="6FE8F102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4946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Sex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#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C51E" w14:textId="7A9DB302" w:rsidR="00A849B5" w:rsidRPr="003C2B5E" w:rsidRDefault="00DE7687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7;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Female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>: 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DCB3" w14:textId="24744F2E" w:rsidR="00A849B5" w:rsidRPr="003C2B5E" w:rsidRDefault="00DE7687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5;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Female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>: 29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9FD7" w14:textId="4C63B433" w:rsidR="00A849B5" w:rsidRPr="003C2B5E" w:rsidRDefault="00DE7687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0;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Female</w:t>
            </w:r>
            <w:r w:rsidR="00954B5C" w:rsidRPr="003C2B5E">
              <w:rPr>
                <w:rFonts w:eastAsia="游ゴシック"/>
                <w:sz w:val="18"/>
                <w:szCs w:val="18"/>
                <w:lang w:val="en-US" w:eastAsia="ja-JP"/>
              </w:rPr>
              <w:t>: 25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A24C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0.011</w:t>
            </w:r>
          </w:p>
        </w:tc>
      </w:tr>
      <w:tr w:rsidR="00785C56" w:rsidRPr="003C2B5E" w14:paraId="316E8A9C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CACB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Mean age, years (SD; range)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$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AB56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64.4 (13.3; 59.6–69.2)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B0B3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68.9 (7.8; 66.1–71.6)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E2E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bookmarkStart w:id="0" w:name="RANGE!E5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64.2 (9.8; 60.2–68.3)</w:t>
            </w:r>
            <w:bookmarkEnd w:id="0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5BAB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0.947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0.168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0.283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15C91BDF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5431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Mean height, cm (SD; range)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$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CD9E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158.1 (8.8; 154.9–161.3)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FCF0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155.6 (8.2; 152.7–158.4)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7B86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156.1 (5.5; 153.8–158.4)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9295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0.744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0.913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0.532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A308095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0743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Mean weight, kg (SD; range)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$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8519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58.1 (9.0; 54.8–61.3)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D384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56.4 (11.1; 52.5–60.3)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B5B14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54.2 (6.9; 51.3–57.0)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C5DD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0.213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0.959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0.605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85CDAC3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B10A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Causative disease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#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AF76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OA: 30; ONFH: 2; RDC: 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321C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OA: 33; ONFH: 0; RDC: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39C3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OA: 25; ONFH: 0; RDC: 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9C4B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0.184</w:t>
            </w:r>
          </w:p>
        </w:tc>
      </w:tr>
      <w:tr w:rsidR="00785C56" w:rsidRPr="003C2B5E" w14:paraId="0B6F2635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4BCC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Bilateral THA at one- or two-stage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#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AC98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3B1B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643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4ECF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0.362</w:t>
            </w:r>
          </w:p>
        </w:tc>
      </w:tr>
      <w:tr w:rsidR="00785C56" w:rsidRPr="003C2B5E" w14:paraId="78ECB7A3" w14:textId="77777777" w:rsidTr="00086203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6BE9" w14:textId="10287449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Mean operation time, min (SD; range)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$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AD5F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87.3 (22.6; 79.8–96.1)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10CA7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78.5 (16.7; 72.7–84.3)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0ECD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90.3 (15.5; 83.9–96.7)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A7CA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0.594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 xml:space="preserve">0.005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0.010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2C05A03F" w14:textId="77777777" w:rsidTr="00B6476F">
        <w:trPr>
          <w:trHeight w:val="5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DE74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Mean intraoperative blood loss, cc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br/>
              <w:t>(SD; range)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$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BD3E5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396.1 (244.1; 308.1–484.1)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C42B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318.6 (196.1; 250.2–387.0)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8681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336.4 (94.7; 297.3–375.5)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763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0.213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0.959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0.605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1F732ED6" w14:textId="77777777" w:rsidTr="0008620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E15BF6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The frequency of complications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ECB8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2E87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CC929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F4BF" w14:textId="77777777" w:rsidR="00A849B5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0.414</w:t>
            </w:r>
          </w:p>
        </w:tc>
      </w:tr>
      <w:tr w:rsidR="00785C56" w:rsidRPr="003C2B5E" w14:paraId="2EB385B8" w14:textId="77777777" w:rsidTr="00086203">
        <w:trPr>
          <w:trHeight w:val="454"/>
        </w:trPr>
        <w:tc>
          <w:tcPr>
            <w:tcW w:w="1216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D5A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bookmarkStart w:id="1" w:name="RANGE!B13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$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Steel-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Dwass's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multiple comparison test,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#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chi-squared test,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CPP vs PL,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††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CPP vs P-PL,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PL vs P-PL</w:t>
            </w:r>
            <w:bookmarkEnd w:id="1"/>
          </w:p>
        </w:tc>
      </w:tr>
      <w:tr w:rsidR="00785C56" w:rsidRPr="003C2B5E" w14:paraId="67F734C3" w14:textId="77777777" w:rsidTr="00086203">
        <w:trPr>
          <w:trHeight w:val="454"/>
        </w:trPr>
        <w:tc>
          <w:tcPr>
            <w:tcW w:w="12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BD62" w14:textId="77777777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Boldface numbers indicate significant differences.</w:t>
            </w:r>
          </w:p>
        </w:tc>
      </w:tr>
      <w:tr w:rsidR="00785C56" w:rsidRPr="003C2B5E" w14:paraId="28FE6735" w14:textId="77777777" w:rsidTr="00086203">
        <w:trPr>
          <w:trHeight w:val="487"/>
        </w:trPr>
        <w:tc>
          <w:tcPr>
            <w:tcW w:w="12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006B7" w14:textId="17D14159" w:rsidR="00A849B5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PL, posterolateral; P-PL, piriformis muscle-sparing posterolateral; CPP, conjoined tendon-preserving posterior; THA, total hip arthroplasty;</w:t>
            </w:r>
            <w:r w:rsidR="008F5012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OA, osteoarthritis; ONFH, osteonecrosis of the femoral head; RDC, rapidly destructive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coxarthropathy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.</w:t>
            </w:r>
          </w:p>
        </w:tc>
      </w:tr>
    </w:tbl>
    <w:p w14:paraId="14FB5F2E" w14:textId="0DD6F4C5" w:rsidR="00D75586" w:rsidRPr="0055791C" w:rsidRDefault="00D75586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</w:pPr>
    </w:p>
    <w:p w14:paraId="732701E7" w14:textId="77777777" w:rsidR="000E7BBA" w:rsidRPr="0055791C" w:rsidRDefault="000E7BBA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  <w:sectPr w:rsidR="000E7BBA" w:rsidRPr="0055791C" w:rsidSect="00187E66">
          <w:footerReference w:type="even" r:id="rId8"/>
          <w:footerReference w:type="default" r:id="rId9"/>
          <w:pgSz w:w="15840" w:h="12240" w:orient="landscape"/>
          <w:pgMar w:top="1701" w:right="1985" w:bottom="1701" w:left="1701" w:header="720" w:footer="720" w:gutter="0"/>
          <w:lnNumType w:countBy="1" w:restart="continuous"/>
          <w:cols w:space="720"/>
          <w:noEndnote/>
          <w:docGrid w:linePitch="218"/>
        </w:sectPr>
      </w:pPr>
    </w:p>
    <w:tbl>
      <w:tblPr>
        <w:tblW w:w="121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5"/>
        <w:gridCol w:w="2021"/>
        <w:gridCol w:w="2122"/>
        <w:gridCol w:w="2155"/>
        <w:gridCol w:w="2381"/>
      </w:tblGrid>
      <w:tr w:rsidR="00785C56" w:rsidRPr="003C2B5E" w14:paraId="1BC342A8" w14:textId="77777777" w:rsidTr="00086203">
        <w:trPr>
          <w:trHeight w:val="454"/>
        </w:trPr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BFE3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lastRenderedPageBreak/>
              <w:t>Table 2.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Preoperative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and JOA hip score as baseline data</w:t>
            </w:r>
          </w:p>
        </w:tc>
      </w:tr>
      <w:tr w:rsidR="00785C56" w:rsidRPr="003C2B5E" w14:paraId="43EF4BA5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DCAE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EDB26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PL approach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15C7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P-PL approach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2604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CPP approach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668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p-value</w:t>
            </w:r>
          </w:p>
        </w:tc>
      </w:tr>
      <w:tr w:rsidR="00785C56" w:rsidRPr="003C2B5E" w14:paraId="5E076457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C36B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CED6" w14:textId="77777777" w:rsidR="0006512A" w:rsidRPr="003C2B5E" w:rsidRDefault="0006512A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851" w14:textId="77777777" w:rsidR="0006512A" w:rsidRPr="003C2B5E" w:rsidRDefault="0006512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5FF0" w14:textId="77777777" w:rsidR="0006512A" w:rsidRPr="003C2B5E" w:rsidRDefault="0006512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556" w14:textId="77777777" w:rsidR="0006512A" w:rsidRPr="003C2B5E" w:rsidRDefault="0006512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505D4437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3E1D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8B694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17.2 (10.8; 13.3–21.1)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0FA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13.8 (9.9; 10.4–17.3)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2DF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12.4 (12.0; 7.4–17.4)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509C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0.187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0.761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0.299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08B9B238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021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Function: Gait,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05EA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22.1 (6.0; 20.0–24.3)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B720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19.9 (6.5; 17.6–22.1)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2DA6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23.6 (5.7; 21.3–26.0)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3023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0.547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0.006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0.372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782256F8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B96D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Functional activities,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7572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9.3 (2.4; 8.4–10.1)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7101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9.4 (1.3; 9.0–9.9)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DFDFD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9.0 (1.7; 8.2–9.7)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CFD1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0.829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0.603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0.983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CD807EE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6453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A449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53.4 (16.0; 47.6–59.2)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6014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47.4 (14.6; 42.3–52.5)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DE1E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49.5 (16.6; 42.6–56.4)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12AC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0.670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0.804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0.351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23D1375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1F30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333A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1A28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1B18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1CA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1FDA47BE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3783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JOA hip score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656C" w14:textId="77777777" w:rsidR="0006512A" w:rsidRPr="003C2B5E" w:rsidRDefault="0006512A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8FD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A10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5DB9" w14:textId="77777777" w:rsidR="0006512A" w:rsidRPr="003C2B5E" w:rsidRDefault="0006512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4A345B8F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0D15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95ED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17.2 (9.8; 0.0–35.0)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80E2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13.7 (9.5; 0.0–35.0)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E4B80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11.8 (10.7; 0.0–35.0)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287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0.126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0.732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0.223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707E944C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603A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ROM,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84C2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13.6 (3.6; 5.0–20.0)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F1B4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14.4 (5.0; 3.0–20.0)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73717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14.8 (3.2; 8.0–20.0)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701C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0.432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0.927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0.377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18F02AD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154E" w14:textId="508B0FD1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Ability to walk,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282E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10.7 (4.8; 1.0–18.0)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3431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10.6 (4.7; 5.0–18.0)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2095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12.3 (4.3; 5.0–20.0)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B35E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0.470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0.390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0.999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98CCF33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856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ADL,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C976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13.1 (3.1; 6.0–20.0)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962C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12.7 (2.6; 8.0–16.0)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FBCF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11.3 (2.8; 6.0–16.0)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2EA1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0.095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0.172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0.842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ADDC016" w14:textId="77777777" w:rsidTr="00086203">
        <w:trPr>
          <w:trHeight w:val="454"/>
        </w:trPr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A2E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76DC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54.6 (14.5; 30.0–81.0)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60C8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51.4 (15.4; 21.0–83.0)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AB4E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50.1 (15.6; 24.0–82.0)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039" w14:textId="77777777" w:rsidR="0006512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0.634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0.949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0.801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13053DD5" w14:textId="77777777" w:rsidTr="00086203">
        <w:trPr>
          <w:trHeight w:val="454"/>
        </w:trPr>
        <w:tc>
          <w:tcPr>
            <w:tcW w:w="1217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DCB1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Steel-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Dwass's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multiple comparison test,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CPP vs PL,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††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CPP vs P-PL,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PL vs P-PL</w:t>
            </w:r>
          </w:p>
        </w:tc>
      </w:tr>
      <w:tr w:rsidR="00785C56" w:rsidRPr="003C2B5E" w14:paraId="6A86E805" w14:textId="77777777" w:rsidTr="00086203">
        <w:trPr>
          <w:trHeight w:val="454"/>
        </w:trPr>
        <w:tc>
          <w:tcPr>
            <w:tcW w:w="12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CB73" w14:textId="77777777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Boldface numbers indicate significant differences.</w:t>
            </w:r>
          </w:p>
        </w:tc>
      </w:tr>
      <w:tr w:rsidR="00785C56" w:rsidRPr="003C2B5E" w14:paraId="4DC9449C" w14:textId="77777777" w:rsidTr="00086203">
        <w:trPr>
          <w:trHeight w:val="454"/>
        </w:trPr>
        <w:tc>
          <w:tcPr>
            <w:tcW w:w="12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0193" w14:textId="6A6FCC4B" w:rsidR="0006512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PL, posterolateral; P-PL, piriformis muscle-sparing posterolateral; CPP, conjoined tendon-preserving posterior;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modified Harris Hip Score; JOA: Japanese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Orthopaedic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Association; ROM, range of motion; ADL, activities of daily life</w:t>
            </w:r>
          </w:p>
        </w:tc>
      </w:tr>
    </w:tbl>
    <w:p w14:paraId="7EF2A652" w14:textId="77777777" w:rsidR="00434FA2" w:rsidRPr="0055791C" w:rsidRDefault="00434FA2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</w:pPr>
    </w:p>
    <w:p w14:paraId="75632B5F" w14:textId="77777777" w:rsidR="008642EB" w:rsidRPr="0055791C" w:rsidRDefault="008642EB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  <w:sectPr w:rsidR="008642EB" w:rsidRPr="0055791C" w:rsidSect="00187E66">
          <w:pgSz w:w="15840" w:h="12240" w:orient="landscape"/>
          <w:pgMar w:top="1701" w:right="1985" w:bottom="1701" w:left="1701" w:header="720" w:footer="720" w:gutter="0"/>
          <w:lnNumType w:countBy="1" w:restart="continuous"/>
          <w:cols w:space="720"/>
          <w:noEndnote/>
          <w:docGrid w:linePitch="218"/>
        </w:sectPr>
      </w:pPr>
    </w:p>
    <w:tbl>
      <w:tblPr>
        <w:tblW w:w="121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8"/>
        <w:gridCol w:w="1966"/>
        <w:gridCol w:w="2063"/>
        <w:gridCol w:w="2096"/>
        <w:gridCol w:w="2652"/>
      </w:tblGrid>
      <w:tr w:rsidR="00785C56" w:rsidRPr="003C2B5E" w14:paraId="7FB097B1" w14:textId="77777777" w:rsidTr="0052312F">
        <w:trPr>
          <w:trHeight w:val="454"/>
        </w:trPr>
        <w:tc>
          <w:tcPr>
            <w:tcW w:w="121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4D087" w14:textId="5D956B85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lastRenderedPageBreak/>
              <w:t>Table 3.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and JOA hip score </w:t>
            </w:r>
            <w:r w:rsidR="00DE7687" w:rsidRPr="003C2B5E">
              <w:rPr>
                <w:rFonts w:eastAsia="游ゴシック"/>
                <w:sz w:val="18"/>
                <w:szCs w:val="18"/>
                <w:lang w:val="en-US" w:eastAsia="ja-JP"/>
              </w:rPr>
              <w:t>in the 3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-month postoperative period</w:t>
            </w:r>
          </w:p>
        </w:tc>
      </w:tr>
      <w:tr w:rsidR="00785C56" w:rsidRPr="003C2B5E" w14:paraId="5A7255DE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85A89" w14:textId="77777777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60FB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PL approach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A012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P-PL approach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A9C0A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CPP approach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331B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p-value</w:t>
            </w:r>
          </w:p>
        </w:tc>
      </w:tr>
      <w:tr w:rsidR="00785C56" w:rsidRPr="003C2B5E" w14:paraId="079F6D1C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154A" w14:textId="77777777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B5EA" w14:textId="77777777" w:rsidR="0029626A" w:rsidRPr="003C2B5E" w:rsidRDefault="0029626A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9990" w14:textId="77777777" w:rsidR="0029626A" w:rsidRPr="003C2B5E" w:rsidRDefault="0029626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1510" w14:textId="77777777" w:rsidR="0029626A" w:rsidRPr="003C2B5E" w:rsidRDefault="0029626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C214" w14:textId="77777777" w:rsidR="0029626A" w:rsidRPr="003C2B5E" w:rsidRDefault="0029626A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6D5E748D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8EB0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9C4C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41.8 (5.3; 39.8–43.7)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00FCF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41.8 (5.2; 39.9–43.6)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704F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44.0 (0.0; 44.0–44.0)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670E" w14:textId="3356C120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0.022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="00EE0D02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End"/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0.016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0.994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0F67309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37B6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Function: Gait,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FF0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28.8 (6.0; 26.7–31.0)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D678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30.5 (4.3; 29.0–32.0)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69A0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32.9 (0.6; 32.6–33.1)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E329" w14:textId="6891ED0F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,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="00EE0D02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0.006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0.514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0F4E420C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39F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Functional activities,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FE56B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11.8 (2.4; 11.0–12.7)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120F9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10.8 (2.5; 9.9–11.7)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C7E6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13.2 (1.5; 12.6–13.8)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9B6C" w14:textId="39657EFA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0.037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</w:t>
            </w:r>
            <w:r w:rsidR="00EE0D02"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0.198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5E1364B0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8899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1EF0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90.6 (11.8; 86.4–94.9)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8B05D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91.4 (11.4; 87.4–95.3)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84B9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99.1 (2.1; 98.2–99.9)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9C1A" w14:textId="05C5189D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,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</w:t>
            </w:r>
            <w:r w:rsidR="00EE0D02"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0.605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3CAEC4C8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AC93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47D1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CA30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3BD3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E3D2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03C0F384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102A" w14:textId="77777777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JOA hip score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720" w14:textId="77777777" w:rsidR="0029626A" w:rsidRPr="003C2B5E" w:rsidRDefault="0029626A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C57C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FE3D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BFC" w14:textId="77777777" w:rsidR="0029626A" w:rsidRPr="003C2B5E" w:rsidRDefault="0029626A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18437AA3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AE93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09E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37.8 (4.6; 20.0–40.0)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CE3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37.9 (4.3; 20.0–40.0)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F204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40.0 (0.0; 40.0–40.0)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BB8" w14:textId="161FDC8B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0.022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 </w:t>
            </w:r>
            <w:proofErr w:type="gramEnd"/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0.016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0.999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5D02DA31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7C0E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ROM,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11CE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17.9 (2.3; 9.0–20.0)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FB40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17.8 (3.0; 8.0–20.0)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CA45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18.8 (1.8; 15.0–20.0)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BB5E" w14:textId="59F3B2B9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0.101 </w:t>
            </w:r>
            <w:proofErr w:type="gramStart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 </w:t>
            </w:r>
            <w:proofErr w:type="gramEnd"/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0.261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0.776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6895511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69DC" w14:textId="726CB336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Ability to walk,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F184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15.8 (4.2; 5.0–20.0)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3191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17.0 (4.1; 10.0–20.0)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4EA3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19.7 (1.1; 15.0–20.0)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7737" w14:textId="5BD52B34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 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 </w:t>
            </w:r>
            <w:proofErr w:type="gramEnd"/>
            <w:r w:rsidR="007C399A"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0.009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0.369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E122341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5015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ADL,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0679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17.9 (2.4; 12.0–20.0)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4FC8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17.0 (2.7; 8.0–20.0)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A73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19.4 (1.2; 16.0–20.0)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B0B0" w14:textId="07C69AAD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0.017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 0</w:t>
            </w:r>
            <w:r w:rsidR="007C399A"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.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0.359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2881569D" w14:textId="77777777" w:rsidTr="0052312F">
        <w:trPr>
          <w:trHeight w:val="454"/>
        </w:trPr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F743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48B5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89.4 (9.4; 53.0–100.0)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22B7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21.0 (13.5; 57.0–100.0)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B3F3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25.2 (13.7; 91.0–100.0)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5993" w14:textId="77777777" w:rsidR="0029626A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 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 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0.949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D6B7A31" w14:textId="77777777" w:rsidTr="0052312F">
        <w:trPr>
          <w:trHeight w:val="454"/>
        </w:trPr>
        <w:tc>
          <w:tcPr>
            <w:tcW w:w="1217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8268" w14:textId="77777777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Steel-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Dwass's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multiple comparison test,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CPP vs PL,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††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CPP vs P-PL,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PL vs P-PL</w:t>
            </w:r>
          </w:p>
        </w:tc>
      </w:tr>
      <w:tr w:rsidR="00785C56" w:rsidRPr="003C2B5E" w14:paraId="181C48ED" w14:textId="77777777" w:rsidTr="0052312F">
        <w:trPr>
          <w:trHeight w:val="454"/>
        </w:trPr>
        <w:tc>
          <w:tcPr>
            <w:tcW w:w="12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7C4C" w14:textId="77777777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Boldface numbers indicate significant differences.</w:t>
            </w:r>
          </w:p>
        </w:tc>
      </w:tr>
      <w:tr w:rsidR="00785C56" w:rsidRPr="003C2B5E" w14:paraId="2E2439EF" w14:textId="77777777" w:rsidTr="0052312F">
        <w:trPr>
          <w:trHeight w:val="454"/>
        </w:trPr>
        <w:tc>
          <w:tcPr>
            <w:tcW w:w="12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735C" w14:textId="7316CF1B" w:rsidR="0029626A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PL, posterolateral; P-PL, piriformis muscle-sparing posterolateral; CPP, conjoined tendon-preserving posterior;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modified Harris Hip Score; JOA: Japanese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Orthopaedic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Association; ROM, range of motion; ADL, activities of daily life</w:t>
            </w:r>
          </w:p>
        </w:tc>
      </w:tr>
    </w:tbl>
    <w:p w14:paraId="2212FB45" w14:textId="77777777" w:rsidR="001E18A0" w:rsidRPr="0055791C" w:rsidRDefault="001E18A0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</w:pPr>
    </w:p>
    <w:p w14:paraId="06E951AB" w14:textId="77777777" w:rsidR="008642EB" w:rsidRPr="0055791C" w:rsidRDefault="008642EB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  <w:sectPr w:rsidR="008642EB" w:rsidRPr="0055791C" w:rsidSect="00187E66">
          <w:pgSz w:w="15840" w:h="12240" w:orient="landscape"/>
          <w:pgMar w:top="1701" w:right="1985" w:bottom="1701" w:left="1701" w:header="720" w:footer="720" w:gutter="0"/>
          <w:lnNumType w:countBy="1" w:restart="continuous"/>
          <w:cols w:space="720"/>
          <w:noEndnote/>
          <w:docGrid w:linePitch="218"/>
        </w:sectPr>
      </w:pPr>
    </w:p>
    <w:tbl>
      <w:tblPr>
        <w:tblW w:w="121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7"/>
        <w:gridCol w:w="1993"/>
        <w:gridCol w:w="2092"/>
        <w:gridCol w:w="2126"/>
        <w:gridCol w:w="2518"/>
      </w:tblGrid>
      <w:tr w:rsidR="00785C56" w:rsidRPr="003C2B5E" w14:paraId="0F6A3824" w14:textId="77777777" w:rsidTr="0052312F">
        <w:trPr>
          <w:trHeight w:val="454"/>
        </w:trPr>
        <w:tc>
          <w:tcPr>
            <w:tcW w:w="121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C703A" w14:textId="733D983A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lastRenderedPageBreak/>
              <w:t>Table 4.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and JOA hip score </w:t>
            </w:r>
            <w:r w:rsidR="00346E1C" w:rsidRPr="003C2B5E">
              <w:rPr>
                <w:rFonts w:eastAsia="游ゴシック"/>
                <w:sz w:val="18"/>
                <w:szCs w:val="18"/>
                <w:lang w:val="en-US" w:eastAsia="ja-JP"/>
              </w:rPr>
              <w:t>in the 6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-month postoperative period</w:t>
            </w:r>
          </w:p>
        </w:tc>
      </w:tr>
      <w:tr w:rsidR="00785C56" w:rsidRPr="003C2B5E" w14:paraId="6863BD2C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7319" w14:textId="77777777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84D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PL approach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9D2A7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P-PL approach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0558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CPP approach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0CF0B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p-value</w:t>
            </w:r>
          </w:p>
        </w:tc>
      </w:tr>
      <w:tr w:rsidR="00785C56" w:rsidRPr="003C2B5E" w14:paraId="05CAA81D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B91" w14:textId="77777777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09CE" w14:textId="77777777" w:rsidR="004D2CEC" w:rsidRPr="003C2B5E" w:rsidRDefault="004D2CE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5C2" w14:textId="77777777" w:rsidR="004D2CEC" w:rsidRPr="003C2B5E" w:rsidRDefault="004D2CEC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827A" w14:textId="77777777" w:rsidR="004D2CEC" w:rsidRPr="003C2B5E" w:rsidRDefault="004D2CEC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7E07" w14:textId="77777777" w:rsidR="004D2CEC" w:rsidRPr="003C2B5E" w:rsidRDefault="004D2CEC" w:rsidP="00D076EC">
            <w:pPr>
              <w:snapToGrid w:val="0"/>
              <w:spacing w:line="480" w:lineRule="auto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163F1EE8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24A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AC0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42.1 (5.4; 40.2–44.1)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4DF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43.5 (1.3; 43.1–44.0)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84BF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44.0 (0.0; 44.0–44.0)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7DEE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0.105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0.189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0.836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1C1D57D1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F1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Function: Gait,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6AD1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30.5 (4.9; 28.8–32.3)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D63B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31.9 (3.3; 30.7–33.1)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441D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32.9 (0.6; 32.6–33.1)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EC98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0.008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0.181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0.246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B6BC3E5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A32D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Functional activities,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BC4E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11.7 (2.6; 10.8–12.7)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2D6B3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11.6 (2.1; 10.9–12.4)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6D1E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13.0 (1.4; 12.4–13.5)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D471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0.227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0.037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0.947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3DCEE6B7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280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1D28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92.8 (11.3; 88.7–96.9)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8377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95.8 (6.0; 93.7–97.9)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3057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98.8 (1.8; 98.1–99.6)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57B7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0.027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0.024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0.877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5189B460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CF26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C862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40CD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336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972E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0CD82218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9999" w14:textId="77777777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JOA hip score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4A6F" w14:textId="77777777" w:rsidR="004D2CEC" w:rsidRPr="003C2B5E" w:rsidRDefault="004D2CE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8BF2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9411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F8C9" w14:textId="77777777" w:rsidR="004D2CEC" w:rsidRPr="003C2B5E" w:rsidRDefault="004D2CEC" w:rsidP="00D076EC">
            <w:pPr>
              <w:snapToGrid w:val="0"/>
              <w:spacing w:line="480" w:lineRule="auto"/>
              <w:jc w:val="right"/>
              <w:rPr>
                <w:rFonts w:eastAsia="Times New Roman"/>
                <w:sz w:val="18"/>
                <w:szCs w:val="18"/>
                <w:lang w:val="en-US" w:eastAsia="ja-JP"/>
              </w:rPr>
            </w:pPr>
          </w:p>
        </w:tc>
      </w:tr>
      <w:tr w:rsidR="00785C56" w:rsidRPr="003C2B5E" w14:paraId="21901142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BBD9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Pain,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587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38.4 (4.3; 20.0–40.0)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7E89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39.4 (1.6; 20.0–40.0)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152E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40.0 (0.0; 40.0–40.0)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3D28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0.105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0.189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0.836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4B8A7B44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CFC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ROM,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7449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18.6 (2.0; 13.0–20.0)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E571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18.6 (1.9; 13.0–20.0)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5007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19.4 (1.3; 15.0–20.0)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661F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0.032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0.096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0.912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38375686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CEE6" w14:textId="492B4829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Ability to walk,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1650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17.6 (4.2; 5.0–20.0)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BCDB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18.8 (3.4; 5.0–20.0)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BD1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19.9 (0.4; 18.0–20.0)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7A58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0.984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0.047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386FF5F6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2806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ADL,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F43C1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18.0 (2.4; 10.0–20.0)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E0DC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17.8 (2.6; 8.0–20.0)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3609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19.3 (1.5; 16.0–20.0)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BB9B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0.034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0.025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0.466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7DCC1BC5" w14:textId="77777777" w:rsidTr="0052312F">
        <w:trPr>
          <w:trHeight w:val="454"/>
        </w:trPr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BB13D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Total score, mean (SD; range)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46F5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92.6 (9.6; 56.0–100.0)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D7A9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94.6 (6.6; 65.0–100.0)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19C7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98.6 (2.4; 93.0–100.0)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C7A6" w14:textId="77777777" w:rsidR="004D2CEC" w:rsidRPr="003C2B5E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&lt; 0.001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</w:t>
            </w:r>
            <w:r w:rsidRPr="003C2B5E">
              <w:rPr>
                <w:rFonts w:eastAsia="游ゴシック"/>
                <w:b/>
                <w:bCs/>
                <w:sz w:val="18"/>
                <w:szCs w:val="18"/>
                <w:lang w:val="en-US" w:eastAsia="ja-JP"/>
              </w:rPr>
              <w:t>0.002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, 0.109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</w:p>
        </w:tc>
      </w:tr>
      <w:tr w:rsidR="00785C56" w:rsidRPr="003C2B5E" w14:paraId="617CD2E7" w14:textId="77777777" w:rsidTr="0052312F">
        <w:trPr>
          <w:trHeight w:val="454"/>
        </w:trPr>
        <w:tc>
          <w:tcPr>
            <w:tcW w:w="1217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470F" w14:textId="77777777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Steel-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Dwass's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multiple comparison test,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CPP vs PL,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 xml:space="preserve"> †† 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CPP vs P-PL, </w:t>
            </w:r>
            <w:r w:rsidRPr="003C2B5E">
              <w:rPr>
                <w:rFonts w:eastAsia="游ゴシック"/>
                <w:sz w:val="18"/>
                <w:szCs w:val="18"/>
                <w:vertAlign w:val="superscript"/>
                <w:lang w:val="en-US" w:eastAsia="ja-JP"/>
              </w:rPr>
              <w:t>†††</w:t>
            </w: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PL vs P-PL</w:t>
            </w:r>
          </w:p>
        </w:tc>
      </w:tr>
      <w:tr w:rsidR="00785C56" w:rsidRPr="003C2B5E" w14:paraId="6AD47657" w14:textId="77777777" w:rsidTr="0052312F">
        <w:trPr>
          <w:trHeight w:val="454"/>
        </w:trPr>
        <w:tc>
          <w:tcPr>
            <w:tcW w:w="12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DA90" w14:textId="77777777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Boldface numbers indicate significant differences.</w:t>
            </w:r>
          </w:p>
        </w:tc>
      </w:tr>
      <w:tr w:rsidR="00785C56" w:rsidRPr="003C2B5E" w14:paraId="13A14782" w14:textId="77777777" w:rsidTr="0052312F">
        <w:trPr>
          <w:trHeight w:val="454"/>
        </w:trPr>
        <w:tc>
          <w:tcPr>
            <w:tcW w:w="12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D200" w14:textId="19008179" w:rsidR="004D2CEC" w:rsidRPr="003C2B5E" w:rsidRDefault="00954B5C" w:rsidP="00D076EC">
            <w:pPr>
              <w:snapToGrid w:val="0"/>
              <w:spacing w:line="480" w:lineRule="auto"/>
              <w:rPr>
                <w:rFonts w:eastAsia="游ゴシック"/>
                <w:sz w:val="18"/>
                <w:szCs w:val="18"/>
                <w:lang w:val="en-US" w:eastAsia="ja-JP"/>
              </w:rPr>
            </w:pPr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PL, posterolateral; P-PL, piriformis muscle-sparing posterolateral; CPP, conjoined tendon-preserving posterior;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mHHS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: modified Harris Hip Score; JOA: Japanese </w:t>
            </w:r>
            <w:proofErr w:type="spellStart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>Orthopaedic</w:t>
            </w:r>
            <w:proofErr w:type="spellEnd"/>
            <w:r w:rsidRPr="003C2B5E">
              <w:rPr>
                <w:rFonts w:eastAsia="游ゴシック"/>
                <w:sz w:val="18"/>
                <w:szCs w:val="18"/>
                <w:lang w:val="en-US" w:eastAsia="ja-JP"/>
              </w:rPr>
              <w:t xml:space="preserve"> Association; ROM, range of motion; ADL, activities of daily </w:t>
            </w:r>
            <w:r w:rsidR="00D3652E" w:rsidRPr="003C2B5E">
              <w:rPr>
                <w:rFonts w:eastAsia="游ゴシック"/>
                <w:sz w:val="18"/>
                <w:szCs w:val="18"/>
                <w:lang w:val="en-US" w:eastAsia="ja-JP"/>
              </w:rPr>
              <w:t>life</w:t>
            </w:r>
          </w:p>
        </w:tc>
      </w:tr>
    </w:tbl>
    <w:p w14:paraId="33FCA24C" w14:textId="77777777" w:rsidR="001A58D0" w:rsidRPr="0055791C" w:rsidRDefault="001A58D0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  <w:sectPr w:rsidR="001A58D0" w:rsidRPr="0055791C" w:rsidSect="00187E66">
          <w:pgSz w:w="15840" w:h="12240" w:orient="landscape"/>
          <w:pgMar w:top="1701" w:right="1985" w:bottom="1701" w:left="1701" w:header="720" w:footer="720" w:gutter="0"/>
          <w:lnNumType w:countBy="1" w:restart="continuous"/>
          <w:cols w:space="720"/>
          <w:noEndnote/>
          <w:docGrid w:linePitch="218"/>
        </w:sectPr>
      </w:pPr>
    </w:p>
    <w:p w14:paraId="6266FA04" w14:textId="77777777" w:rsidR="008642EB" w:rsidRPr="00566499" w:rsidRDefault="008642EB" w:rsidP="00D076EC">
      <w:pPr>
        <w:snapToGrid w:val="0"/>
        <w:spacing w:line="480" w:lineRule="auto"/>
        <w:jc w:val="both"/>
        <w:rPr>
          <w:sz w:val="22"/>
          <w:szCs w:val="22"/>
          <w:lang w:val="en-US" w:eastAsia="ja-JP"/>
        </w:rPr>
      </w:pPr>
    </w:p>
    <w:tbl>
      <w:tblPr>
        <w:tblW w:w="122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3"/>
        <w:gridCol w:w="2386"/>
        <w:gridCol w:w="3460"/>
        <w:gridCol w:w="2409"/>
      </w:tblGrid>
      <w:tr w:rsidR="00785C56" w14:paraId="7481A1EE" w14:textId="77777777" w:rsidTr="00925688">
        <w:trPr>
          <w:trHeight w:val="506"/>
        </w:trPr>
        <w:tc>
          <w:tcPr>
            <w:tcW w:w="12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9DDE0" w14:textId="608D37E3" w:rsidR="009675F0" w:rsidRPr="00566499" w:rsidRDefault="00954B5C" w:rsidP="00D076EC">
            <w:pPr>
              <w:snapToGrid w:val="0"/>
              <w:spacing w:line="480" w:lineRule="auto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Table 5. Reliability of the limping after THA</w:t>
            </w:r>
          </w:p>
        </w:tc>
      </w:tr>
      <w:tr w:rsidR="00785C56" w14:paraId="07B645B0" w14:textId="77777777" w:rsidTr="00925688">
        <w:trPr>
          <w:trHeight w:val="506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87DE0" w14:textId="43D13D1E" w:rsidR="009675F0" w:rsidRPr="00566499" w:rsidRDefault="00954B5C" w:rsidP="00D076EC">
            <w:pPr>
              <w:snapToGrid w:val="0"/>
              <w:spacing w:line="480" w:lineRule="auto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Reliability of measurements of the limping</w:t>
            </w:r>
            <w:r w:rsidR="00B12ACE" w:rsidRPr="00566499">
              <w:rPr>
                <w:rFonts w:eastAsia="游ゴシック"/>
                <w:sz w:val="22"/>
                <w:szCs w:val="22"/>
                <w:lang w:val="en-US"/>
              </w:rPr>
              <w:t xml:space="preserve"> </w:t>
            </w:r>
            <w:r w:rsidRPr="00566499">
              <w:rPr>
                <w:rFonts w:eastAsia="游ゴシック"/>
                <w:sz w:val="22"/>
                <w:szCs w:val="22"/>
                <w:lang w:val="en-US"/>
              </w:rPr>
              <w:t>after THA (95% CI)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3AE" w14:textId="1714422E" w:rsidR="009675F0" w:rsidRPr="00566499" w:rsidRDefault="00954B5C" w:rsidP="00D076EC">
            <w:pPr>
              <w:snapToGrid w:val="0"/>
              <w:spacing w:line="480" w:lineRule="auto"/>
              <w:jc w:val="center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ICC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D69" w14:textId="77777777" w:rsidR="009675F0" w:rsidRPr="00566499" w:rsidRDefault="00954B5C" w:rsidP="00D076EC">
            <w:pPr>
              <w:snapToGrid w:val="0"/>
              <w:spacing w:line="480" w:lineRule="auto"/>
              <w:jc w:val="center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115" w14:textId="77777777" w:rsidR="009675F0" w:rsidRPr="00566499" w:rsidRDefault="00954B5C" w:rsidP="00D076EC">
            <w:pPr>
              <w:snapToGrid w:val="0"/>
              <w:spacing w:line="480" w:lineRule="auto"/>
              <w:jc w:val="center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p value</w:t>
            </w:r>
          </w:p>
        </w:tc>
      </w:tr>
      <w:tr w:rsidR="00785C56" w14:paraId="6E6C09A0" w14:textId="77777777" w:rsidTr="00925688">
        <w:trPr>
          <w:trHeight w:val="506"/>
        </w:trPr>
        <w:tc>
          <w:tcPr>
            <w:tcW w:w="3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65AA" w14:textId="190A1020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Intra-measurer ICC (1, 1)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AF172E" w14:textId="666E088F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>0</w:t>
            </w:r>
            <w:r w:rsidR="00410CB4" w:rsidRPr="00566499">
              <w:rPr>
                <w:rFonts w:eastAsia="游ゴシック"/>
                <w:sz w:val="22"/>
                <w:szCs w:val="22"/>
                <w:lang w:val="en-US" w:eastAsia="ja-JP"/>
              </w:rPr>
              <w:t>.750939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19132F" w14:textId="1A6A44EF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>0.573612 to 0.861032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01B2E2" w14:textId="0067A7BD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&lt;</w:t>
            </w: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 xml:space="preserve"> 0.001</w:t>
            </w:r>
          </w:p>
        </w:tc>
      </w:tr>
      <w:tr w:rsidR="00785C56" w14:paraId="0D7EBA82" w14:textId="77777777" w:rsidTr="00925688">
        <w:trPr>
          <w:trHeight w:val="506"/>
        </w:trPr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F2821C4" w14:textId="09F0550B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rFonts w:eastAsia="游ゴシック"/>
                <w:sz w:val="22"/>
                <w:szCs w:val="22"/>
                <w:lang w:val="en-US"/>
              </w:rPr>
              <w:t>Intra-measurer IC</w:t>
            </w:r>
            <w:r w:rsidR="00942814" w:rsidRPr="00566499">
              <w:rPr>
                <w:rFonts w:eastAsia="游ゴシック"/>
                <w:sz w:val="22"/>
                <w:szCs w:val="22"/>
                <w:lang w:val="en-US" w:eastAsia="ja-JP"/>
              </w:rPr>
              <w:t>C</w:t>
            </w:r>
            <w:r w:rsidRPr="00566499">
              <w:rPr>
                <w:rFonts w:eastAsia="游ゴシック"/>
                <w:sz w:val="22"/>
                <w:szCs w:val="22"/>
                <w:lang w:val="en-US"/>
              </w:rPr>
              <w:t xml:space="preserve"> (</w:t>
            </w:r>
            <w:r w:rsidR="00942814" w:rsidRPr="00566499">
              <w:rPr>
                <w:rFonts w:eastAsia="游ゴシック"/>
                <w:sz w:val="22"/>
                <w:szCs w:val="22"/>
                <w:lang w:val="en-US" w:eastAsia="ja-JP"/>
              </w:rPr>
              <w:t>2</w:t>
            </w:r>
            <w:r w:rsidRPr="00566499">
              <w:rPr>
                <w:rFonts w:eastAsia="游ゴシック"/>
                <w:sz w:val="22"/>
                <w:szCs w:val="22"/>
                <w:lang w:val="en-US"/>
              </w:rPr>
              <w:t>, 1</w:t>
            </w:r>
            <w:r w:rsidR="003C213A" w:rsidRPr="00566499">
              <w:rPr>
                <w:rFonts w:eastAsia="游ゴシック"/>
                <w:sz w:val="22"/>
                <w:szCs w:val="22"/>
                <w:lang w:val="en-US"/>
              </w:rPr>
              <w:t>)</w:t>
            </w:r>
          </w:p>
        </w:tc>
        <w:tc>
          <w:tcPr>
            <w:tcW w:w="2386" w:type="dxa"/>
            <w:shd w:val="clear" w:color="auto" w:fill="FFFFFF" w:themeFill="background1"/>
            <w:noWrap/>
            <w:vAlign w:val="center"/>
          </w:tcPr>
          <w:p w14:paraId="61A430B8" w14:textId="1EAF4F10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>0.816497</w:t>
            </w:r>
          </w:p>
        </w:tc>
        <w:tc>
          <w:tcPr>
            <w:tcW w:w="3460" w:type="dxa"/>
            <w:shd w:val="clear" w:color="auto" w:fill="FFFFFF" w:themeFill="background1"/>
            <w:noWrap/>
            <w:vAlign w:val="center"/>
          </w:tcPr>
          <w:p w14:paraId="72EDFED9" w14:textId="77606653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 xml:space="preserve">0.677241 to </w:t>
            </w:r>
            <w:r w:rsidR="004970B1" w:rsidRPr="00566499">
              <w:rPr>
                <w:rFonts w:eastAsia="游ゴシック"/>
                <w:sz w:val="22"/>
                <w:szCs w:val="22"/>
                <w:lang w:val="en-US" w:eastAsia="ja-JP"/>
              </w:rPr>
              <w:t>0.899278</w:t>
            </w:r>
          </w:p>
        </w:tc>
        <w:tc>
          <w:tcPr>
            <w:tcW w:w="2409" w:type="dxa"/>
            <w:shd w:val="clear" w:color="auto" w:fill="FFFFFF" w:themeFill="background1"/>
            <w:noWrap/>
            <w:vAlign w:val="center"/>
          </w:tcPr>
          <w:p w14:paraId="2F56BC46" w14:textId="31A3506B" w:rsidR="009675F0" w:rsidRPr="00566499" w:rsidRDefault="00954B5C" w:rsidP="00D076EC">
            <w:pPr>
              <w:snapToGrid w:val="0"/>
              <w:spacing w:line="480" w:lineRule="auto"/>
              <w:jc w:val="right"/>
              <w:rPr>
                <w:rFonts w:eastAsia="游ゴシック"/>
                <w:sz w:val="22"/>
                <w:szCs w:val="22"/>
                <w:lang w:val="en-US" w:eastAsia="ja-JP"/>
              </w:rPr>
            </w:pP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>&lt;</w:t>
            </w:r>
            <w:r w:rsidR="00AF4F9F" w:rsidRPr="00566499">
              <w:rPr>
                <w:rFonts w:eastAsia="游ゴシック"/>
                <w:sz w:val="22"/>
                <w:szCs w:val="22"/>
                <w:lang w:val="en-US" w:eastAsia="ja-JP"/>
              </w:rPr>
              <w:t xml:space="preserve"> </w:t>
            </w:r>
            <w:r w:rsidRPr="00566499">
              <w:rPr>
                <w:rFonts w:eastAsia="游ゴシック"/>
                <w:sz w:val="22"/>
                <w:szCs w:val="22"/>
                <w:lang w:val="en-US" w:eastAsia="ja-JP"/>
              </w:rPr>
              <w:t>0.001</w:t>
            </w:r>
          </w:p>
        </w:tc>
      </w:tr>
      <w:tr w:rsidR="00785C56" w14:paraId="1B9C2466" w14:textId="77777777" w:rsidTr="004970B1">
        <w:trPr>
          <w:trHeight w:val="506"/>
        </w:trPr>
        <w:tc>
          <w:tcPr>
            <w:tcW w:w="122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5C57AC" w14:textId="5FD78F18" w:rsidR="00883F71" w:rsidRPr="00566499" w:rsidRDefault="00954B5C" w:rsidP="00D076EC">
            <w:pPr>
              <w:snapToGrid w:val="0"/>
              <w:spacing w:line="480" w:lineRule="auto"/>
              <w:jc w:val="both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sz w:val="22"/>
                <w:szCs w:val="22"/>
                <w:lang w:val="en-US"/>
              </w:rPr>
              <w:t>All p-values have significant differences.</w:t>
            </w:r>
          </w:p>
        </w:tc>
      </w:tr>
      <w:tr w:rsidR="00785C56" w14:paraId="7E07E378" w14:textId="77777777" w:rsidTr="004970B1">
        <w:trPr>
          <w:trHeight w:val="506"/>
        </w:trPr>
        <w:tc>
          <w:tcPr>
            <w:tcW w:w="12248" w:type="dxa"/>
            <w:gridSpan w:val="4"/>
            <w:shd w:val="clear" w:color="auto" w:fill="auto"/>
            <w:noWrap/>
            <w:vAlign w:val="center"/>
          </w:tcPr>
          <w:p w14:paraId="07FC885C" w14:textId="27851F5D" w:rsidR="00883F71" w:rsidRPr="00566499" w:rsidRDefault="00954B5C" w:rsidP="00D076EC">
            <w:pPr>
              <w:snapToGrid w:val="0"/>
              <w:spacing w:line="480" w:lineRule="auto"/>
              <w:jc w:val="both"/>
              <w:rPr>
                <w:rFonts w:eastAsia="游ゴシック"/>
                <w:sz w:val="22"/>
                <w:szCs w:val="22"/>
                <w:lang w:val="en-US"/>
              </w:rPr>
            </w:pPr>
            <w:r w:rsidRPr="00566499">
              <w:rPr>
                <w:sz w:val="22"/>
                <w:szCs w:val="22"/>
                <w:lang w:val="en-US"/>
              </w:rPr>
              <w:t>CI, confidence interval; ICC, intra- and inter-class correlation coefficients;</w:t>
            </w:r>
            <w:r w:rsidR="00690514" w:rsidRPr="00566499">
              <w:rPr>
                <w:sz w:val="22"/>
                <w:szCs w:val="22"/>
                <w:lang w:val="en-US" w:eastAsia="ja-JP"/>
              </w:rPr>
              <w:t xml:space="preserve"> THA</w:t>
            </w:r>
            <w:r w:rsidRPr="00566499">
              <w:rPr>
                <w:sz w:val="22"/>
                <w:szCs w:val="22"/>
                <w:lang w:val="en-US"/>
              </w:rPr>
              <w:t xml:space="preserve">, </w:t>
            </w:r>
            <w:r w:rsidR="00690514" w:rsidRPr="00566499">
              <w:rPr>
                <w:sz w:val="22"/>
                <w:szCs w:val="22"/>
                <w:lang w:val="en-US" w:eastAsia="ja-JP"/>
              </w:rPr>
              <w:t>total hip arthroplasty</w:t>
            </w:r>
            <w:r w:rsidRPr="00566499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3DC7B4BC" w14:textId="77777777" w:rsidR="00FB029A" w:rsidRPr="0055791C" w:rsidRDefault="00FB029A" w:rsidP="000F765B">
      <w:pPr>
        <w:snapToGrid w:val="0"/>
        <w:spacing w:line="480" w:lineRule="auto"/>
        <w:jc w:val="both"/>
        <w:rPr>
          <w:rFonts w:hint="eastAsia"/>
          <w:sz w:val="22"/>
          <w:szCs w:val="22"/>
          <w:lang w:val="en-US" w:eastAsia="ja-JP"/>
        </w:rPr>
      </w:pPr>
    </w:p>
    <w:sectPr w:rsidR="00FB029A" w:rsidRPr="0055791C" w:rsidSect="000F765B">
      <w:pgSz w:w="15840" w:h="12240" w:orient="landscape"/>
      <w:pgMar w:top="1701" w:right="1985" w:bottom="1701" w:left="1701" w:header="720" w:footer="720" w:gutter="0"/>
      <w:lnNumType w:countBy="1" w:restart="continuous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E93B9" w14:textId="77777777" w:rsidR="001909CC" w:rsidRDefault="001909CC">
      <w:r>
        <w:separator/>
      </w:r>
    </w:p>
  </w:endnote>
  <w:endnote w:type="continuationSeparator" w:id="0">
    <w:p w14:paraId="24A15C95" w14:textId="77777777" w:rsidR="001909CC" w:rsidRDefault="0019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7"/>
      </w:rPr>
      <w:id w:val="1212548483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708B1B14" w14:textId="6B886256" w:rsidR="00604BC5" w:rsidRDefault="00954B5C" w:rsidP="000704AF">
        <w:pPr>
          <w:pStyle w:val="a8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B56143">
          <w:rPr>
            <w:rStyle w:val="af7"/>
            <w:noProof/>
          </w:rPr>
          <w:t>13</w:t>
        </w:r>
        <w:r>
          <w:rPr>
            <w:rStyle w:val="af7"/>
          </w:rPr>
          <w:fldChar w:fldCharType="end"/>
        </w:r>
      </w:p>
    </w:sdtContent>
  </w:sdt>
  <w:p w14:paraId="29DF2494" w14:textId="77777777" w:rsidR="00604BC5" w:rsidRDefault="00604BC5" w:rsidP="00006A7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7"/>
      </w:rPr>
      <w:id w:val="504626815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1CC7E201" w14:textId="06C57F2D" w:rsidR="00604BC5" w:rsidRDefault="00954B5C" w:rsidP="000704AF">
        <w:pPr>
          <w:pStyle w:val="a8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37DFB8F8" w14:textId="77777777" w:rsidR="00604BC5" w:rsidRDefault="00604BC5" w:rsidP="00006A7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7E4C3" w14:textId="77777777" w:rsidR="001909CC" w:rsidRDefault="001909CC">
      <w:r>
        <w:separator/>
      </w:r>
    </w:p>
  </w:footnote>
  <w:footnote w:type="continuationSeparator" w:id="0">
    <w:p w14:paraId="0DC76A71" w14:textId="77777777" w:rsidR="001909CC" w:rsidRDefault="0019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74687"/>
    <w:multiLevelType w:val="multilevel"/>
    <w:tmpl w:val="D54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2B2C"/>
    <w:multiLevelType w:val="multilevel"/>
    <w:tmpl w:val="CD5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A3224"/>
    <w:multiLevelType w:val="hybridMultilevel"/>
    <w:tmpl w:val="A62A40F4"/>
    <w:lvl w:ilvl="0" w:tplc="9DEA99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F74E660" w:tentative="1">
      <w:start w:val="1"/>
      <w:numFmt w:val="aiueoFullWidth"/>
      <w:lvlText w:val="(%2)"/>
      <w:lvlJc w:val="left"/>
      <w:pPr>
        <w:ind w:left="840" w:hanging="420"/>
      </w:pPr>
    </w:lvl>
    <w:lvl w:ilvl="2" w:tplc="79CCE9CE" w:tentative="1">
      <w:start w:val="1"/>
      <w:numFmt w:val="decimalEnclosedCircle"/>
      <w:lvlText w:val="%3"/>
      <w:lvlJc w:val="left"/>
      <w:pPr>
        <w:ind w:left="1260" w:hanging="420"/>
      </w:pPr>
    </w:lvl>
    <w:lvl w:ilvl="3" w:tplc="469ADBE4" w:tentative="1">
      <w:start w:val="1"/>
      <w:numFmt w:val="decimal"/>
      <w:lvlText w:val="%4."/>
      <w:lvlJc w:val="left"/>
      <w:pPr>
        <w:ind w:left="1680" w:hanging="420"/>
      </w:pPr>
    </w:lvl>
    <w:lvl w:ilvl="4" w:tplc="33EE9E88" w:tentative="1">
      <w:start w:val="1"/>
      <w:numFmt w:val="aiueoFullWidth"/>
      <w:lvlText w:val="(%5)"/>
      <w:lvlJc w:val="left"/>
      <w:pPr>
        <w:ind w:left="2100" w:hanging="420"/>
      </w:pPr>
    </w:lvl>
    <w:lvl w:ilvl="5" w:tplc="6BDEA88C" w:tentative="1">
      <w:start w:val="1"/>
      <w:numFmt w:val="decimalEnclosedCircle"/>
      <w:lvlText w:val="%6"/>
      <w:lvlJc w:val="left"/>
      <w:pPr>
        <w:ind w:left="2520" w:hanging="420"/>
      </w:pPr>
    </w:lvl>
    <w:lvl w:ilvl="6" w:tplc="89ECB144" w:tentative="1">
      <w:start w:val="1"/>
      <w:numFmt w:val="decimal"/>
      <w:lvlText w:val="%7."/>
      <w:lvlJc w:val="left"/>
      <w:pPr>
        <w:ind w:left="2940" w:hanging="420"/>
      </w:pPr>
    </w:lvl>
    <w:lvl w:ilvl="7" w:tplc="27928C5E" w:tentative="1">
      <w:start w:val="1"/>
      <w:numFmt w:val="aiueoFullWidth"/>
      <w:lvlText w:val="(%8)"/>
      <w:lvlJc w:val="left"/>
      <w:pPr>
        <w:ind w:left="3360" w:hanging="420"/>
      </w:pPr>
    </w:lvl>
    <w:lvl w:ilvl="8" w:tplc="89A28DF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8435585">
    <w:abstractNumId w:val="2"/>
  </w:num>
  <w:num w:numId="2" w16cid:durableId="912005997">
    <w:abstractNumId w:val="0"/>
  </w:num>
  <w:num w:numId="3" w16cid:durableId="174876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bordersDoNotSurroundHeader/>
  <w:bordersDoNotSurroundFooter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_Musculoskeletal_Disorders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ap550dwfwerstervp7vxasn0dsxxdtpstxr&quot;&gt;20231227_editfiles&lt;record-ids&gt;&lt;item&gt;423&lt;/item&gt;&lt;item&gt;3882&lt;/item&gt;&lt;item&gt;3884&lt;/item&gt;&lt;item&gt;3941&lt;/item&gt;&lt;item&gt;3945&lt;/item&gt;&lt;item&gt;3964&lt;/item&gt;&lt;item&gt;3967&lt;/item&gt;&lt;item&gt;3968&lt;/item&gt;&lt;item&gt;3970&lt;/item&gt;&lt;item&gt;3973&lt;/item&gt;&lt;item&gt;3974&lt;/item&gt;&lt;item&gt;3975&lt;/item&gt;&lt;item&gt;3976&lt;/item&gt;&lt;item&gt;3978&lt;/item&gt;&lt;item&gt;3979&lt;/item&gt;&lt;item&gt;3980&lt;/item&gt;&lt;item&gt;3982&lt;/item&gt;&lt;item&gt;3984&lt;/item&gt;&lt;item&gt;3985&lt;/item&gt;&lt;item&gt;3986&lt;/item&gt;&lt;item&gt;3988&lt;/item&gt;&lt;item&gt;3989&lt;/item&gt;&lt;item&gt;3990&lt;/item&gt;&lt;item&gt;3996&lt;/item&gt;&lt;item&gt;3997&lt;/item&gt;&lt;item&gt;3998&lt;/item&gt;&lt;item&gt;3999&lt;/item&gt;&lt;/record-ids&gt;&lt;/item&gt;&lt;/Libraries&gt;"/>
  </w:docVars>
  <w:rsids>
    <w:rsidRoot w:val="00E073CB"/>
    <w:rsid w:val="0000020F"/>
    <w:rsid w:val="000017C1"/>
    <w:rsid w:val="00001E00"/>
    <w:rsid w:val="000047D2"/>
    <w:rsid w:val="00006A7B"/>
    <w:rsid w:val="00010803"/>
    <w:rsid w:val="00010CBC"/>
    <w:rsid w:val="000120F5"/>
    <w:rsid w:val="00012483"/>
    <w:rsid w:val="0001365F"/>
    <w:rsid w:val="00014972"/>
    <w:rsid w:val="00014E90"/>
    <w:rsid w:val="000150F0"/>
    <w:rsid w:val="0001605F"/>
    <w:rsid w:val="00016E88"/>
    <w:rsid w:val="00021447"/>
    <w:rsid w:val="0002162C"/>
    <w:rsid w:val="00021B7C"/>
    <w:rsid w:val="0002383A"/>
    <w:rsid w:val="00023D9B"/>
    <w:rsid w:val="0002469A"/>
    <w:rsid w:val="00025E82"/>
    <w:rsid w:val="000272CD"/>
    <w:rsid w:val="00027C9B"/>
    <w:rsid w:val="00027D69"/>
    <w:rsid w:val="0003091C"/>
    <w:rsid w:val="00035508"/>
    <w:rsid w:val="00041CAD"/>
    <w:rsid w:val="000421A4"/>
    <w:rsid w:val="0004526B"/>
    <w:rsid w:val="0004578C"/>
    <w:rsid w:val="00045EEA"/>
    <w:rsid w:val="00046990"/>
    <w:rsid w:val="000509E7"/>
    <w:rsid w:val="00050CFB"/>
    <w:rsid w:val="0005587F"/>
    <w:rsid w:val="0005678D"/>
    <w:rsid w:val="0006212A"/>
    <w:rsid w:val="00062D33"/>
    <w:rsid w:val="00063C1A"/>
    <w:rsid w:val="0006512A"/>
    <w:rsid w:val="00066F64"/>
    <w:rsid w:val="000673C5"/>
    <w:rsid w:val="00067493"/>
    <w:rsid w:val="000704AF"/>
    <w:rsid w:val="00072D03"/>
    <w:rsid w:val="00073CED"/>
    <w:rsid w:val="00075291"/>
    <w:rsid w:val="00080E11"/>
    <w:rsid w:val="0008181F"/>
    <w:rsid w:val="00086203"/>
    <w:rsid w:val="000901C9"/>
    <w:rsid w:val="00090781"/>
    <w:rsid w:val="00093934"/>
    <w:rsid w:val="00094323"/>
    <w:rsid w:val="00094F0E"/>
    <w:rsid w:val="000958C0"/>
    <w:rsid w:val="000974D4"/>
    <w:rsid w:val="00097636"/>
    <w:rsid w:val="000A09E0"/>
    <w:rsid w:val="000A0AF6"/>
    <w:rsid w:val="000A1663"/>
    <w:rsid w:val="000A2875"/>
    <w:rsid w:val="000A31F2"/>
    <w:rsid w:val="000A3870"/>
    <w:rsid w:val="000A3A9C"/>
    <w:rsid w:val="000A7049"/>
    <w:rsid w:val="000A7109"/>
    <w:rsid w:val="000C18CC"/>
    <w:rsid w:val="000C2826"/>
    <w:rsid w:val="000C2B9B"/>
    <w:rsid w:val="000C3135"/>
    <w:rsid w:val="000C399D"/>
    <w:rsid w:val="000C572C"/>
    <w:rsid w:val="000D2168"/>
    <w:rsid w:val="000D3241"/>
    <w:rsid w:val="000D39C3"/>
    <w:rsid w:val="000D4042"/>
    <w:rsid w:val="000D42E6"/>
    <w:rsid w:val="000D4AEB"/>
    <w:rsid w:val="000D6810"/>
    <w:rsid w:val="000D7662"/>
    <w:rsid w:val="000D7BB7"/>
    <w:rsid w:val="000E0841"/>
    <w:rsid w:val="000E0BB3"/>
    <w:rsid w:val="000E1A9F"/>
    <w:rsid w:val="000E1E3C"/>
    <w:rsid w:val="000E2A2D"/>
    <w:rsid w:val="000E3D4F"/>
    <w:rsid w:val="000E72B1"/>
    <w:rsid w:val="000E7BBA"/>
    <w:rsid w:val="000E7C29"/>
    <w:rsid w:val="000E7EB7"/>
    <w:rsid w:val="000F00F1"/>
    <w:rsid w:val="000F0AA2"/>
    <w:rsid w:val="000F1FA5"/>
    <w:rsid w:val="000F5B77"/>
    <w:rsid w:val="000F765B"/>
    <w:rsid w:val="000F78B0"/>
    <w:rsid w:val="001016B0"/>
    <w:rsid w:val="00102CD4"/>
    <w:rsid w:val="001078DD"/>
    <w:rsid w:val="001103A6"/>
    <w:rsid w:val="00110471"/>
    <w:rsid w:val="00110532"/>
    <w:rsid w:val="001107D0"/>
    <w:rsid w:val="00113BF2"/>
    <w:rsid w:val="00113DF4"/>
    <w:rsid w:val="001148FF"/>
    <w:rsid w:val="0011688C"/>
    <w:rsid w:val="0012015E"/>
    <w:rsid w:val="001213B2"/>
    <w:rsid w:val="001235ED"/>
    <w:rsid w:val="001254D6"/>
    <w:rsid w:val="00127FCE"/>
    <w:rsid w:val="00130499"/>
    <w:rsid w:val="00131585"/>
    <w:rsid w:val="00134F3F"/>
    <w:rsid w:val="0013544A"/>
    <w:rsid w:val="00135E56"/>
    <w:rsid w:val="00140ABD"/>
    <w:rsid w:val="00140D30"/>
    <w:rsid w:val="00141495"/>
    <w:rsid w:val="00142263"/>
    <w:rsid w:val="00144F74"/>
    <w:rsid w:val="00147253"/>
    <w:rsid w:val="001502B6"/>
    <w:rsid w:val="001506D2"/>
    <w:rsid w:val="001525F9"/>
    <w:rsid w:val="00154128"/>
    <w:rsid w:val="0015464A"/>
    <w:rsid w:val="00154765"/>
    <w:rsid w:val="00162627"/>
    <w:rsid w:val="0016306F"/>
    <w:rsid w:val="00164DC7"/>
    <w:rsid w:val="0016671F"/>
    <w:rsid w:val="001700B2"/>
    <w:rsid w:val="00170312"/>
    <w:rsid w:val="00172362"/>
    <w:rsid w:val="001739EF"/>
    <w:rsid w:val="00176DED"/>
    <w:rsid w:val="001777F0"/>
    <w:rsid w:val="00181B44"/>
    <w:rsid w:val="0018289C"/>
    <w:rsid w:val="00185096"/>
    <w:rsid w:val="00185CFD"/>
    <w:rsid w:val="0018623F"/>
    <w:rsid w:val="001867E1"/>
    <w:rsid w:val="00187E66"/>
    <w:rsid w:val="001909CC"/>
    <w:rsid w:val="00194D35"/>
    <w:rsid w:val="00195D29"/>
    <w:rsid w:val="00196A58"/>
    <w:rsid w:val="00197756"/>
    <w:rsid w:val="001A0A25"/>
    <w:rsid w:val="001A101B"/>
    <w:rsid w:val="001A1D5E"/>
    <w:rsid w:val="001A4352"/>
    <w:rsid w:val="001A4CA0"/>
    <w:rsid w:val="001A58D0"/>
    <w:rsid w:val="001B1308"/>
    <w:rsid w:val="001B3B37"/>
    <w:rsid w:val="001B3DB1"/>
    <w:rsid w:val="001C0DED"/>
    <w:rsid w:val="001C3A99"/>
    <w:rsid w:val="001C3C09"/>
    <w:rsid w:val="001C3D70"/>
    <w:rsid w:val="001C4084"/>
    <w:rsid w:val="001C5D6B"/>
    <w:rsid w:val="001C7656"/>
    <w:rsid w:val="001D4023"/>
    <w:rsid w:val="001D4774"/>
    <w:rsid w:val="001E18A0"/>
    <w:rsid w:val="001E1C58"/>
    <w:rsid w:val="001E2A7C"/>
    <w:rsid w:val="001E3469"/>
    <w:rsid w:val="001E3517"/>
    <w:rsid w:val="001E3E4E"/>
    <w:rsid w:val="001E3EEC"/>
    <w:rsid w:val="001E41BA"/>
    <w:rsid w:val="001E72CD"/>
    <w:rsid w:val="001E755C"/>
    <w:rsid w:val="001F1C8E"/>
    <w:rsid w:val="001F600C"/>
    <w:rsid w:val="001F7298"/>
    <w:rsid w:val="001F7D41"/>
    <w:rsid w:val="00200B78"/>
    <w:rsid w:val="00201154"/>
    <w:rsid w:val="00201553"/>
    <w:rsid w:val="002022CE"/>
    <w:rsid w:val="002105FE"/>
    <w:rsid w:val="00210D37"/>
    <w:rsid w:val="00211127"/>
    <w:rsid w:val="002113A7"/>
    <w:rsid w:val="0021155E"/>
    <w:rsid w:val="00217519"/>
    <w:rsid w:val="00217EFE"/>
    <w:rsid w:val="0022050E"/>
    <w:rsid w:val="00220AB9"/>
    <w:rsid w:val="00220E38"/>
    <w:rsid w:val="002222F1"/>
    <w:rsid w:val="00222A8B"/>
    <w:rsid w:val="00223CEF"/>
    <w:rsid w:val="002279EE"/>
    <w:rsid w:val="002335DE"/>
    <w:rsid w:val="002336C0"/>
    <w:rsid w:val="00236AB2"/>
    <w:rsid w:val="00237888"/>
    <w:rsid w:val="00240227"/>
    <w:rsid w:val="00240632"/>
    <w:rsid w:val="00241BD0"/>
    <w:rsid w:val="00241C44"/>
    <w:rsid w:val="002424B6"/>
    <w:rsid w:val="00243993"/>
    <w:rsid w:val="0025049C"/>
    <w:rsid w:val="002531D5"/>
    <w:rsid w:val="00256810"/>
    <w:rsid w:val="002575A7"/>
    <w:rsid w:val="00257E98"/>
    <w:rsid w:val="00263524"/>
    <w:rsid w:val="00263F55"/>
    <w:rsid w:val="00264656"/>
    <w:rsid w:val="00265699"/>
    <w:rsid w:val="00267150"/>
    <w:rsid w:val="00267AF5"/>
    <w:rsid w:val="00275487"/>
    <w:rsid w:val="00275E9F"/>
    <w:rsid w:val="00276481"/>
    <w:rsid w:val="0027771D"/>
    <w:rsid w:val="00281335"/>
    <w:rsid w:val="0028252A"/>
    <w:rsid w:val="00286AD4"/>
    <w:rsid w:val="00286D03"/>
    <w:rsid w:val="002875E8"/>
    <w:rsid w:val="00287898"/>
    <w:rsid w:val="00292033"/>
    <w:rsid w:val="002920AD"/>
    <w:rsid w:val="002920D1"/>
    <w:rsid w:val="00292940"/>
    <w:rsid w:val="00295359"/>
    <w:rsid w:val="0029626A"/>
    <w:rsid w:val="002979F3"/>
    <w:rsid w:val="002A036F"/>
    <w:rsid w:val="002A2577"/>
    <w:rsid w:val="002A3F89"/>
    <w:rsid w:val="002B0389"/>
    <w:rsid w:val="002B0C07"/>
    <w:rsid w:val="002B2906"/>
    <w:rsid w:val="002B293B"/>
    <w:rsid w:val="002B38E3"/>
    <w:rsid w:val="002B39E0"/>
    <w:rsid w:val="002B5A17"/>
    <w:rsid w:val="002B669B"/>
    <w:rsid w:val="002B7856"/>
    <w:rsid w:val="002C1361"/>
    <w:rsid w:val="002C2A9B"/>
    <w:rsid w:val="002C2D9C"/>
    <w:rsid w:val="002C2EC6"/>
    <w:rsid w:val="002C33DC"/>
    <w:rsid w:val="002C3DCC"/>
    <w:rsid w:val="002C5D98"/>
    <w:rsid w:val="002D057B"/>
    <w:rsid w:val="002D19B0"/>
    <w:rsid w:val="002D29EE"/>
    <w:rsid w:val="002D2D2F"/>
    <w:rsid w:val="002D31B6"/>
    <w:rsid w:val="002D33FB"/>
    <w:rsid w:val="002D3CC9"/>
    <w:rsid w:val="002D6178"/>
    <w:rsid w:val="002E015A"/>
    <w:rsid w:val="002E3EA2"/>
    <w:rsid w:val="002E3F8C"/>
    <w:rsid w:val="002E58FC"/>
    <w:rsid w:val="002E66C0"/>
    <w:rsid w:val="002E7312"/>
    <w:rsid w:val="002F02CC"/>
    <w:rsid w:val="002F1169"/>
    <w:rsid w:val="002F2CAF"/>
    <w:rsid w:val="002F39BC"/>
    <w:rsid w:val="002F415E"/>
    <w:rsid w:val="002F4D45"/>
    <w:rsid w:val="00301C78"/>
    <w:rsid w:val="00307147"/>
    <w:rsid w:val="00311FC9"/>
    <w:rsid w:val="003134CC"/>
    <w:rsid w:val="00314829"/>
    <w:rsid w:val="003167D7"/>
    <w:rsid w:val="00322AF1"/>
    <w:rsid w:val="00322F79"/>
    <w:rsid w:val="003230C6"/>
    <w:rsid w:val="0032488E"/>
    <w:rsid w:val="00325C21"/>
    <w:rsid w:val="00330155"/>
    <w:rsid w:val="003309D9"/>
    <w:rsid w:val="003315DB"/>
    <w:rsid w:val="00331A78"/>
    <w:rsid w:val="00332CF6"/>
    <w:rsid w:val="003335D4"/>
    <w:rsid w:val="00334A98"/>
    <w:rsid w:val="003409D3"/>
    <w:rsid w:val="00346E1C"/>
    <w:rsid w:val="00347DE9"/>
    <w:rsid w:val="0035072D"/>
    <w:rsid w:val="00351186"/>
    <w:rsid w:val="00352E76"/>
    <w:rsid w:val="00352F56"/>
    <w:rsid w:val="003533AF"/>
    <w:rsid w:val="00354490"/>
    <w:rsid w:val="0035611E"/>
    <w:rsid w:val="00356F11"/>
    <w:rsid w:val="00361CEC"/>
    <w:rsid w:val="003635FB"/>
    <w:rsid w:val="00364424"/>
    <w:rsid w:val="0036731E"/>
    <w:rsid w:val="003704BE"/>
    <w:rsid w:val="00372135"/>
    <w:rsid w:val="00374AD4"/>
    <w:rsid w:val="00374C23"/>
    <w:rsid w:val="00380DB5"/>
    <w:rsid w:val="00380E09"/>
    <w:rsid w:val="00382908"/>
    <w:rsid w:val="00382AB5"/>
    <w:rsid w:val="00383E41"/>
    <w:rsid w:val="00386619"/>
    <w:rsid w:val="003878C5"/>
    <w:rsid w:val="00390548"/>
    <w:rsid w:val="00391684"/>
    <w:rsid w:val="003926E3"/>
    <w:rsid w:val="00392894"/>
    <w:rsid w:val="00392E49"/>
    <w:rsid w:val="0039333E"/>
    <w:rsid w:val="00394A17"/>
    <w:rsid w:val="00394BC5"/>
    <w:rsid w:val="00395F05"/>
    <w:rsid w:val="00396194"/>
    <w:rsid w:val="003979E5"/>
    <w:rsid w:val="003A041F"/>
    <w:rsid w:val="003A28C5"/>
    <w:rsid w:val="003A5CEB"/>
    <w:rsid w:val="003A7C9C"/>
    <w:rsid w:val="003B04F2"/>
    <w:rsid w:val="003B0B33"/>
    <w:rsid w:val="003B1516"/>
    <w:rsid w:val="003B1954"/>
    <w:rsid w:val="003B19FB"/>
    <w:rsid w:val="003B3AAD"/>
    <w:rsid w:val="003C213A"/>
    <w:rsid w:val="003C2B5E"/>
    <w:rsid w:val="003C2E03"/>
    <w:rsid w:val="003C391D"/>
    <w:rsid w:val="003D353C"/>
    <w:rsid w:val="003D41AA"/>
    <w:rsid w:val="003D496C"/>
    <w:rsid w:val="003D62EA"/>
    <w:rsid w:val="003D6A19"/>
    <w:rsid w:val="003D793B"/>
    <w:rsid w:val="003E275A"/>
    <w:rsid w:val="003E4537"/>
    <w:rsid w:val="003E4DA8"/>
    <w:rsid w:val="003E5250"/>
    <w:rsid w:val="003E6F0F"/>
    <w:rsid w:val="003F0052"/>
    <w:rsid w:val="003F4A90"/>
    <w:rsid w:val="00400C62"/>
    <w:rsid w:val="00403DCF"/>
    <w:rsid w:val="00404930"/>
    <w:rsid w:val="00407D8F"/>
    <w:rsid w:val="004104C8"/>
    <w:rsid w:val="00410CB4"/>
    <w:rsid w:val="00410E79"/>
    <w:rsid w:val="00412310"/>
    <w:rsid w:val="00413AA8"/>
    <w:rsid w:val="0041506A"/>
    <w:rsid w:val="00415955"/>
    <w:rsid w:val="00415E75"/>
    <w:rsid w:val="0042163A"/>
    <w:rsid w:val="00422163"/>
    <w:rsid w:val="004229DD"/>
    <w:rsid w:val="0042464E"/>
    <w:rsid w:val="00424AC3"/>
    <w:rsid w:val="00425836"/>
    <w:rsid w:val="00425DE6"/>
    <w:rsid w:val="004272B5"/>
    <w:rsid w:val="004306F5"/>
    <w:rsid w:val="004312F6"/>
    <w:rsid w:val="00431586"/>
    <w:rsid w:val="00431754"/>
    <w:rsid w:val="0043367E"/>
    <w:rsid w:val="00433862"/>
    <w:rsid w:val="00434FA2"/>
    <w:rsid w:val="00437258"/>
    <w:rsid w:val="0044004C"/>
    <w:rsid w:val="004406AE"/>
    <w:rsid w:val="0044200C"/>
    <w:rsid w:val="00442AB3"/>
    <w:rsid w:val="00443C4B"/>
    <w:rsid w:val="00444325"/>
    <w:rsid w:val="0044463F"/>
    <w:rsid w:val="00444A53"/>
    <w:rsid w:val="00447CB0"/>
    <w:rsid w:val="00450FDF"/>
    <w:rsid w:val="004515C7"/>
    <w:rsid w:val="00451E31"/>
    <w:rsid w:val="004531F5"/>
    <w:rsid w:val="00454081"/>
    <w:rsid w:val="00455984"/>
    <w:rsid w:val="004564F6"/>
    <w:rsid w:val="00457284"/>
    <w:rsid w:val="00462B1E"/>
    <w:rsid w:val="00464F8D"/>
    <w:rsid w:val="0046527C"/>
    <w:rsid w:val="004668EE"/>
    <w:rsid w:val="004674CB"/>
    <w:rsid w:val="004711A6"/>
    <w:rsid w:val="00471989"/>
    <w:rsid w:val="00471A94"/>
    <w:rsid w:val="00472891"/>
    <w:rsid w:val="00472B94"/>
    <w:rsid w:val="00472F86"/>
    <w:rsid w:val="004752AD"/>
    <w:rsid w:val="00481FA0"/>
    <w:rsid w:val="0048291B"/>
    <w:rsid w:val="00483CC3"/>
    <w:rsid w:val="00485519"/>
    <w:rsid w:val="004862BA"/>
    <w:rsid w:val="00486FAA"/>
    <w:rsid w:val="004901B6"/>
    <w:rsid w:val="00491FCA"/>
    <w:rsid w:val="0049534D"/>
    <w:rsid w:val="004957CD"/>
    <w:rsid w:val="004970B1"/>
    <w:rsid w:val="00497DCF"/>
    <w:rsid w:val="004A0983"/>
    <w:rsid w:val="004A1226"/>
    <w:rsid w:val="004A1A09"/>
    <w:rsid w:val="004A2870"/>
    <w:rsid w:val="004A3128"/>
    <w:rsid w:val="004A410A"/>
    <w:rsid w:val="004A5893"/>
    <w:rsid w:val="004A5B47"/>
    <w:rsid w:val="004A6360"/>
    <w:rsid w:val="004B1D7F"/>
    <w:rsid w:val="004B2E24"/>
    <w:rsid w:val="004B334D"/>
    <w:rsid w:val="004B35A4"/>
    <w:rsid w:val="004B5425"/>
    <w:rsid w:val="004B560B"/>
    <w:rsid w:val="004B60B1"/>
    <w:rsid w:val="004B7C42"/>
    <w:rsid w:val="004C2788"/>
    <w:rsid w:val="004C33C2"/>
    <w:rsid w:val="004C545D"/>
    <w:rsid w:val="004C6E6E"/>
    <w:rsid w:val="004C6F84"/>
    <w:rsid w:val="004C75A4"/>
    <w:rsid w:val="004D052C"/>
    <w:rsid w:val="004D0CC1"/>
    <w:rsid w:val="004D19FE"/>
    <w:rsid w:val="004D2491"/>
    <w:rsid w:val="004D2CEC"/>
    <w:rsid w:val="004D2D5C"/>
    <w:rsid w:val="004D403F"/>
    <w:rsid w:val="004D40C0"/>
    <w:rsid w:val="004D4BF0"/>
    <w:rsid w:val="004D58FE"/>
    <w:rsid w:val="004E098F"/>
    <w:rsid w:val="004E5601"/>
    <w:rsid w:val="004E63F1"/>
    <w:rsid w:val="004F09B6"/>
    <w:rsid w:val="004F16FB"/>
    <w:rsid w:val="004F497B"/>
    <w:rsid w:val="00500C38"/>
    <w:rsid w:val="0050119A"/>
    <w:rsid w:val="00502310"/>
    <w:rsid w:val="005030F5"/>
    <w:rsid w:val="0050321D"/>
    <w:rsid w:val="0050574B"/>
    <w:rsid w:val="00510EDE"/>
    <w:rsid w:val="00517E79"/>
    <w:rsid w:val="005207B9"/>
    <w:rsid w:val="00521912"/>
    <w:rsid w:val="0052312F"/>
    <w:rsid w:val="0052368B"/>
    <w:rsid w:val="00523915"/>
    <w:rsid w:val="00524DA7"/>
    <w:rsid w:val="005278A0"/>
    <w:rsid w:val="00527CD4"/>
    <w:rsid w:val="00527E62"/>
    <w:rsid w:val="005351A7"/>
    <w:rsid w:val="00536601"/>
    <w:rsid w:val="005434BF"/>
    <w:rsid w:val="00545390"/>
    <w:rsid w:val="00546FA4"/>
    <w:rsid w:val="00550325"/>
    <w:rsid w:val="00550F83"/>
    <w:rsid w:val="005531AD"/>
    <w:rsid w:val="0055696A"/>
    <w:rsid w:val="0055791C"/>
    <w:rsid w:val="00560124"/>
    <w:rsid w:val="0056072A"/>
    <w:rsid w:val="00560B7F"/>
    <w:rsid w:val="00561F8F"/>
    <w:rsid w:val="00563AC9"/>
    <w:rsid w:val="00566499"/>
    <w:rsid w:val="00567749"/>
    <w:rsid w:val="005711FF"/>
    <w:rsid w:val="00571225"/>
    <w:rsid w:val="00572889"/>
    <w:rsid w:val="00572FA6"/>
    <w:rsid w:val="005735AB"/>
    <w:rsid w:val="0057371A"/>
    <w:rsid w:val="005737A9"/>
    <w:rsid w:val="005741D6"/>
    <w:rsid w:val="00576F96"/>
    <w:rsid w:val="005803E9"/>
    <w:rsid w:val="00580432"/>
    <w:rsid w:val="00580F4F"/>
    <w:rsid w:val="00581429"/>
    <w:rsid w:val="00581AC3"/>
    <w:rsid w:val="00581D7C"/>
    <w:rsid w:val="00583F12"/>
    <w:rsid w:val="00586112"/>
    <w:rsid w:val="005879B2"/>
    <w:rsid w:val="0059000B"/>
    <w:rsid w:val="0059293F"/>
    <w:rsid w:val="00594C3C"/>
    <w:rsid w:val="005962E1"/>
    <w:rsid w:val="00596C2E"/>
    <w:rsid w:val="00597D8E"/>
    <w:rsid w:val="005A1513"/>
    <w:rsid w:val="005A1D21"/>
    <w:rsid w:val="005A32FB"/>
    <w:rsid w:val="005A3FA3"/>
    <w:rsid w:val="005A54F1"/>
    <w:rsid w:val="005A5587"/>
    <w:rsid w:val="005A638A"/>
    <w:rsid w:val="005A763A"/>
    <w:rsid w:val="005A7A92"/>
    <w:rsid w:val="005B05C8"/>
    <w:rsid w:val="005B168D"/>
    <w:rsid w:val="005B374F"/>
    <w:rsid w:val="005B3B3A"/>
    <w:rsid w:val="005B5A36"/>
    <w:rsid w:val="005B6C35"/>
    <w:rsid w:val="005B6D71"/>
    <w:rsid w:val="005C2EFF"/>
    <w:rsid w:val="005C4728"/>
    <w:rsid w:val="005C5D30"/>
    <w:rsid w:val="005D0034"/>
    <w:rsid w:val="005D02E6"/>
    <w:rsid w:val="005D02EF"/>
    <w:rsid w:val="005D0883"/>
    <w:rsid w:val="005D1EA6"/>
    <w:rsid w:val="005D367B"/>
    <w:rsid w:val="005D4EAF"/>
    <w:rsid w:val="005D5F0A"/>
    <w:rsid w:val="005E0E8A"/>
    <w:rsid w:val="005E0EB2"/>
    <w:rsid w:val="005E2E61"/>
    <w:rsid w:val="005E31B5"/>
    <w:rsid w:val="005E5D11"/>
    <w:rsid w:val="005E6169"/>
    <w:rsid w:val="005E6578"/>
    <w:rsid w:val="005E6930"/>
    <w:rsid w:val="005E6940"/>
    <w:rsid w:val="005F15EA"/>
    <w:rsid w:val="005F18E9"/>
    <w:rsid w:val="005F2339"/>
    <w:rsid w:val="005F2454"/>
    <w:rsid w:val="005F2B35"/>
    <w:rsid w:val="005F30B1"/>
    <w:rsid w:val="005F335A"/>
    <w:rsid w:val="005F3DCD"/>
    <w:rsid w:val="005F418B"/>
    <w:rsid w:val="00600BE4"/>
    <w:rsid w:val="006011F1"/>
    <w:rsid w:val="00601EAE"/>
    <w:rsid w:val="0060317B"/>
    <w:rsid w:val="00604BC5"/>
    <w:rsid w:val="006050B1"/>
    <w:rsid w:val="00605664"/>
    <w:rsid w:val="00606942"/>
    <w:rsid w:val="00610F7F"/>
    <w:rsid w:val="006117F3"/>
    <w:rsid w:val="00614DF5"/>
    <w:rsid w:val="00616AD2"/>
    <w:rsid w:val="00617540"/>
    <w:rsid w:val="0062089B"/>
    <w:rsid w:val="00620D59"/>
    <w:rsid w:val="006212DA"/>
    <w:rsid w:val="00622819"/>
    <w:rsid w:val="0062494C"/>
    <w:rsid w:val="00626BD9"/>
    <w:rsid w:val="0062760F"/>
    <w:rsid w:val="006278E6"/>
    <w:rsid w:val="0063018A"/>
    <w:rsid w:val="006304DB"/>
    <w:rsid w:val="00631926"/>
    <w:rsid w:val="00634CBB"/>
    <w:rsid w:val="00635A7F"/>
    <w:rsid w:val="0063675F"/>
    <w:rsid w:val="006400BF"/>
    <w:rsid w:val="006411E1"/>
    <w:rsid w:val="006437AB"/>
    <w:rsid w:val="00643E01"/>
    <w:rsid w:val="006441CF"/>
    <w:rsid w:val="0064504E"/>
    <w:rsid w:val="006463CA"/>
    <w:rsid w:val="00647007"/>
    <w:rsid w:val="00647FFD"/>
    <w:rsid w:val="00650235"/>
    <w:rsid w:val="00653952"/>
    <w:rsid w:val="0065411E"/>
    <w:rsid w:val="006546DB"/>
    <w:rsid w:val="00655550"/>
    <w:rsid w:val="00656A3A"/>
    <w:rsid w:val="006615AD"/>
    <w:rsid w:val="00662073"/>
    <w:rsid w:val="0066450F"/>
    <w:rsid w:val="00666E20"/>
    <w:rsid w:val="00670781"/>
    <w:rsid w:val="006708ED"/>
    <w:rsid w:val="00671398"/>
    <w:rsid w:val="00673FE7"/>
    <w:rsid w:val="00677D9A"/>
    <w:rsid w:val="006820BD"/>
    <w:rsid w:val="00682D88"/>
    <w:rsid w:val="00683921"/>
    <w:rsid w:val="006846B7"/>
    <w:rsid w:val="0068656E"/>
    <w:rsid w:val="00690514"/>
    <w:rsid w:val="0069147A"/>
    <w:rsid w:val="00691A95"/>
    <w:rsid w:val="00693591"/>
    <w:rsid w:val="00693D68"/>
    <w:rsid w:val="006A1569"/>
    <w:rsid w:val="006A4AEF"/>
    <w:rsid w:val="006A771C"/>
    <w:rsid w:val="006B080E"/>
    <w:rsid w:val="006B196E"/>
    <w:rsid w:val="006B38F2"/>
    <w:rsid w:val="006B3C24"/>
    <w:rsid w:val="006B53CA"/>
    <w:rsid w:val="006B5D84"/>
    <w:rsid w:val="006B6B8F"/>
    <w:rsid w:val="006B76B0"/>
    <w:rsid w:val="006C158D"/>
    <w:rsid w:val="006C1805"/>
    <w:rsid w:val="006C22A2"/>
    <w:rsid w:val="006C3838"/>
    <w:rsid w:val="006C3D78"/>
    <w:rsid w:val="006C7F59"/>
    <w:rsid w:val="006D3968"/>
    <w:rsid w:val="006D4213"/>
    <w:rsid w:val="006D5A50"/>
    <w:rsid w:val="006E13CD"/>
    <w:rsid w:val="006E13D3"/>
    <w:rsid w:val="006E32D7"/>
    <w:rsid w:val="006E3C96"/>
    <w:rsid w:val="006E5A80"/>
    <w:rsid w:val="006E5EF4"/>
    <w:rsid w:val="006E71A4"/>
    <w:rsid w:val="006F22C5"/>
    <w:rsid w:val="006F5367"/>
    <w:rsid w:val="006F5F01"/>
    <w:rsid w:val="006F61C0"/>
    <w:rsid w:val="006F62D0"/>
    <w:rsid w:val="00704BBC"/>
    <w:rsid w:val="00704BC0"/>
    <w:rsid w:val="00704C14"/>
    <w:rsid w:val="0070715C"/>
    <w:rsid w:val="00711348"/>
    <w:rsid w:val="00713C56"/>
    <w:rsid w:val="00717DBF"/>
    <w:rsid w:val="007217B3"/>
    <w:rsid w:val="00721B1F"/>
    <w:rsid w:val="007241AA"/>
    <w:rsid w:val="0072490E"/>
    <w:rsid w:val="00731B8F"/>
    <w:rsid w:val="00734A28"/>
    <w:rsid w:val="0073559B"/>
    <w:rsid w:val="007355C8"/>
    <w:rsid w:val="00736C02"/>
    <w:rsid w:val="00741FCC"/>
    <w:rsid w:val="0074292A"/>
    <w:rsid w:val="00742E78"/>
    <w:rsid w:val="007435C9"/>
    <w:rsid w:val="00744508"/>
    <w:rsid w:val="007448F0"/>
    <w:rsid w:val="00744CCB"/>
    <w:rsid w:val="007475C8"/>
    <w:rsid w:val="0075097F"/>
    <w:rsid w:val="00751D22"/>
    <w:rsid w:val="0075220A"/>
    <w:rsid w:val="00752BC3"/>
    <w:rsid w:val="00752D6B"/>
    <w:rsid w:val="00752EC4"/>
    <w:rsid w:val="00755780"/>
    <w:rsid w:val="00757909"/>
    <w:rsid w:val="00757912"/>
    <w:rsid w:val="007617C1"/>
    <w:rsid w:val="00761FDB"/>
    <w:rsid w:val="007628F9"/>
    <w:rsid w:val="00763C85"/>
    <w:rsid w:val="00764789"/>
    <w:rsid w:val="00764F3C"/>
    <w:rsid w:val="00767A1F"/>
    <w:rsid w:val="00771CCA"/>
    <w:rsid w:val="00771F43"/>
    <w:rsid w:val="00773999"/>
    <w:rsid w:val="007754A0"/>
    <w:rsid w:val="00777917"/>
    <w:rsid w:val="007811B0"/>
    <w:rsid w:val="007822E8"/>
    <w:rsid w:val="0078230A"/>
    <w:rsid w:val="007826D1"/>
    <w:rsid w:val="00782E0F"/>
    <w:rsid w:val="00783C9F"/>
    <w:rsid w:val="00785C56"/>
    <w:rsid w:val="00791F40"/>
    <w:rsid w:val="00795941"/>
    <w:rsid w:val="00797733"/>
    <w:rsid w:val="0079794A"/>
    <w:rsid w:val="007A234D"/>
    <w:rsid w:val="007A7165"/>
    <w:rsid w:val="007B0460"/>
    <w:rsid w:val="007B0DAB"/>
    <w:rsid w:val="007B13F6"/>
    <w:rsid w:val="007B153A"/>
    <w:rsid w:val="007B56DB"/>
    <w:rsid w:val="007B7EBC"/>
    <w:rsid w:val="007C0651"/>
    <w:rsid w:val="007C2156"/>
    <w:rsid w:val="007C399A"/>
    <w:rsid w:val="007C6A7B"/>
    <w:rsid w:val="007D0F16"/>
    <w:rsid w:val="007D36D5"/>
    <w:rsid w:val="007D460F"/>
    <w:rsid w:val="007D7968"/>
    <w:rsid w:val="007E393C"/>
    <w:rsid w:val="007E520B"/>
    <w:rsid w:val="007E559C"/>
    <w:rsid w:val="00803E3B"/>
    <w:rsid w:val="00803FED"/>
    <w:rsid w:val="00805879"/>
    <w:rsid w:val="00806530"/>
    <w:rsid w:val="00812041"/>
    <w:rsid w:val="00813B8D"/>
    <w:rsid w:val="00814110"/>
    <w:rsid w:val="00815FE3"/>
    <w:rsid w:val="008201B4"/>
    <w:rsid w:val="0082214B"/>
    <w:rsid w:val="0082299E"/>
    <w:rsid w:val="00824BAB"/>
    <w:rsid w:val="00830E50"/>
    <w:rsid w:val="00834EEC"/>
    <w:rsid w:val="008360C4"/>
    <w:rsid w:val="008360E6"/>
    <w:rsid w:val="008376A7"/>
    <w:rsid w:val="00840E1A"/>
    <w:rsid w:val="008447AC"/>
    <w:rsid w:val="00844877"/>
    <w:rsid w:val="00844A06"/>
    <w:rsid w:val="0084610D"/>
    <w:rsid w:val="00846137"/>
    <w:rsid w:val="0084657F"/>
    <w:rsid w:val="008509AA"/>
    <w:rsid w:val="008516DC"/>
    <w:rsid w:val="008540EF"/>
    <w:rsid w:val="008542AC"/>
    <w:rsid w:val="00854684"/>
    <w:rsid w:val="00854FEF"/>
    <w:rsid w:val="0085774B"/>
    <w:rsid w:val="00861B3D"/>
    <w:rsid w:val="00861C71"/>
    <w:rsid w:val="00861F2B"/>
    <w:rsid w:val="0086208F"/>
    <w:rsid w:val="0086288B"/>
    <w:rsid w:val="00864243"/>
    <w:rsid w:val="008642EB"/>
    <w:rsid w:val="008669F4"/>
    <w:rsid w:val="00871B30"/>
    <w:rsid w:val="0087242F"/>
    <w:rsid w:val="00872A77"/>
    <w:rsid w:val="008739EA"/>
    <w:rsid w:val="008747AE"/>
    <w:rsid w:val="00874F0B"/>
    <w:rsid w:val="00877192"/>
    <w:rsid w:val="00877BA6"/>
    <w:rsid w:val="00877F6D"/>
    <w:rsid w:val="0088173A"/>
    <w:rsid w:val="00882630"/>
    <w:rsid w:val="00883F71"/>
    <w:rsid w:val="008868F1"/>
    <w:rsid w:val="008907F6"/>
    <w:rsid w:val="00892CE3"/>
    <w:rsid w:val="00895002"/>
    <w:rsid w:val="008978A5"/>
    <w:rsid w:val="00897D4F"/>
    <w:rsid w:val="008A0E61"/>
    <w:rsid w:val="008A3A0E"/>
    <w:rsid w:val="008A4D7B"/>
    <w:rsid w:val="008A6A91"/>
    <w:rsid w:val="008B0E30"/>
    <w:rsid w:val="008B3FE7"/>
    <w:rsid w:val="008B40AC"/>
    <w:rsid w:val="008B41FA"/>
    <w:rsid w:val="008B4FF2"/>
    <w:rsid w:val="008B623E"/>
    <w:rsid w:val="008C01CD"/>
    <w:rsid w:val="008C0A93"/>
    <w:rsid w:val="008C378C"/>
    <w:rsid w:val="008C4072"/>
    <w:rsid w:val="008C4407"/>
    <w:rsid w:val="008C5623"/>
    <w:rsid w:val="008C6E96"/>
    <w:rsid w:val="008D309B"/>
    <w:rsid w:val="008D3F7A"/>
    <w:rsid w:val="008D588C"/>
    <w:rsid w:val="008E010A"/>
    <w:rsid w:val="008E2B42"/>
    <w:rsid w:val="008E4D21"/>
    <w:rsid w:val="008E5B70"/>
    <w:rsid w:val="008E5F06"/>
    <w:rsid w:val="008E7434"/>
    <w:rsid w:val="008E7F23"/>
    <w:rsid w:val="008F04F3"/>
    <w:rsid w:val="008F0FFD"/>
    <w:rsid w:val="008F3513"/>
    <w:rsid w:val="008F3920"/>
    <w:rsid w:val="008F3C7F"/>
    <w:rsid w:val="008F5012"/>
    <w:rsid w:val="008F5688"/>
    <w:rsid w:val="008F673A"/>
    <w:rsid w:val="008F7090"/>
    <w:rsid w:val="008F778E"/>
    <w:rsid w:val="00902F8A"/>
    <w:rsid w:val="00903033"/>
    <w:rsid w:val="00903929"/>
    <w:rsid w:val="0090567E"/>
    <w:rsid w:val="009061F1"/>
    <w:rsid w:val="00913BCD"/>
    <w:rsid w:val="009162F4"/>
    <w:rsid w:val="009169D5"/>
    <w:rsid w:val="00916FF1"/>
    <w:rsid w:val="009208F3"/>
    <w:rsid w:val="0092256E"/>
    <w:rsid w:val="00922A84"/>
    <w:rsid w:val="00923E0B"/>
    <w:rsid w:val="00925688"/>
    <w:rsid w:val="009268B5"/>
    <w:rsid w:val="009313FD"/>
    <w:rsid w:val="009322C7"/>
    <w:rsid w:val="00932806"/>
    <w:rsid w:val="00934CC9"/>
    <w:rsid w:val="00935B7E"/>
    <w:rsid w:val="00935F27"/>
    <w:rsid w:val="00940F43"/>
    <w:rsid w:val="00941BF1"/>
    <w:rsid w:val="00942814"/>
    <w:rsid w:val="00942C7A"/>
    <w:rsid w:val="00944674"/>
    <w:rsid w:val="009448AC"/>
    <w:rsid w:val="009452DE"/>
    <w:rsid w:val="00945865"/>
    <w:rsid w:val="009526CF"/>
    <w:rsid w:val="00954A15"/>
    <w:rsid w:val="00954B5C"/>
    <w:rsid w:val="00954F08"/>
    <w:rsid w:val="00956403"/>
    <w:rsid w:val="009575C5"/>
    <w:rsid w:val="00957FD3"/>
    <w:rsid w:val="00960CEE"/>
    <w:rsid w:val="00961FDB"/>
    <w:rsid w:val="0096338D"/>
    <w:rsid w:val="00964C98"/>
    <w:rsid w:val="009655DE"/>
    <w:rsid w:val="009675F0"/>
    <w:rsid w:val="00967863"/>
    <w:rsid w:val="009709D5"/>
    <w:rsid w:val="00970D5A"/>
    <w:rsid w:val="00972DEF"/>
    <w:rsid w:val="009743CE"/>
    <w:rsid w:val="009757F6"/>
    <w:rsid w:val="00976200"/>
    <w:rsid w:val="00977BAD"/>
    <w:rsid w:val="009813B8"/>
    <w:rsid w:val="00982AD5"/>
    <w:rsid w:val="00983064"/>
    <w:rsid w:val="00984CE1"/>
    <w:rsid w:val="00984EB3"/>
    <w:rsid w:val="0099021A"/>
    <w:rsid w:val="009914F5"/>
    <w:rsid w:val="00992EEE"/>
    <w:rsid w:val="009947DC"/>
    <w:rsid w:val="00994A94"/>
    <w:rsid w:val="00995BFC"/>
    <w:rsid w:val="009A4630"/>
    <w:rsid w:val="009A4D02"/>
    <w:rsid w:val="009B2F81"/>
    <w:rsid w:val="009B46C9"/>
    <w:rsid w:val="009B551A"/>
    <w:rsid w:val="009B61AB"/>
    <w:rsid w:val="009B6F2E"/>
    <w:rsid w:val="009B70D2"/>
    <w:rsid w:val="009C1493"/>
    <w:rsid w:val="009C25EF"/>
    <w:rsid w:val="009C298E"/>
    <w:rsid w:val="009C2AE4"/>
    <w:rsid w:val="009C30F5"/>
    <w:rsid w:val="009C3B0C"/>
    <w:rsid w:val="009C4E87"/>
    <w:rsid w:val="009C5574"/>
    <w:rsid w:val="009C5691"/>
    <w:rsid w:val="009C683F"/>
    <w:rsid w:val="009D08DA"/>
    <w:rsid w:val="009D3D55"/>
    <w:rsid w:val="009D5E1A"/>
    <w:rsid w:val="009E0CE8"/>
    <w:rsid w:val="009E44A3"/>
    <w:rsid w:val="009E525A"/>
    <w:rsid w:val="009E7C19"/>
    <w:rsid w:val="009F0027"/>
    <w:rsid w:val="009F392A"/>
    <w:rsid w:val="00A14C6F"/>
    <w:rsid w:val="00A20BD7"/>
    <w:rsid w:val="00A22B5F"/>
    <w:rsid w:val="00A23F8F"/>
    <w:rsid w:val="00A24152"/>
    <w:rsid w:val="00A25571"/>
    <w:rsid w:val="00A33ADE"/>
    <w:rsid w:val="00A350AA"/>
    <w:rsid w:val="00A35139"/>
    <w:rsid w:val="00A373AE"/>
    <w:rsid w:val="00A451EF"/>
    <w:rsid w:val="00A45D8B"/>
    <w:rsid w:val="00A45E8B"/>
    <w:rsid w:val="00A469F9"/>
    <w:rsid w:val="00A475BF"/>
    <w:rsid w:val="00A51D57"/>
    <w:rsid w:val="00A52457"/>
    <w:rsid w:val="00A52C7B"/>
    <w:rsid w:val="00A52EC5"/>
    <w:rsid w:val="00A5351F"/>
    <w:rsid w:val="00A54184"/>
    <w:rsid w:val="00A55C32"/>
    <w:rsid w:val="00A56A6A"/>
    <w:rsid w:val="00A57B8C"/>
    <w:rsid w:val="00A61A8A"/>
    <w:rsid w:val="00A61E3D"/>
    <w:rsid w:val="00A63D49"/>
    <w:rsid w:val="00A64B6D"/>
    <w:rsid w:val="00A74F95"/>
    <w:rsid w:val="00A75014"/>
    <w:rsid w:val="00A83614"/>
    <w:rsid w:val="00A849B5"/>
    <w:rsid w:val="00A868D7"/>
    <w:rsid w:val="00A86A09"/>
    <w:rsid w:val="00A908C6"/>
    <w:rsid w:val="00A90FF8"/>
    <w:rsid w:val="00A97D26"/>
    <w:rsid w:val="00AA0FCA"/>
    <w:rsid w:val="00AA1844"/>
    <w:rsid w:val="00AA1EBB"/>
    <w:rsid w:val="00AA1EE2"/>
    <w:rsid w:val="00AA22AF"/>
    <w:rsid w:val="00AA2320"/>
    <w:rsid w:val="00AA24E3"/>
    <w:rsid w:val="00AA31C2"/>
    <w:rsid w:val="00AA3BBC"/>
    <w:rsid w:val="00AA57F1"/>
    <w:rsid w:val="00AA7284"/>
    <w:rsid w:val="00AA77B6"/>
    <w:rsid w:val="00AA7F8F"/>
    <w:rsid w:val="00AB0EB3"/>
    <w:rsid w:val="00AB36AF"/>
    <w:rsid w:val="00AB61F4"/>
    <w:rsid w:val="00AB63F3"/>
    <w:rsid w:val="00AC3F3D"/>
    <w:rsid w:val="00AC7EB6"/>
    <w:rsid w:val="00AD15F4"/>
    <w:rsid w:val="00AD2534"/>
    <w:rsid w:val="00AD2F6F"/>
    <w:rsid w:val="00AE15EB"/>
    <w:rsid w:val="00AF1405"/>
    <w:rsid w:val="00AF4358"/>
    <w:rsid w:val="00AF4AF9"/>
    <w:rsid w:val="00AF4F9F"/>
    <w:rsid w:val="00AF52E6"/>
    <w:rsid w:val="00AF63F9"/>
    <w:rsid w:val="00AF735C"/>
    <w:rsid w:val="00B0026E"/>
    <w:rsid w:val="00B02A72"/>
    <w:rsid w:val="00B04971"/>
    <w:rsid w:val="00B06983"/>
    <w:rsid w:val="00B10ACF"/>
    <w:rsid w:val="00B11CB1"/>
    <w:rsid w:val="00B12ACE"/>
    <w:rsid w:val="00B13236"/>
    <w:rsid w:val="00B16093"/>
    <w:rsid w:val="00B16322"/>
    <w:rsid w:val="00B164E6"/>
    <w:rsid w:val="00B17F24"/>
    <w:rsid w:val="00B23ED1"/>
    <w:rsid w:val="00B34780"/>
    <w:rsid w:val="00B34E23"/>
    <w:rsid w:val="00B36159"/>
    <w:rsid w:val="00B36361"/>
    <w:rsid w:val="00B36399"/>
    <w:rsid w:val="00B4068E"/>
    <w:rsid w:val="00B41712"/>
    <w:rsid w:val="00B43CEC"/>
    <w:rsid w:val="00B441E0"/>
    <w:rsid w:val="00B44EE7"/>
    <w:rsid w:val="00B45B80"/>
    <w:rsid w:val="00B45E75"/>
    <w:rsid w:val="00B45F8F"/>
    <w:rsid w:val="00B53708"/>
    <w:rsid w:val="00B54C96"/>
    <w:rsid w:val="00B56143"/>
    <w:rsid w:val="00B625F5"/>
    <w:rsid w:val="00B627C9"/>
    <w:rsid w:val="00B639AF"/>
    <w:rsid w:val="00B6476F"/>
    <w:rsid w:val="00B648D4"/>
    <w:rsid w:val="00B67B33"/>
    <w:rsid w:val="00B7054B"/>
    <w:rsid w:val="00B714B3"/>
    <w:rsid w:val="00B747ED"/>
    <w:rsid w:val="00B749A0"/>
    <w:rsid w:val="00B75269"/>
    <w:rsid w:val="00B755F6"/>
    <w:rsid w:val="00B7782F"/>
    <w:rsid w:val="00B81CB1"/>
    <w:rsid w:val="00B8317D"/>
    <w:rsid w:val="00B87FD8"/>
    <w:rsid w:val="00B90B63"/>
    <w:rsid w:val="00B93118"/>
    <w:rsid w:val="00B95EB6"/>
    <w:rsid w:val="00BA132E"/>
    <w:rsid w:val="00BA5C0C"/>
    <w:rsid w:val="00BA701A"/>
    <w:rsid w:val="00BA729B"/>
    <w:rsid w:val="00BA77FA"/>
    <w:rsid w:val="00BA79A1"/>
    <w:rsid w:val="00BA79C9"/>
    <w:rsid w:val="00BA7C16"/>
    <w:rsid w:val="00BB0D67"/>
    <w:rsid w:val="00BB1748"/>
    <w:rsid w:val="00BB1FDE"/>
    <w:rsid w:val="00BB2E2E"/>
    <w:rsid w:val="00BB34D4"/>
    <w:rsid w:val="00BB3D83"/>
    <w:rsid w:val="00BB64EA"/>
    <w:rsid w:val="00BC13F5"/>
    <w:rsid w:val="00BC5095"/>
    <w:rsid w:val="00BC7043"/>
    <w:rsid w:val="00BD2068"/>
    <w:rsid w:val="00BD3112"/>
    <w:rsid w:val="00BD4249"/>
    <w:rsid w:val="00BD429E"/>
    <w:rsid w:val="00BE0C55"/>
    <w:rsid w:val="00BE1FC8"/>
    <w:rsid w:val="00BE317B"/>
    <w:rsid w:val="00BE448E"/>
    <w:rsid w:val="00BE508B"/>
    <w:rsid w:val="00BE5E75"/>
    <w:rsid w:val="00BE71DE"/>
    <w:rsid w:val="00BE7CF4"/>
    <w:rsid w:val="00BF0000"/>
    <w:rsid w:val="00BF093F"/>
    <w:rsid w:val="00BF4E72"/>
    <w:rsid w:val="00BF6869"/>
    <w:rsid w:val="00BF6F02"/>
    <w:rsid w:val="00C01D0B"/>
    <w:rsid w:val="00C02788"/>
    <w:rsid w:val="00C04166"/>
    <w:rsid w:val="00C04EA1"/>
    <w:rsid w:val="00C054CF"/>
    <w:rsid w:val="00C05535"/>
    <w:rsid w:val="00C07E9A"/>
    <w:rsid w:val="00C12E96"/>
    <w:rsid w:val="00C145BA"/>
    <w:rsid w:val="00C20F22"/>
    <w:rsid w:val="00C21AA6"/>
    <w:rsid w:val="00C22C3C"/>
    <w:rsid w:val="00C2329E"/>
    <w:rsid w:val="00C24A23"/>
    <w:rsid w:val="00C26C64"/>
    <w:rsid w:val="00C27B14"/>
    <w:rsid w:val="00C27E0B"/>
    <w:rsid w:val="00C3086F"/>
    <w:rsid w:val="00C30F72"/>
    <w:rsid w:val="00C3141D"/>
    <w:rsid w:val="00C314F4"/>
    <w:rsid w:val="00C31DEB"/>
    <w:rsid w:val="00C32DC3"/>
    <w:rsid w:val="00C35C66"/>
    <w:rsid w:val="00C35CF1"/>
    <w:rsid w:val="00C40826"/>
    <w:rsid w:val="00C4599B"/>
    <w:rsid w:val="00C45E61"/>
    <w:rsid w:val="00C470BB"/>
    <w:rsid w:val="00C478AD"/>
    <w:rsid w:val="00C50A0D"/>
    <w:rsid w:val="00C56D70"/>
    <w:rsid w:val="00C57C12"/>
    <w:rsid w:val="00C61262"/>
    <w:rsid w:val="00C61413"/>
    <w:rsid w:val="00C65BF5"/>
    <w:rsid w:val="00C66265"/>
    <w:rsid w:val="00C6752A"/>
    <w:rsid w:val="00C679E7"/>
    <w:rsid w:val="00C70D0C"/>
    <w:rsid w:val="00C70E2D"/>
    <w:rsid w:val="00C71A78"/>
    <w:rsid w:val="00C72BA1"/>
    <w:rsid w:val="00C72BC1"/>
    <w:rsid w:val="00C75900"/>
    <w:rsid w:val="00C7683C"/>
    <w:rsid w:val="00C76E2B"/>
    <w:rsid w:val="00C808B4"/>
    <w:rsid w:val="00C82BF9"/>
    <w:rsid w:val="00C830D0"/>
    <w:rsid w:val="00C83358"/>
    <w:rsid w:val="00C8438F"/>
    <w:rsid w:val="00C84E35"/>
    <w:rsid w:val="00C92DA9"/>
    <w:rsid w:val="00C92EA3"/>
    <w:rsid w:val="00C9301B"/>
    <w:rsid w:val="00C95DDC"/>
    <w:rsid w:val="00C969B1"/>
    <w:rsid w:val="00CA2501"/>
    <w:rsid w:val="00CA36CC"/>
    <w:rsid w:val="00CA4347"/>
    <w:rsid w:val="00CA7746"/>
    <w:rsid w:val="00CB01A3"/>
    <w:rsid w:val="00CB039E"/>
    <w:rsid w:val="00CB0A66"/>
    <w:rsid w:val="00CB1A44"/>
    <w:rsid w:val="00CB22D0"/>
    <w:rsid w:val="00CB36D3"/>
    <w:rsid w:val="00CB46C2"/>
    <w:rsid w:val="00CB4DC4"/>
    <w:rsid w:val="00CB57E8"/>
    <w:rsid w:val="00CC0049"/>
    <w:rsid w:val="00CC0103"/>
    <w:rsid w:val="00CC0892"/>
    <w:rsid w:val="00CC0E17"/>
    <w:rsid w:val="00CC0E85"/>
    <w:rsid w:val="00CC2ECF"/>
    <w:rsid w:val="00CC2EE7"/>
    <w:rsid w:val="00CC32F7"/>
    <w:rsid w:val="00CC3D71"/>
    <w:rsid w:val="00CC51F2"/>
    <w:rsid w:val="00CC6C07"/>
    <w:rsid w:val="00CD0242"/>
    <w:rsid w:val="00CD0328"/>
    <w:rsid w:val="00CD1A59"/>
    <w:rsid w:val="00CD28CB"/>
    <w:rsid w:val="00CD58BB"/>
    <w:rsid w:val="00CE13DE"/>
    <w:rsid w:val="00CE2372"/>
    <w:rsid w:val="00CE2916"/>
    <w:rsid w:val="00CE3785"/>
    <w:rsid w:val="00CE7555"/>
    <w:rsid w:val="00CF1ABB"/>
    <w:rsid w:val="00CF1FB6"/>
    <w:rsid w:val="00CF668D"/>
    <w:rsid w:val="00CF6F9F"/>
    <w:rsid w:val="00CF7165"/>
    <w:rsid w:val="00CF72FE"/>
    <w:rsid w:val="00D0362D"/>
    <w:rsid w:val="00D052D5"/>
    <w:rsid w:val="00D06CB7"/>
    <w:rsid w:val="00D076EC"/>
    <w:rsid w:val="00D10A0E"/>
    <w:rsid w:val="00D1219C"/>
    <w:rsid w:val="00D14C2B"/>
    <w:rsid w:val="00D1547D"/>
    <w:rsid w:val="00D165CB"/>
    <w:rsid w:val="00D17210"/>
    <w:rsid w:val="00D175EA"/>
    <w:rsid w:val="00D214B1"/>
    <w:rsid w:val="00D229BF"/>
    <w:rsid w:val="00D22BCB"/>
    <w:rsid w:val="00D24BA1"/>
    <w:rsid w:val="00D259BC"/>
    <w:rsid w:val="00D309EB"/>
    <w:rsid w:val="00D31355"/>
    <w:rsid w:val="00D31555"/>
    <w:rsid w:val="00D3286B"/>
    <w:rsid w:val="00D329E0"/>
    <w:rsid w:val="00D33385"/>
    <w:rsid w:val="00D35F97"/>
    <w:rsid w:val="00D3652E"/>
    <w:rsid w:val="00D37409"/>
    <w:rsid w:val="00D37DF9"/>
    <w:rsid w:val="00D37FCD"/>
    <w:rsid w:val="00D40AAD"/>
    <w:rsid w:val="00D416AB"/>
    <w:rsid w:val="00D41B2C"/>
    <w:rsid w:val="00D42A3F"/>
    <w:rsid w:val="00D444BB"/>
    <w:rsid w:val="00D44D5D"/>
    <w:rsid w:val="00D50340"/>
    <w:rsid w:val="00D50D2C"/>
    <w:rsid w:val="00D521CF"/>
    <w:rsid w:val="00D527F0"/>
    <w:rsid w:val="00D5369F"/>
    <w:rsid w:val="00D53947"/>
    <w:rsid w:val="00D57A0A"/>
    <w:rsid w:val="00D62DDE"/>
    <w:rsid w:val="00D65BA4"/>
    <w:rsid w:val="00D67499"/>
    <w:rsid w:val="00D71837"/>
    <w:rsid w:val="00D7191D"/>
    <w:rsid w:val="00D71B14"/>
    <w:rsid w:val="00D72005"/>
    <w:rsid w:val="00D7371A"/>
    <w:rsid w:val="00D75586"/>
    <w:rsid w:val="00D75CFC"/>
    <w:rsid w:val="00D83275"/>
    <w:rsid w:val="00D8355A"/>
    <w:rsid w:val="00D840ED"/>
    <w:rsid w:val="00D84244"/>
    <w:rsid w:val="00D87E44"/>
    <w:rsid w:val="00D92107"/>
    <w:rsid w:val="00D93204"/>
    <w:rsid w:val="00D94EE7"/>
    <w:rsid w:val="00D966C8"/>
    <w:rsid w:val="00D97741"/>
    <w:rsid w:val="00DA04D3"/>
    <w:rsid w:val="00DA1ED7"/>
    <w:rsid w:val="00DA7718"/>
    <w:rsid w:val="00DB0F10"/>
    <w:rsid w:val="00DB2752"/>
    <w:rsid w:val="00DB3293"/>
    <w:rsid w:val="00DB3D94"/>
    <w:rsid w:val="00DB5B0B"/>
    <w:rsid w:val="00DB5F43"/>
    <w:rsid w:val="00DB6DD7"/>
    <w:rsid w:val="00DC0799"/>
    <w:rsid w:val="00DC0D52"/>
    <w:rsid w:val="00DC2DE9"/>
    <w:rsid w:val="00DC2E91"/>
    <w:rsid w:val="00DC3D33"/>
    <w:rsid w:val="00DC495F"/>
    <w:rsid w:val="00DC62DA"/>
    <w:rsid w:val="00DC66ED"/>
    <w:rsid w:val="00DC6DAC"/>
    <w:rsid w:val="00DC75A4"/>
    <w:rsid w:val="00DD0C73"/>
    <w:rsid w:val="00DD0E2C"/>
    <w:rsid w:val="00DD27BE"/>
    <w:rsid w:val="00DD3730"/>
    <w:rsid w:val="00DD3B29"/>
    <w:rsid w:val="00DD3CC8"/>
    <w:rsid w:val="00DD4872"/>
    <w:rsid w:val="00DD4CEA"/>
    <w:rsid w:val="00DD4D21"/>
    <w:rsid w:val="00DD4FD3"/>
    <w:rsid w:val="00DD6206"/>
    <w:rsid w:val="00DD6C8B"/>
    <w:rsid w:val="00DE0002"/>
    <w:rsid w:val="00DE0E11"/>
    <w:rsid w:val="00DE25B5"/>
    <w:rsid w:val="00DE2E3F"/>
    <w:rsid w:val="00DE343E"/>
    <w:rsid w:val="00DE5799"/>
    <w:rsid w:val="00DE7687"/>
    <w:rsid w:val="00DE7E07"/>
    <w:rsid w:val="00DF0348"/>
    <w:rsid w:val="00DF1C6A"/>
    <w:rsid w:val="00DF36A9"/>
    <w:rsid w:val="00DF516B"/>
    <w:rsid w:val="00E021A7"/>
    <w:rsid w:val="00E02E62"/>
    <w:rsid w:val="00E033C1"/>
    <w:rsid w:val="00E03B27"/>
    <w:rsid w:val="00E047FD"/>
    <w:rsid w:val="00E073CB"/>
    <w:rsid w:val="00E10105"/>
    <w:rsid w:val="00E10EB5"/>
    <w:rsid w:val="00E122D8"/>
    <w:rsid w:val="00E1335C"/>
    <w:rsid w:val="00E139E7"/>
    <w:rsid w:val="00E142EE"/>
    <w:rsid w:val="00E1442C"/>
    <w:rsid w:val="00E16B76"/>
    <w:rsid w:val="00E2211D"/>
    <w:rsid w:val="00E23CF2"/>
    <w:rsid w:val="00E23F95"/>
    <w:rsid w:val="00E25F05"/>
    <w:rsid w:val="00E262D4"/>
    <w:rsid w:val="00E26A2D"/>
    <w:rsid w:val="00E27594"/>
    <w:rsid w:val="00E27C2F"/>
    <w:rsid w:val="00E27E32"/>
    <w:rsid w:val="00E30AFA"/>
    <w:rsid w:val="00E31146"/>
    <w:rsid w:val="00E324F8"/>
    <w:rsid w:val="00E33230"/>
    <w:rsid w:val="00E337C5"/>
    <w:rsid w:val="00E34F2D"/>
    <w:rsid w:val="00E36A3B"/>
    <w:rsid w:val="00E36EF4"/>
    <w:rsid w:val="00E41CF1"/>
    <w:rsid w:val="00E42FAC"/>
    <w:rsid w:val="00E436C6"/>
    <w:rsid w:val="00E51D03"/>
    <w:rsid w:val="00E53663"/>
    <w:rsid w:val="00E53999"/>
    <w:rsid w:val="00E555DF"/>
    <w:rsid w:val="00E55D93"/>
    <w:rsid w:val="00E5612B"/>
    <w:rsid w:val="00E57CF1"/>
    <w:rsid w:val="00E62494"/>
    <w:rsid w:val="00E63E60"/>
    <w:rsid w:val="00E651D9"/>
    <w:rsid w:val="00E65AEF"/>
    <w:rsid w:val="00E65BD0"/>
    <w:rsid w:val="00E721A8"/>
    <w:rsid w:val="00E72630"/>
    <w:rsid w:val="00E751BC"/>
    <w:rsid w:val="00E75326"/>
    <w:rsid w:val="00E75916"/>
    <w:rsid w:val="00E75AF1"/>
    <w:rsid w:val="00E77AF0"/>
    <w:rsid w:val="00E835CD"/>
    <w:rsid w:val="00E83706"/>
    <w:rsid w:val="00E86538"/>
    <w:rsid w:val="00E8686E"/>
    <w:rsid w:val="00E87D38"/>
    <w:rsid w:val="00E92FCA"/>
    <w:rsid w:val="00E93445"/>
    <w:rsid w:val="00E94953"/>
    <w:rsid w:val="00E94E5E"/>
    <w:rsid w:val="00E967B9"/>
    <w:rsid w:val="00E9698E"/>
    <w:rsid w:val="00E97231"/>
    <w:rsid w:val="00EA1333"/>
    <w:rsid w:val="00EA1DAE"/>
    <w:rsid w:val="00EA23B1"/>
    <w:rsid w:val="00EA26D9"/>
    <w:rsid w:val="00EA3E6D"/>
    <w:rsid w:val="00EA3EFB"/>
    <w:rsid w:val="00EA40B4"/>
    <w:rsid w:val="00EA540F"/>
    <w:rsid w:val="00EA5A23"/>
    <w:rsid w:val="00EA6099"/>
    <w:rsid w:val="00EA7157"/>
    <w:rsid w:val="00EB1157"/>
    <w:rsid w:val="00EB3D08"/>
    <w:rsid w:val="00EB438C"/>
    <w:rsid w:val="00EB4763"/>
    <w:rsid w:val="00EB6E46"/>
    <w:rsid w:val="00EC02EE"/>
    <w:rsid w:val="00EC19BA"/>
    <w:rsid w:val="00EC5B2C"/>
    <w:rsid w:val="00ED1C75"/>
    <w:rsid w:val="00ED298A"/>
    <w:rsid w:val="00ED31EA"/>
    <w:rsid w:val="00ED7E26"/>
    <w:rsid w:val="00EE0D02"/>
    <w:rsid w:val="00EE1203"/>
    <w:rsid w:val="00EE1778"/>
    <w:rsid w:val="00EE2A47"/>
    <w:rsid w:val="00EE3A84"/>
    <w:rsid w:val="00EE4C0B"/>
    <w:rsid w:val="00EE5EB4"/>
    <w:rsid w:val="00EE75D1"/>
    <w:rsid w:val="00EE7D99"/>
    <w:rsid w:val="00EF05CD"/>
    <w:rsid w:val="00EF1B2C"/>
    <w:rsid w:val="00EF236F"/>
    <w:rsid w:val="00EF243C"/>
    <w:rsid w:val="00EF4023"/>
    <w:rsid w:val="00EF7A9B"/>
    <w:rsid w:val="00F01803"/>
    <w:rsid w:val="00F01C9E"/>
    <w:rsid w:val="00F0411C"/>
    <w:rsid w:val="00F043C7"/>
    <w:rsid w:val="00F04913"/>
    <w:rsid w:val="00F04D38"/>
    <w:rsid w:val="00F050C5"/>
    <w:rsid w:val="00F05205"/>
    <w:rsid w:val="00F064FB"/>
    <w:rsid w:val="00F07946"/>
    <w:rsid w:val="00F10089"/>
    <w:rsid w:val="00F13EF4"/>
    <w:rsid w:val="00F175FC"/>
    <w:rsid w:val="00F177B4"/>
    <w:rsid w:val="00F17F89"/>
    <w:rsid w:val="00F204EE"/>
    <w:rsid w:val="00F2452B"/>
    <w:rsid w:val="00F25C72"/>
    <w:rsid w:val="00F25D5E"/>
    <w:rsid w:val="00F263B8"/>
    <w:rsid w:val="00F26898"/>
    <w:rsid w:val="00F27FD0"/>
    <w:rsid w:val="00F32E47"/>
    <w:rsid w:val="00F33550"/>
    <w:rsid w:val="00F336D0"/>
    <w:rsid w:val="00F35036"/>
    <w:rsid w:val="00F35464"/>
    <w:rsid w:val="00F378BF"/>
    <w:rsid w:val="00F37EA8"/>
    <w:rsid w:val="00F37F29"/>
    <w:rsid w:val="00F41E68"/>
    <w:rsid w:val="00F440EC"/>
    <w:rsid w:val="00F44DAC"/>
    <w:rsid w:val="00F44DE6"/>
    <w:rsid w:val="00F44F11"/>
    <w:rsid w:val="00F45441"/>
    <w:rsid w:val="00F46621"/>
    <w:rsid w:val="00F473B1"/>
    <w:rsid w:val="00F510CB"/>
    <w:rsid w:val="00F51405"/>
    <w:rsid w:val="00F516BE"/>
    <w:rsid w:val="00F526E7"/>
    <w:rsid w:val="00F5293F"/>
    <w:rsid w:val="00F52970"/>
    <w:rsid w:val="00F52D9F"/>
    <w:rsid w:val="00F52F68"/>
    <w:rsid w:val="00F5496F"/>
    <w:rsid w:val="00F55600"/>
    <w:rsid w:val="00F55AF0"/>
    <w:rsid w:val="00F5624B"/>
    <w:rsid w:val="00F56A98"/>
    <w:rsid w:val="00F57529"/>
    <w:rsid w:val="00F60DD1"/>
    <w:rsid w:val="00F61654"/>
    <w:rsid w:val="00F6355A"/>
    <w:rsid w:val="00F63A5E"/>
    <w:rsid w:val="00F64AFC"/>
    <w:rsid w:val="00F67A82"/>
    <w:rsid w:val="00F71247"/>
    <w:rsid w:val="00F71568"/>
    <w:rsid w:val="00F715B2"/>
    <w:rsid w:val="00F718D4"/>
    <w:rsid w:val="00F72661"/>
    <w:rsid w:val="00F7373E"/>
    <w:rsid w:val="00F738C7"/>
    <w:rsid w:val="00F743D7"/>
    <w:rsid w:val="00F7564B"/>
    <w:rsid w:val="00F77C80"/>
    <w:rsid w:val="00F843D0"/>
    <w:rsid w:val="00F8466E"/>
    <w:rsid w:val="00F85E18"/>
    <w:rsid w:val="00F86296"/>
    <w:rsid w:val="00F90DD0"/>
    <w:rsid w:val="00F90FDD"/>
    <w:rsid w:val="00F919C5"/>
    <w:rsid w:val="00F91FCD"/>
    <w:rsid w:val="00F925A8"/>
    <w:rsid w:val="00F92DAE"/>
    <w:rsid w:val="00F94B68"/>
    <w:rsid w:val="00F95098"/>
    <w:rsid w:val="00F952C5"/>
    <w:rsid w:val="00F97003"/>
    <w:rsid w:val="00F97B9E"/>
    <w:rsid w:val="00F97DD9"/>
    <w:rsid w:val="00FA1322"/>
    <w:rsid w:val="00FA1CA9"/>
    <w:rsid w:val="00FA2B36"/>
    <w:rsid w:val="00FA30B1"/>
    <w:rsid w:val="00FA34BF"/>
    <w:rsid w:val="00FA5416"/>
    <w:rsid w:val="00FA5550"/>
    <w:rsid w:val="00FA5A34"/>
    <w:rsid w:val="00FB029A"/>
    <w:rsid w:val="00FB251C"/>
    <w:rsid w:val="00FB25CF"/>
    <w:rsid w:val="00FB351A"/>
    <w:rsid w:val="00FB4F75"/>
    <w:rsid w:val="00FB5D9F"/>
    <w:rsid w:val="00FB6E97"/>
    <w:rsid w:val="00FB7665"/>
    <w:rsid w:val="00FB7EBC"/>
    <w:rsid w:val="00FC2F76"/>
    <w:rsid w:val="00FC3602"/>
    <w:rsid w:val="00FC615A"/>
    <w:rsid w:val="00FC682B"/>
    <w:rsid w:val="00FC7BBB"/>
    <w:rsid w:val="00FC7C64"/>
    <w:rsid w:val="00FD0220"/>
    <w:rsid w:val="00FD13AA"/>
    <w:rsid w:val="00FD71A1"/>
    <w:rsid w:val="00FE1029"/>
    <w:rsid w:val="00FE36B0"/>
    <w:rsid w:val="00FE454D"/>
    <w:rsid w:val="00FE7733"/>
    <w:rsid w:val="00FF2491"/>
    <w:rsid w:val="00FF4992"/>
    <w:rsid w:val="00FF4A88"/>
    <w:rsid w:val="00FF4EEA"/>
    <w:rsid w:val="00FF5E5E"/>
    <w:rsid w:val="00FF6260"/>
    <w:rsid w:val="00FF66A3"/>
    <w:rsid w:val="00FF6E7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803AA"/>
  <w14:defaultImageDpi w14:val="96"/>
  <w15:docId w15:val="{6A5CC32D-97DB-437C-A0A4-476B166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EB"/>
    <w:pPr>
      <w:spacing w:after="0" w:line="240" w:lineRule="auto"/>
    </w:pPr>
    <w:rPr>
      <w:sz w:val="16"/>
      <w:szCs w:val="1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0"/>
      <w:szCs w:val="20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rsid w:val="00E073C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7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F6D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77F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F6D"/>
    <w:rPr>
      <w:sz w:val="16"/>
      <w:szCs w:val="16"/>
    </w:rPr>
  </w:style>
  <w:style w:type="paragraph" w:styleId="Web">
    <w:name w:val="Normal (Web)"/>
    <w:basedOn w:val="a"/>
    <w:uiPriority w:val="99"/>
    <w:unhideWhenUsed/>
    <w:rsid w:val="004A410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A23F8F"/>
    <w:pPr>
      <w:ind w:leftChars="400" w:left="840"/>
    </w:pPr>
  </w:style>
  <w:style w:type="table" w:styleId="ab">
    <w:name w:val="Table Grid"/>
    <w:basedOn w:val="a1"/>
    <w:uiPriority w:val="39"/>
    <w:rsid w:val="0048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41506A"/>
  </w:style>
  <w:style w:type="paragraph" w:customStyle="1" w:styleId="ad">
    <w:name w:val="所属"/>
    <w:basedOn w:val="a"/>
    <w:rsid w:val="00222A8B"/>
    <w:pPr>
      <w:widowControl w:val="0"/>
      <w:snapToGrid w:val="0"/>
      <w:spacing w:line="300" w:lineRule="auto"/>
      <w:ind w:left="1814"/>
      <w:jc w:val="both"/>
    </w:pPr>
    <w:rPr>
      <w:kern w:val="2"/>
      <w:sz w:val="18"/>
      <w:szCs w:val="24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177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77F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4004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4004C"/>
  </w:style>
  <w:style w:type="character" w:customStyle="1" w:styleId="af2">
    <w:name w:val="コメント文字列 (文字)"/>
    <w:basedOn w:val="a0"/>
    <w:link w:val="af1"/>
    <w:uiPriority w:val="99"/>
    <w:semiHidden/>
    <w:rsid w:val="0044004C"/>
    <w:rPr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004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4004C"/>
    <w:rPr>
      <w:b/>
      <w:bCs/>
      <w:sz w:val="16"/>
      <w:szCs w:val="16"/>
    </w:rPr>
  </w:style>
  <w:style w:type="paragraph" w:styleId="af5">
    <w:name w:val="Revision"/>
    <w:hidden/>
    <w:uiPriority w:val="99"/>
    <w:semiHidden/>
    <w:rsid w:val="005962E1"/>
    <w:pPr>
      <w:spacing w:after="0" w:line="240" w:lineRule="auto"/>
    </w:pPr>
    <w:rPr>
      <w:sz w:val="16"/>
      <w:szCs w:val="16"/>
    </w:rPr>
  </w:style>
  <w:style w:type="paragraph" w:styleId="af6">
    <w:name w:val="No Spacing"/>
    <w:uiPriority w:val="1"/>
    <w:qFormat/>
    <w:rsid w:val="00D75586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paragraph" w:customStyle="1" w:styleId="EndNoteBibliographyTitle">
    <w:name w:val="EndNote Bibliography Title"/>
    <w:basedOn w:val="a"/>
    <w:link w:val="EndNoteBibliographyTitle0"/>
    <w:rsid w:val="008B41FA"/>
    <w:pPr>
      <w:jc w:val="center"/>
    </w:pPr>
    <w:rPr>
      <w:noProof/>
      <w:lang w:val="en-US"/>
    </w:rPr>
  </w:style>
  <w:style w:type="character" w:customStyle="1" w:styleId="EndNoteBibliographyTitle0">
    <w:name w:val="EndNote Bibliography Title (文字)"/>
    <w:basedOn w:val="a0"/>
    <w:link w:val="EndNoteBibliographyTitle"/>
    <w:rsid w:val="008B41FA"/>
    <w:rPr>
      <w:noProof/>
      <w:sz w:val="16"/>
      <w:szCs w:val="16"/>
    </w:rPr>
  </w:style>
  <w:style w:type="paragraph" w:customStyle="1" w:styleId="EndNoteBibliography">
    <w:name w:val="EndNote Bibliography"/>
    <w:basedOn w:val="a"/>
    <w:link w:val="EndNoteBibliography0"/>
    <w:rsid w:val="008B41FA"/>
    <w:pPr>
      <w:jc w:val="both"/>
    </w:pPr>
    <w:rPr>
      <w:noProof/>
      <w:lang w:val="en-US"/>
    </w:rPr>
  </w:style>
  <w:style w:type="character" w:customStyle="1" w:styleId="EndNoteBibliography0">
    <w:name w:val="EndNote Bibliography (文字)"/>
    <w:basedOn w:val="a0"/>
    <w:link w:val="EndNoteBibliography"/>
    <w:rsid w:val="008B41FA"/>
    <w:rPr>
      <w:noProof/>
      <w:sz w:val="16"/>
      <w:szCs w:val="16"/>
    </w:rPr>
  </w:style>
  <w:style w:type="character" w:styleId="af7">
    <w:name w:val="page number"/>
    <w:basedOn w:val="a0"/>
    <w:uiPriority w:val="99"/>
    <w:semiHidden/>
    <w:unhideWhenUsed/>
    <w:rsid w:val="0060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93106C9-8C63-4CF2-AACC-55C58BE9DB03}">
  <we:reference id="wa200001361" version="2.2.1.0" store="ja-JP" storeType="omex"/>
  <we:alternateReferences>
    <we:reference id="WA200001361" version="2.2.1.0" store="WA200001361" storeType="omex"/>
  </we:alternateReferences>
  <we:properties>
    <we:property name="paperpal-document-id" value="&quot;fba1b86e-8cda-4f4b-a531-6255bc8bcedf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CF85534-C886-41D6-913D-38B98728DE61}">
  <we:reference id="wa200005826" version="1.1.1.0" store="ja-JP" storeType="omex"/>
  <we:alternateReferences>
    <we:reference id="wa200005826" version="1.1.1.0" store="wa200005826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7C352F81-6364-4B9C-B52F-9D036CAB2EE5}">
  <we:reference id="wa200005502" version="1.0.0.11" store="ja-JP" storeType="omex"/>
  <we:alternateReferences>
    <we:reference id="wa200005502" version="1.0.0.11" store="wa200005502" storeType="omex"/>
  </we:alternateReferences>
  <we:properties>
    <we:property name="docId" value="&quot;6_BLQDph6tsNrZH6WcIIq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E938-F685-4AC5-B06D-6562C789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1143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PLACE TITLE HERE USING ALL UPPER CASE</vt:lpstr>
      <vt:lpstr>PLACE TITLE HERE USING ALL UPPER CASE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TITLE HERE USING ALL UPPER CASE</dc:title>
  <dc:creator>Ryuichi Sato</dc:creator>
  <cp:keywords>, docId:6FBE02E1C69C287248FC238BB7BAFC37</cp:keywords>
  <cp:lastModifiedBy>Ryuichi Sato</cp:lastModifiedBy>
  <cp:revision>29</cp:revision>
  <dcterms:created xsi:type="dcterms:W3CDTF">2024-05-29T23:19:00Z</dcterms:created>
  <dcterms:modified xsi:type="dcterms:W3CDTF">2024-06-01T01:01:00Z</dcterms:modified>
</cp:coreProperties>
</file>