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5971" w:rsidRDefault="00D95971" w:rsidP="004F0DC1">
      <w:pPr>
        <w:pStyle w:val="JULIASTYLEHEADING2"/>
      </w:pPr>
    </w:p>
    <w:p w:rsidR="00496A43" w:rsidRDefault="00496A43" w:rsidP="009A4BA7">
      <w:pPr>
        <w:pStyle w:val="Heading2"/>
      </w:pPr>
    </w:p>
    <w:p w:rsidR="00C20472" w:rsidRPr="003B2724" w:rsidRDefault="00BA2D50" w:rsidP="0011709F">
      <w:pPr>
        <w:pStyle w:val="Title"/>
      </w:pPr>
      <w:r>
        <w:t>Supplemental Appendix</w:t>
      </w:r>
    </w:p>
    <w:p w:rsidR="003B2724" w:rsidRDefault="003B2724" w:rsidP="003B2724">
      <w:pPr>
        <w:pStyle w:val="Title"/>
        <w:rPr>
          <w:sz w:val="36"/>
        </w:rPr>
      </w:pPr>
    </w:p>
    <w:p w:rsidR="00E352AE" w:rsidRPr="00F33346" w:rsidRDefault="00E352AE" w:rsidP="00E352AE"/>
    <w:p w:rsidR="00FD49C4" w:rsidRDefault="00FD49C4">
      <w:r>
        <w:br w:type="page"/>
      </w:r>
      <w:bookmarkStart w:id="0" w:name="_GoBack"/>
      <w:bookmarkEnd w:id="0"/>
    </w:p>
    <w:p w:rsidR="0093478C" w:rsidRDefault="0093478C" w:rsidP="00FB3CB4"/>
    <w:p w:rsidR="00587F43" w:rsidRDefault="000C5907" w:rsidP="00587F43">
      <w:pPr>
        <w:pStyle w:val="Heading2"/>
      </w:pPr>
      <w:r>
        <w:t>Cohorts</w:t>
      </w:r>
      <w:r>
        <w:t xml:space="preserve"> definition</w:t>
      </w:r>
    </w:p>
    <w:p w:rsidR="00587F43" w:rsidRDefault="000C5907" w:rsidP="00587F43">
      <w:r>
        <w:t xml:space="preserve">This section lists all terms used in </w:t>
      </w:r>
      <w:r>
        <w:t xml:space="preserve">the </w:t>
      </w:r>
      <w:r>
        <w:t>definition</w:t>
      </w:r>
      <w:r>
        <w:t>s of the two cohorts</w:t>
      </w:r>
      <w:r>
        <w:t xml:space="preserve">.  </w:t>
      </w:r>
    </w:p>
    <w:p w:rsidR="006E3BFB" w:rsidRDefault="000C5907" w:rsidP="00CB60F6">
      <w:pPr>
        <w:pStyle w:val="Heading3"/>
      </w:pPr>
    </w:p>
    <w:p w:rsidR="00CB60F6" w:rsidRPr="0060696E" w:rsidRDefault="000C5907" w:rsidP="00CB60F6">
      <w:pPr>
        <w:pStyle w:val="Heading3"/>
      </w:pPr>
      <w:r>
        <w:t>Q</w:t>
      </w:r>
      <w:r>
        <w:t xml:space="preserve">uery Criteria for </w:t>
      </w:r>
      <w:r>
        <w:t xml:space="preserve">Cohort 1 (query name: </w:t>
      </w:r>
      <w:r>
        <w:t>On SGLT2i</w:t>
      </w:r>
      <w:r>
        <w:t>)</w:t>
      </w:r>
    </w:p>
    <w:p w:rsidR="00CB60F6" w:rsidRPr="00AE6247" w:rsidRDefault="000C5907" w:rsidP="00CB60F6">
      <w:r w:rsidRPr="00AE6247">
        <w:t>This query was run on</w:t>
      </w:r>
      <w:r>
        <w:t xml:space="preserve"> the network</w:t>
      </w:r>
      <w:r>
        <w:t xml:space="preserve"> </w:t>
      </w:r>
      <w:r>
        <w:t>Research with 77 HCO</w:t>
      </w:r>
      <w:r>
        <w:t>(</w:t>
      </w:r>
      <w:r w:rsidRPr="00AE6247">
        <w:t>s</w:t>
      </w:r>
      <w:r>
        <w:t>)</w:t>
      </w:r>
      <w:r>
        <w:t xml:space="preserve"> queried and 76 HCO</w:t>
      </w:r>
      <w:r>
        <w:t>(</w:t>
      </w:r>
      <w:r w:rsidRPr="00AE6247">
        <w:t>s</w:t>
      </w:r>
      <w:r>
        <w:t>)</w:t>
      </w:r>
      <w:r w:rsidRPr="00AE6247">
        <w:t xml:space="preserve"> responded.  </w:t>
      </w:r>
      <w:r w:rsidRPr="00AE6247">
        <w:t>A t</w:t>
      </w:r>
      <w:r>
        <w:t>otal of 55 provider</w:t>
      </w:r>
      <w:r>
        <w:t>(</w:t>
      </w:r>
      <w:r w:rsidRPr="00AE6247">
        <w:t>s</w:t>
      </w:r>
      <w:r>
        <w:t>)</w:t>
      </w:r>
      <w:r w:rsidRPr="00AE6247">
        <w:t xml:space="preserve"> responded with patients. The final cohort include</w:t>
      </w:r>
      <w:r>
        <w:t>d</w:t>
      </w:r>
      <w:r w:rsidRPr="00AE6247">
        <w:t xml:space="preserve"> </w:t>
      </w:r>
      <w:r>
        <w:t xml:space="preserve"> </w:t>
      </w:r>
      <w:r>
        <w:t>2,542</w:t>
      </w:r>
      <w:r>
        <w:t xml:space="preserve"> patients who matched the query criteria listed in the table below. </w:t>
      </w:r>
      <w:r>
        <w:t>For the text representation of the query criteria please see Appendix A.</w:t>
      </w:r>
    </w:p>
    <w:p w:rsidR="00CB60F6" w:rsidRDefault="000C5907" w:rsidP="00CB60F6"/>
    <w:tbl>
      <w:tblPr>
        <w:tblStyle w:val="ListTable2-Accent4"/>
        <w:tblpPr w:leftFromText="180" w:rightFromText="180" w:vertAnchor="text" w:tblpY="1"/>
        <w:tblOverlap w:val="never"/>
        <w:tblW w:w="9360" w:type="dxa"/>
        <w:tblBorders>
          <w:top w:val="none" w:sz="0" w:space="0" w:color="auto"/>
          <w:bottom w:val="none" w:sz="0" w:space="0" w:color="auto"/>
          <w:insideH w:val="none" w:sz="0" w:space="0" w:color="auto"/>
        </w:tblBorders>
        <w:tblLayout w:type="fixed"/>
        <w:tblLook w:val="06A0" w:firstRow="1" w:lastRow="0" w:firstColumn="1" w:lastColumn="0" w:noHBand="1" w:noVBand="1"/>
      </w:tblPr>
      <w:tblGrid>
        <w:gridCol w:w="445"/>
        <w:gridCol w:w="1170"/>
        <w:gridCol w:w="990"/>
        <w:gridCol w:w="1368"/>
        <w:gridCol w:w="2218"/>
        <w:gridCol w:w="3169"/>
      </w:tblGrid>
      <w:tr w:rsidR="00CB60F6" w:rsidRPr="001673AB" w:rsidTr="005122C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gridSpan w:val="6"/>
            <w:shd w:val="clear" w:color="auto" w:fill="auto"/>
          </w:tcPr>
          <w:p w:rsidR="00CB60F6" w:rsidRDefault="000C5907" w:rsidP="005122CB">
            <w:pPr>
              <w:rPr>
                <w:sz w:val="18"/>
                <w:szCs w:val="20"/>
              </w:rPr>
            </w:pPr>
          </w:p>
        </w:tc>
      </w:tr>
      <w:tr w:rsidR="00CB60F6" w:rsidRPr="001673AB" w:rsidTr="005A223B">
        <w:tc>
          <w:tcPr>
            <w:cnfStyle w:val="001000000000" w:firstRow="0" w:lastRow="0" w:firstColumn="1" w:lastColumn="0" w:oddVBand="0" w:evenVBand="0" w:oddHBand="0" w:evenHBand="0" w:firstRowFirstColumn="0" w:firstRowLastColumn="0" w:lastRowFirstColumn="0" w:lastRowLastColumn="0"/>
            <w:tcW w:w="9360" w:type="dxa"/>
            <w:gridSpan w:val="6"/>
            <w:tcBorders>
              <w:top w:val="single" w:sz="4" w:space="0" w:color="808080" w:themeColor="background1" w:themeShade="80"/>
              <w:bottom w:val="single" w:sz="4" w:space="0" w:color="808080" w:themeColor="background1" w:themeShade="80"/>
            </w:tcBorders>
            <w:shd w:val="clear" w:color="auto" w:fill="BFBFBF" w:themeFill="background1" w:themeFillShade="BF"/>
          </w:tcPr>
          <w:p w:rsidR="00CB60F6" w:rsidRDefault="000C5907" w:rsidP="005122CB">
            <w:pPr>
              <w:rPr>
                <w:sz w:val="18"/>
                <w:szCs w:val="20"/>
              </w:rPr>
            </w:pPr>
            <w:r>
              <w:rPr>
                <w:sz w:val="18"/>
                <w:szCs w:val="20"/>
              </w:rPr>
              <w:t>Ungrouped terms</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sidRPr="000420CA">
              <w:rPr>
                <w:bCs/>
                <w:sz w:val="18"/>
                <w:szCs w:val="20"/>
              </w:rPr>
              <w:t>must have</w:t>
            </w: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demographics</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Age</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Age (at least 18 years (most recent occurrence))</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and</w:t>
            </w: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diagnosis</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UMLS:ICD10CM:E11</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Type 2 diabetes mellitus</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and any of</w:t>
            </w: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NLM:RXNORM:1373458</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canagliflozin</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NLM:RXNORM:1545653</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empagliflozin</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NLM:RXNORM:1488564</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dapagliflozin</w:t>
            </w:r>
          </w:p>
        </w:tc>
      </w:tr>
      <w:tr w:rsidR="00CB60F6" w:rsidRPr="001673AB" w:rsidTr="005A223B">
        <w:tc>
          <w:tcPr>
            <w:cnfStyle w:val="001000000000" w:firstRow="0" w:lastRow="0" w:firstColumn="1" w:lastColumn="0" w:oddVBand="0" w:evenVBand="0" w:oddHBand="0" w:evenHBand="0" w:firstRowFirstColumn="0" w:firstRowLastColumn="0" w:lastRowFirstColumn="0" w:lastRowLastColumn="0"/>
            <w:tcW w:w="9360" w:type="dxa"/>
            <w:gridSpan w:val="6"/>
            <w:tcBorders>
              <w:top w:val="single" w:sz="4" w:space="0" w:color="808080" w:themeColor="background1" w:themeShade="80"/>
            </w:tcBorders>
            <w:shd w:val="clear" w:color="auto" w:fill="D9D9D9" w:themeFill="background1" w:themeFillShade="D9"/>
          </w:tcPr>
          <w:p w:rsidR="00CB60F6" w:rsidRDefault="000C5907" w:rsidP="005122CB">
            <w:pPr>
              <w:rPr>
                <w:sz w:val="18"/>
                <w:szCs w:val="20"/>
              </w:rPr>
            </w:pPr>
            <w:r>
              <w:rPr>
                <w:sz w:val="18"/>
                <w:szCs w:val="20"/>
              </w:rPr>
              <w:t>Group 1</w:t>
            </w:r>
          </w:p>
        </w:tc>
      </w:tr>
      <w:tr w:rsidR="00CB60F6" w:rsidRPr="000461F3"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61F3" w:rsidRDefault="000C5907" w:rsidP="005122CB">
            <w:pPr>
              <w:rPr>
                <w:bCs w:val="0"/>
                <w:sz w:val="18"/>
                <w:szCs w:val="20"/>
              </w:rPr>
            </w:pPr>
          </w:p>
        </w:tc>
        <w:tc>
          <w:tcPr>
            <w:tcW w:w="8915" w:type="dxa"/>
            <w:gridSpan w:val="5"/>
            <w:tcBorders>
              <w:top w:val="single" w:sz="4" w:space="0" w:color="808080" w:themeColor="background1" w:themeShade="80"/>
              <w:bottom w:val="single" w:sz="4" w:space="0" w:color="808080" w:themeColor="background1" w:themeShade="80"/>
            </w:tcBorders>
            <w:shd w:val="clear" w:color="auto" w:fill="F2F2F2" w:themeFill="background1" w:themeFillShade="F2"/>
          </w:tcPr>
          <w:p w:rsidR="00CB60F6" w:rsidRPr="000461F3" w:rsidRDefault="000C5907" w:rsidP="005122CB">
            <w:pPr>
              <w:cnfStyle w:val="000000000000" w:firstRow="0" w:lastRow="0" w:firstColumn="0" w:lastColumn="0" w:oddVBand="0" w:evenVBand="0" w:oddHBand="0" w:evenHBand="0" w:firstRowFirstColumn="0" w:firstRowLastColumn="0" w:lastRowFirstColumn="0" w:lastRowLastColumn="0"/>
              <w:rPr>
                <w:b/>
                <w:sz w:val="18"/>
                <w:szCs w:val="20"/>
              </w:rPr>
            </w:pPr>
            <w:r w:rsidRPr="000461F3">
              <w:rPr>
                <w:b/>
                <w:sz w:val="18"/>
                <w:szCs w:val="20"/>
              </w:rPr>
              <w:t>Group 1A</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sidRPr="000420CA">
              <w:rPr>
                <w:bCs/>
                <w:sz w:val="18"/>
                <w:szCs w:val="20"/>
              </w:rPr>
              <w:t>must have</w:t>
            </w: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any of</w:t>
            </w: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NLM:RXNORM:38782</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triptorelin</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NLM:RXNORM:42375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leuprolide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NLM:RXNORM:50610</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goserelin</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NLM:RXNORM:301739</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abarelix</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NLM:RXNORM:50975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histrelin</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procedure</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UMLS:HCPCS:J9226</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 xml:space="preserve">Histrelin implant </w:t>
            </w:r>
            <w:r>
              <w:rPr>
                <w:bCs/>
                <w:sz w:val="18"/>
                <w:szCs w:val="20"/>
              </w:rPr>
              <w:t>(supprelin la), 50 mg</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procedure</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UMLS:HCPCS:J9225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Histrelin implant (vantas), 50 mg</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NLM:RXNORM:1307298</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enzalutamide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NLM:RXNORM:1999574</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apalutamide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NLM:RXNORM:2180325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darolutamide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NLM:RXNORM:83008</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bicalutamide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NLM:RXNORM:4508</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flutamide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NLM:RXNORM:31805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nilutamide</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NLM:RXNORM:1100072</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abiraterone</w:t>
            </w:r>
          </w:p>
        </w:tc>
      </w:tr>
      <w:tr w:rsidR="00CB60F6" w:rsidRPr="001673AB"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Default="000C5907" w:rsidP="005122CB">
            <w:pPr>
              <w:rPr>
                <w:b w:val="0"/>
                <w:bCs w:val="0"/>
                <w:sz w:val="18"/>
                <w:szCs w:val="20"/>
              </w:rPr>
            </w:pPr>
          </w:p>
        </w:tc>
        <w:tc>
          <w:tcPr>
            <w:tcW w:w="2160" w:type="dxa"/>
            <w:gridSpan w:val="2"/>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date constraint</w:t>
            </w:r>
          </w:p>
        </w:tc>
        <w:tc>
          <w:tcPr>
            <w:tcW w:w="6755" w:type="dxa"/>
            <w:gridSpan w:val="3"/>
            <w:tcBorders>
              <w:top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The terms in this group occurred between Aug 1, 2013 and Aug 31, 2021</w:t>
            </w:r>
          </w:p>
        </w:tc>
      </w:tr>
    </w:tbl>
    <w:p w:rsidR="00D95971" w:rsidRDefault="00D95971" w:rsidP="00CB60F6">
      <w:pPr>
        <w:pStyle w:val="Heading3"/>
      </w:pPr>
    </w:p>
    <w:p w:rsidR="00CB60F6" w:rsidRPr="0060696E" w:rsidRDefault="000C5907" w:rsidP="00CB60F6">
      <w:pPr>
        <w:pStyle w:val="Heading3"/>
      </w:pPr>
      <w:r>
        <w:t xml:space="preserve">Query Criteria for </w:t>
      </w:r>
      <w:r>
        <w:t xml:space="preserve">Cohort 2 (query name: </w:t>
      </w:r>
      <w:r>
        <w:t>Not on SGLT2i</w:t>
      </w:r>
      <w:r>
        <w:t>)</w:t>
      </w:r>
    </w:p>
    <w:p w:rsidR="00CB60F6" w:rsidRPr="00AE6247" w:rsidRDefault="000C5907" w:rsidP="00CB60F6">
      <w:r w:rsidRPr="00AE6247">
        <w:t>This query was run on</w:t>
      </w:r>
      <w:r>
        <w:t xml:space="preserve"> the network</w:t>
      </w:r>
      <w:r>
        <w:t xml:space="preserve"> </w:t>
      </w:r>
      <w:r>
        <w:t>Research</w:t>
      </w:r>
      <w:r>
        <w:t xml:space="preserve"> </w:t>
      </w:r>
      <w:r>
        <w:t>with 76 HCO</w:t>
      </w:r>
      <w:r>
        <w:t>(</w:t>
      </w:r>
      <w:r w:rsidRPr="00AE6247">
        <w:t>s</w:t>
      </w:r>
      <w:r>
        <w:t>)</w:t>
      </w:r>
      <w:r>
        <w:t xml:space="preserve"> queried and 76 HCO</w:t>
      </w:r>
      <w:r>
        <w:t>(</w:t>
      </w:r>
      <w:r w:rsidRPr="00AE6247">
        <w:t>s</w:t>
      </w:r>
      <w:r>
        <w:t>)</w:t>
      </w:r>
      <w:r w:rsidRPr="00AE6247">
        <w:t xml:space="preserve"> responded.  </w:t>
      </w:r>
      <w:r w:rsidRPr="00AE6247">
        <w:t>A t</w:t>
      </w:r>
      <w:r>
        <w:t>otal of 70 provider</w:t>
      </w:r>
      <w:r>
        <w:t>(</w:t>
      </w:r>
      <w:r w:rsidRPr="00AE6247">
        <w:t>s</w:t>
      </w:r>
      <w:r>
        <w:t>)</w:t>
      </w:r>
      <w:r w:rsidRPr="00AE6247">
        <w:t xml:space="preserve"> responded with patients. The final cohort include</w:t>
      </w:r>
      <w:r>
        <w:t>d</w:t>
      </w:r>
      <w:r>
        <w:t xml:space="preserve"> </w:t>
      </w:r>
      <w:r>
        <w:t>22,861</w:t>
      </w:r>
      <w:r>
        <w:t xml:space="preserve"> patients who matched the query criteria listed in the table below. </w:t>
      </w:r>
    </w:p>
    <w:p w:rsidR="00CB60F6" w:rsidRDefault="000C5907" w:rsidP="00CB60F6"/>
    <w:tbl>
      <w:tblPr>
        <w:tblStyle w:val="ListTable2-Accent4"/>
        <w:tblpPr w:leftFromText="180" w:rightFromText="180" w:vertAnchor="text" w:tblpY="1"/>
        <w:tblOverlap w:val="never"/>
        <w:tblW w:w="9360" w:type="dxa"/>
        <w:tblBorders>
          <w:top w:val="none" w:sz="0" w:space="0" w:color="auto"/>
          <w:bottom w:val="none" w:sz="0" w:space="0" w:color="auto"/>
          <w:insideH w:val="none" w:sz="0" w:space="0" w:color="auto"/>
        </w:tblBorders>
        <w:tblLayout w:type="fixed"/>
        <w:tblLook w:val="06A0" w:firstRow="1" w:lastRow="0" w:firstColumn="1" w:lastColumn="0" w:noHBand="1" w:noVBand="1"/>
      </w:tblPr>
      <w:tblGrid>
        <w:gridCol w:w="445"/>
        <w:gridCol w:w="1170"/>
        <w:gridCol w:w="990"/>
        <w:gridCol w:w="1368"/>
        <w:gridCol w:w="2218"/>
        <w:gridCol w:w="3169"/>
      </w:tblGrid>
      <w:tr w:rsidR="00CB60F6" w:rsidRPr="001673AB" w:rsidTr="005A22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gridSpan w:val="6"/>
            <w:tcBorders>
              <w:top w:val="single" w:sz="4" w:space="0" w:color="808080" w:themeColor="background1" w:themeShade="80"/>
              <w:bottom w:val="single" w:sz="4" w:space="0" w:color="808080" w:themeColor="background1" w:themeShade="80"/>
            </w:tcBorders>
            <w:shd w:val="clear" w:color="auto" w:fill="BFBFBF" w:themeFill="background1" w:themeFillShade="BF"/>
          </w:tcPr>
          <w:p w:rsidR="00CB60F6" w:rsidRDefault="000C5907" w:rsidP="005122CB">
            <w:pPr>
              <w:rPr>
                <w:sz w:val="18"/>
                <w:szCs w:val="20"/>
              </w:rPr>
            </w:pPr>
            <w:r>
              <w:rPr>
                <w:sz w:val="18"/>
                <w:szCs w:val="20"/>
              </w:rPr>
              <w:t>Ungrouped terms</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sidRPr="000420CA">
              <w:rPr>
                <w:bCs/>
                <w:sz w:val="18"/>
                <w:szCs w:val="20"/>
              </w:rPr>
              <w:t>must have</w:t>
            </w: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demographics</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Age</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Age (at least 18 years (most recent occurrence))</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and</w:t>
            </w: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diagnosis</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UMLS:ICD10CM:E11</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Type 2 diabetes mellitus</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sidRPr="000420CA">
              <w:rPr>
                <w:bCs/>
                <w:sz w:val="18"/>
                <w:szCs w:val="20"/>
              </w:rPr>
              <w:t>cannot have</w:t>
            </w: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NLM:RXNORM:1373458</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canagliflozin</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or</w:t>
            </w: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NLM:RXNORM:1545653</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empagliflozin</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or</w:t>
            </w: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NLM:RXNORM:1488564</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dapagliflozin</w:t>
            </w:r>
          </w:p>
        </w:tc>
      </w:tr>
      <w:tr w:rsidR="00CB60F6" w:rsidRPr="001673AB" w:rsidTr="005A223B">
        <w:tc>
          <w:tcPr>
            <w:cnfStyle w:val="001000000000" w:firstRow="0" w:lastRow="0" w:firstColumn="1" w:lastColumn="0" w:oddVBand="0" w:evenVBand="0" w:oddHBand="0" w:evenHBand="0" w:firstRowFirstColumn="0" w:firstRowLastColumn="0" w:lastRowFirstColumn="0" w:lastRowLastColumn="0"/>
            <w:tcW w:w="9360" w:type="dxa"/>
            <w:gridSpan w:val="6"/>
            <w:tcBorders>
              <w:top w:val="single" w:sz="4" w:space="0" w:color="808080" w:themeColor="background1" w:themeShade="80"/>
              <w:bottom w:val="single" w:sz="4" w:space="0" w:color="808080" w:themeColor="background1" w:themeShade="80"/>
            </w:tcBorders>
            <w:shd w:val="clear" w:color="auto" w:fill="D9D9D9" w:themeFill="background1" w:themeFillShade="D9"/>
          </w:tcPr>
          <w:p w:rsidR="00CB60F6" w:rsidRDefault="000C5907" w:rsidP="005122CB">
            <w:pPr>
              <w:rPr>
                <w:sz w:val="18"/>
                <w:szCs w:val="20"/>
              </w:rPr>
            </w:pPr>
            <w:r>
              <w:rPr>
                <w:sz w:val="18"/>
                <w:szCs w:val="20"/>
              </w:rPr>
              <w:t>Group 1</w:t>
            </w:r>
          </w:p>
        </w:tc>
      </w:tr>
      <w:tr w:rsidR="00CB60F6" w:rsidRPr="000461F3"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61F3" w:rsidRDefault="000C5907" w:rsidP="005122CB">
            <w:pPr>
              <w:rPr>
                <w:bCs w:val="0"/>
                <w:sz w:val="18"/>
                <w:szCs w:val="20"/>
              </w:rPr>
            </w:pPr>
          </w:p>
        </w:tc>
        <w:tc>
          <w:tcPr>
            <w:tcW w:w="8915" w:type="dxa"/>
            <w:gridSpan w:val="5"/>
            <w:tcBorders>
              <w:top w:val="single" w:sz="4" w:space="0" w:color="808080" w:themeColor="background1" w:themeShade="80"/>
              <w:bottom w:val="single" w:sz="4" w:space="0" w:color="808080" w:themeColor="background1" w:themeShade="80"/>
            </w:tcBorders>
            <w:shd w:val="clear" w:color="auto" w:fill="F2F2F2" w:themeFill="background1" w:themeFillShade="F2"/>
          </w:tcPr>
          <w:p w:rsidR="00CB60F6" w:rsidRPr="000461F3" w:rsidRDefault="000C5907" w:rsidP="005122CB">
            <w:pPr>
              <w:cnfStyle w:val="000000000000" w:firstRow="0" w:lastRow="0" w:firstColumn="0" w:lastColumn="0" w:oddVBand="0" w:evenVBand="0" w:oddHBand="0" w:evenHBand="0" w:firstRowFirstColumn="0" w:firstRowLastColumn="0" w:lastRowFirstColumn="0" w:lastRowLastColumn="0"/>
              <w:rPr>
                <w:b/>
                <w:sz w:val="18"/>
                <w:szCs w:val="20"/>
              </w:rPr>
            </w:pPr>
            <w:r w:rsidRPr="000461F3">
              <w:rPr>
                <w:b/>
                <w:sz w:val="18"/>
                <w:szCs w:val="20"/>
              </w:rPr>
              <w:t>Group 1A</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sidRPr="000420CA">
              <w:rPr>
                <w:bCs/>
                <w:sz w:val="18"/>
                <w:szCs w:val="20"/>
              </w:rPr>
              <w:t>must have</w:t>
            </w: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any of</w:t>
            </w: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NLM:RXNORM:38782</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triptorelin</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NLM:RXNORM:42375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leuprolide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NLM:RXNORM:50610</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goserelin</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NLM:RXNORM:301739</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abarelix</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NLM:RXNORM:50975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histrelin</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procedure</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UMLS:HCPCS:J9226</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Histrelin implant (supprelin la), 50 mg</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procedure</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UMLS:HCPCS:J9225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 xml:space="preserve">Histrelin implant (vantas), </w:t>
            </w:r>
            <w:r>
              <w:rPr>
                <w:bCs/>
                <w:sz w:val="18"/>
                <w:szCs w:val="20"/>
              </w:rPr>
              <w:t>50 mg</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NLM:RXNORM:1307298</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enzalutamide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NLM:RXNORM:1999574</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apalutamide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NLM:RXNORM:2180325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darolutamide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NLM:RXNORM:83008</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bicalutamide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NLM:RXNORM:4508</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flutamide</w:t>
            </w:r>
          </w:p>
        </w:tc>
      </w:tr>
      <w:tr w:rsidR="00CB60F6" w:rsidRPr="000420CA" w:rsidTr="005122C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NLM:RXNORM:31805</w:t>
            </w:r>
          </w:p>
        </w:tc>
        <w:tc>
          <w:tcPr>
            <w:tcW w:w="3164"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nilutamide</w:t>
            </w:r>
          </w:p>
        </w:tc>
      </w:tr>
      <w:tr w:rsidR="00CB60F6" w:rsidRPr="000420CA"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Pr="000420CA" w:rsidRDefault="000C5907" w:rsidP="005122CB">
            <w:pPr>
              <w:rPr>
                <w:b w:val="0"/>
                <w:bCs w:val="0"/>
                <w:sz w:val="18"/>
                <w:szCs w:val="20"/>
              </w:rPr>
            </w:pPr>
          </w:p>
        </w:tc>
        <w:tc>
          <w:tcPr>
            <w:tcW w:w="1170" w:type="dxa"/>
            <w:shd w:val="clear" w:color="auto" w:fill="auto"/>
          </w:tcPr>
          <w:p w:rsidR="00CB60F6" w:rsidRPr="000420CA"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tcBorders>
              <w:bottom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NLM:RXNORM:1100072</w:t>
            </w:r>
          </w:p>
        </w:tc>
        <w:tc>
          <w:tcPr>
            <w:tcW w:w="3164" w:type="dxa"/>
            <w:tcBorders>
              <w:bottom w:val="single" w:sz="4" w:space="0" w:color="808080" w:themeColor="background1" w:themeShade="80"/>
            </w:tcBorders>
            <w:shd w:val="clear" w:color="auto" w:fill="auto"/>
          </w:tcPr>
          <w:p w:rsidR="00CB60F6" w:rsidRPr="00381224" w:rsidRDefault="000C5907" w:rsidP="005122CB">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abiraterone</w:t>
            </w:r>
          </w:p>
        </w:tc>
      </w:tr>
      <w:tr w:rsidR="00CB60F6" w:rsidRPr="001673AB" w:rsidTr="005A223B">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CB60F6" w:rsidRDefault="000C5907" w:rsidP="005122CB">
            <w:pPr>
              <w:rPr>
                <w:b w:val="0"/>
                <w:bCs w:val="0"/>
                <w:sz w:val="18"/>
                <w:szCs w:val="20"/>
              </w:rPr>
            </w:pPr>
          </w:p>
        </w:tc>
        <w:tc>
          <w:tcPr>
            <w:tcW w:w="2160" w:type="dxa"/>
            <w:gridSpan w:val="2"/>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date constraint</w:t>
            </w:r>
          </w:p>
        </w:tc>
        <w:tc>
          <w:tcPr>
            <w:tcW w:w="6755" w:type="dxa"/>
            <w:gridSpan w:val="3"/>
            <w:tcBorders>
              <w:top w:val="single" w:sz="4" w:space="0" w:color="808080" w:themeColor="background1" w:themeShade="80"/>
            </w:tcBorders>
            <w:shd w:val="clear" w:color="auto" w:fill="auto"/>
          </w:tcPr>
          <w:p w:rsidR="00CB60F6" w:rsidRDefault="000C5907" w:rsidP="005122CB">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The terms in this group occurred between Aug 1, 2013 and Aug 31, 2021</w:t>
            </w:r>
          </w:p>
        </w:tc>
      </w:tr>
    </w:tbl>
    <w:p w:rsidR="00CB60F6" w:rsidRPr="00CB60F6" w:rsidRDefault="000C5907" w:rsidP="00CB60F6"/>
    <w:p w:rsidR="003960C0" w:rsidRDefault="000C5907" w:rsidP="003960C0">
      <w:pPr>
        <w:pStyle w:val="Heading2"/>
        <w:rPr>
          <w:bCs/>
        </w:rPr>
      </w:pPr>
      <w:r>
        <w:rPr>
          <w:bCs/>
        </w:rPr>
        <w:t>Analysis Setup</w:t>
      </w:r>
    </w:p>
    <w:p w:rsidR="00EF0BF8" w:rsidRDefault="000C5907" w:rsidP="00EF0BF8">
      <w:r>
        <w:t>This section contains</w:t>
      </w:r>
      <w:r>
        <w:t xml:space="preserve"> the</w:t>
      </w:r>
      <w:r>
        <w:t xml:space="preserve"> Index Event </w:t>
      </w:r>
      <w:r>
        <w:t xml:space="preserve">and Time Window </w:t>
      </w:r>
      <w:r>
        <w:t>definition</w:t>
      </w:r>
      <w:r>
        <w:t>s</w:t>
      </w:r>
      <w:r>
        <w:t xml:space="preserve"> and a list of selected outcomes and the analyses.</w:t>
      </w:r>
      <w:r>
        <w:t xml:space="preserve"> </w:t>
      </w:r>
    </w:p>
    <w:p w:rsidR="003960C0" w:rsidRDefault="000C5907" w:rsidP="003960C0"/>
    <w:p w:rsidR="003960C0" w:rsidRDefault="000C5907" w:rsidP="003960C0">
      <w:pPr>
        <w:pStyle w:val="Heading3"/>
      </w:pPr>
      <w:r>
        <w:t xml:space="preserve">Index Event </w:t>
      </w:r>
      <w:r>
        <w:t xml:space="preserve">&amp; Time Window </w:t>
      </w:r>
      <w:r>
        <w:t>Definition</w:t>
      </w:r>
      <w:r>
        <w:t>s</w:t>
      </w:r>
    </w:p>
    <w:p w:rsidR="005B2ACC" w:rsidRDefault="000C5907" w:rsidP="003960C0">
      <w:r w:rsidRPr="005B2ACC">
        <w:t xml:space="preserve">The index event defines the point in time when each patient in the cohort enters the analysis. To define an index event for the cohort, one or more criteria for the </w:t>
      </w:r>
      <w:r w:rsidRPr="005B2ACC">
        <w:t xml:space="preserve">cohort must be selected. The index date for each patient within a cohort is the day on which the patient first met </w:t>
      </w:r>
      <w:r>
        <w:t xml:space="preserve">the </w:t>
      </w:r>
      <w:r w:rsidRPr="005B2ACC">
        <w:t>selected criteria for the cohort</w:t>
      </w:r>
      <w:r>
        <w:t xml:space="preserve"> (listed in the table below)</w:t>
      </w:r>
      <w:r w:rsidRPr="005B2ACC">
        <w:t>.</w:t>
      </w:r>
    </w:p>
    <w:p w:rsidR="005B2ACC" w:rsidRDefault="000C5907" w:rsidP="003960C0"/>
    <w:p w:rsidR="00852E13" w:rsidRDefault="000C5907" w:rsidP="003960C0">
      <w:r>
        <w:t>As the</w:t>
      </w:r>
      <w:r w:rsidRPr="005B2ACC">
        <w:t xml:space="preserve"> index event defines the</w:t>
      </w:r>
      <w:r>
        <w:t xml:space="preserve"> earliest time </w:t>
      </w:r>
      <w:r w:rsidRPr="005B2ACC">
        <w:t>point after which outcomes ar</w:t>
      </w:r>
      <w:r w:rsidRPr="005B2ACC">
        <w:t>e analyzed</w:t>
      </w:r>
      <w:r>
        <w:t>, t</w:t>
      </w:r>
      <w:r w:rsidRPr="005B2ACC">
        <w:t xml:space="preserve">he time window </w:t>
      </w:r>
      <w:r>
        <w:t>define</w:t>
      </w:r>
      <w:r>
        <w:t>s</w:t>
      </w:r>
      <w:r>
        <w:t xml:space="preserve"> the duration during which outcomes are analyzed</w:t>
      </w:r>
      <w:r w:rsidRPr="005B2ACC">
        <w:t xml:space="preserve">.  The time window can start on the same day as the index event or at any specified time interval after the index event. The time window can end any time after the start date.  </w:t>
      </w:r>
      <w:r>
        <w:t xml:space="preserve">Outcomes are defined as diagnoses, medications, procedures, </w:t>
      </w:r>
      <w:r>
        <w:t xml:space="preserve">or </w:t>
      </w:r>
      <w:r>
        <w:t>laboratory value</w:t>
      </w:r>
      <w:r>
        <w:t xml:space="preserve">s </w:t>
      </w:r>
      <w:r>
        <w:t xml:space="preserve">that </w:t>
      </w:r>
      <w:r>
        <w:t>happened</w:t>
      </w:r>
      <w:r>
        <w:t xml:space="preserve"> in the time window starting after </w:t>
      </w:r>
      <w:r>
        <w:t>the first occurrence of the index event</w:t>
      </w:r>
      <w:r>
        <w:t>.</w:t>
      </w:r>
    </w:p>
    <w:p w:rsidR="00852E13" w:rsidRDefault="000C5907" w:rsidP="003960C0"/>
    <w:p w:rsidR="00852E13" w:rsidRDefault="000C5907" w:rsidP="00852E13">
      <w:pPr>
        <w:pStyle w:val="Heading3"/>
      </w:pPr>
      <w:r>
        <w:t>Time Window Used in this Analysis</w:t>
      </w:r>
    </w:p>
    <w:p w:rsidR="003960C0" w:rsidRDefault="000C5907" w:rsidP="003960C0">
      <w:r>
        <w:t>This analysis included outcomes that occurred in the time window that started 1 days after the first occurrence of the index event</w:t>
      </w:r>
      <w:r>
        <w:t xml:space="preserve"> and ended 730 days after the first occurrence of the index event</w:t>
      </w:r>
    </w:p>
    <w:p w:rsidR="003960C0" w:rsidRDefault="000C5907" w:rsidP="003960C0"/>
    <w:p w:rsidR="003960C0" w:rsidRDefault="000C5907" w:rsidP="003960C0">
      <w:r>
        <w:t>The index event only includes events that occurred up to 20 years ago. Patients whose index event occurred 20 years or more ago are excluded. In this analysis,</w:t>
      </w:r>
      <w:r>
        <w:t xml:space="preserve"> </w:t>
      </w:r>
      <w:r>
        <w:t xml:space="preserve"> 0 patients in Cohort 1 and 0</w:t>
      </w:r>
      <w:r>
        <w:t xml:space="preserve"> patients in Cohort 2 were excluded because they met the index event more than 20 years ago.</w:t>
      </w:r>
    </w:p>
    <w:p w:rsidR="003960C0" w:rsidRDefault="000C5907" w:rsidP="003960C0"/>
    <w:p w:rsidR="00852E13" w:rsidRDefault="000C5907" w:rsidP="00852E13">
      <w:pPr>
        <w:pStyle w:val="Heading3"/>
      </w:pPr>
      <w:r>
        <w:t>Index Events Used in this Analysis</w:t>
      </w:r>
    </w:p>
    <w:p w:rsidR="00852E13" w:rsidRDefault="000C5907" w:rsidP="00587F43">
      <w:r>
        <w:t xml:space="preserve">Index events for </w:t>
      </w:r>
      <w:r>
        <w:t xml:space="preserve">the Compare </w:t>
      </w:r>
      <w:r>
        <w:t>O</w:t>
      </w:r>
      <w:r>
        <w:t xml:space="preserve">utcomes analysis </w:t>
      </w:r>
      <w:r>
        <w:t>were</w:t>
      </w:r>
      <w:r>
        <w:t xml:space="preserve"> derived from </w:t>
      </w:r>
      <w:r>
        <w:t>the</w:t>
      </w:r>
      <w:r>
        <w:t xml:space="preserve"> </w:t>
      </w:r>
      <w:r>
        <w:t>c</w:t>
      </w:r>
      <w:r>
        <w:t xml:space="preserve">ohort </w:t>
      </w:r>
      <w:r>
        <w:t>d</w:t>
      </w:r>
      <w:r>
        <w:t>efinition</w:t>
      </w:r>
      <w:r>
        <w:t>s</w:t>
      </w:r>
      <w:r>
        <w:t xml:space="preserve">. </w:t>
      </w:r>
      <w:r>
        <w:t xml:space="preserve">Index events </w:t>
      </w:r>
      <w:r>
        <w:t>were</w:t>
      </w:r>
      <w:r>
        <w:t xml:space="preserve"> defined separately for each cohort and </w:t>
      </w:r>
      <w:r>
        <w:t>were</w:t>
      </w:r>
      <w:r>
        <w:t xml:space="preserve"> based on the criteria used in the original cohort definition.</w:t>
      </w:r>
      <w:r>
        <w:t xml:space="preserve"> Please see Appendix B for the text representation of the index event definition.</w:t>
      </w:r>
    </w:p>
    <w:p w:rsidR="00852E13" w:rsidRDefault="000C5907" w:rsidP="00587F43"/>
    <w:p w:rsidR="007828FC" w:rsidRDefault="000C5907" w:rsidP="00587F43">
      <w:r>
        <w:t>The i</w:t>
      </w:r>
      <w:r>
        <w:t xml:space="preserve">ndex event for Cohort 1 </w:t>
      </w:r>
      <w:r>
        <w:t xml:space="preserve">(query name: On SGLT2i) </w:t>
      </w:r>
      <w:r>
        <w:t>was</w:t>
      </w:r>
      <w:r>
        <w:t xml:space="preserve"> defined as</w:t>
      </w:r>
      <w:r>
        <w:t xml:space="preserve"> the</w:t>
      </w:r>
      <w:r>
        <w:t xml:space="preserve"> following:</w:t>
      </w:r>
    </w:p>
    <w:tbl>
      <w:tblPr>
        <w:tblStyle w:val="ListTable2-Accent4"/>
        <w:tblpPr w:leftFromText="180" w:rightFromText="180" w:vertAnchor="text" w:tblpY="1"/>
        <w:tblOverlap w:val="never"/>
        <w:tblW w:w="9360" w:type="dxa"/>
        <w:tblBorders>
          <w:top w:val="none" w:sz="0" w:space="0" w:color="auto"/>
          <w:bottom w:val="none" w:sz="0" w:space="0" w:color="auto"/>
          <w:insideH w:val="none" w:sz="0" w:space="0" w:color="auto"/>
        </w:tblBorders>
        <w:tblLayout w:type="fixed"/>
        <w:tblLook w:val="06A0" w:firstRow="1" w:lastRow="0" w:firstColumn="1" w:lastColumn="0" w:noHBand="1" w:noVBand="1"/>
      </w:tblPr>
      <w:tblGrid>
        <w:gridCol w:w="445"/>
        <w:gridCol w:w="1170"/>
        <w:gridCol w:w="990"/>
        <w:gridCol w:w="1368"/>
        <w:gridCol w:w="2218"/>
        <w:gridCol w:w="3169"/>
      </w:tblGrid>
      <w:tr w:rsidR="00F43B93" w:rsidRPr="001673AB" w:rsidTr="000D2D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gridSpan w:val="6"/>
            <w:shd w:val="clear" w:color="auto" w:fill="auto"/>
          </w:tcPr>
          <w:p w:rsidR="00F43B93" w:rsidRDefault="000C5907" w:rsidP="006D2874">
            <w:pPr>
              <w:rPr>
                <w:sz w:val="18"/>
                <w:szCs w:val="20"/>
              </w:rPr>
            </w:pPr>
          </w:p>
        </w:tc>
      </w:tr>
      <w:tr w:rsidR="00731117" w:rsidRPr="001673AB" w:rsidTr="00172194">
        <w:tc>
          <w:tcPr>
            <w:cnfStyle w:val="001000000000" w:firstRow="0" w:lastRow="0" w:firstColumn="1" w:lastColumn="0" w:oddVBand="0" w:evenVBand="0" w:oddHBand="0" w:evenHBand="0" w:firstRowFirstColumn="0" w:firstRowLastColumn="0" w:lastRowFirstColumn="0" w:lastRowLastColumn="0"/>
            <w:tcW w:w="9360" w:type="dxa"/>
            <w:gridSpan w:val="6"/>
            <w:tcBorders>
              <w:top w:val="single" w:sz="4" w:space="0" w:color="808080" w:themeColor="background1" w:themeShade="80"/>
              <w:bottom w:val="single" w:sz="4" w:space="0" w:color="808080" w:themeColor="background1" w:themeShade="80"/>
            </w:tcBorders>
            <w:shd w:val="clear" w:color="auto" w:fill="D9D9D9" w:themeFill="background1" w:themeFillShade="D9"/>
          </w:tcPr>
          <w:p w:rsidR="00731117" w:rsidRDefault="000C5907" w:rsidP="00172194">
            <w:pPr>
              <w:tabs>
                <w:tab w:val="left" w:pos="1976"/>
              </w:tabs>
              <w:rPr>
                <w:sz w:val="18"/>
                <w:szCs w:val="20"/>
              </w:rPr>
            </w:pPr>
            <w:r>
              <w:rPr>
                <w:sz w:val="18"/>
                <w:szCs w:val="20"/>
              </w:rPr>
              <w:t>Group 1</w:t>
            </w:r>
            <w:r>
              <w:rPr>
                <w:sz w:val="18"/>
                <w:szCs w:val="20"/>
              </w:rPr>
              <w:tab/>
            </w:r>
          </w:p>
        </w:tc>
      </w:tr>
      <w:tr w:rsidR="00E63A13" w:rsidRPr="000461F3" w:rsidTr="00172194">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E63A13" w:rsidRPr="000461F3" w:rsidRDefault="000C5907" w:rsidP="006D2874">
            <w:pPr>
              <w:rPr>
                <w:bCs w:val="0"/>
                <w:sz w:val="18"/>
                <w:szCs w:val="20"/>
              </w:rPr>
            </w:pPr>
          </w:p>
        </w:tc>
        <w:tc>
          <w:tcPr>
            <w:tcW w:w="8915" w:type="dxa"/>
            <w:gridSpan w:val="5"/>
            <w:tcBorders>
              <w:top w:val="single" w:sz="4" w:space="0" w:color="808080" w:themeColor="background1" w:themeShade="80"/>
              <w:bottom w:val="single" w:sz="4" w:space="0" w:color="808080" w:themeColor="background1" w:themeShade="80"/>
            </w:tcBorders>
            <w:shd w:val="clear" w:color="auto" w:fill="F2F2F2" w:themeFill="background1" w:themeFillShade="F2"/>
          </w:tcPr>
          <w:p w:rsidR="00E63A13" w:rsidRPr="000461F3" w:rsidRDefault="000C5907" w:rsidP="006D2874">
            <w:pPr>
              <w:cnfStyle w:val="000000000000" w:firstRow="0" w:lastRow="0" w:firstColumn="0" w:lastColumn="0" w:oddVBand="0" w:evenVBand="0" w:oddHBand="0" w:evenHBand="0" w:firstRowFirstColumn="0" w:firstRowLastColumn="0" w:lastRowFirstColumn="0" w:lastRowLastColumn="0"/>
              <w:rPr>
                <w:b/>
                <w:sz w:val="18"/>
                <w:szCs w:val="20"/>
              </w:rPr>
            </w:pPr>
            <w:r w:rsidRPr="000461F3">
              <w:rPr>
                <w:b/>
                <w:sz w:val="18"/>
                <w:szCs w:val="20"/>
              </w:rPr>
              <w:t>Group 1A</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sidRPr="000420CA">
              <w:rPr>
                <w:bCs/>
                <w:sz w:val="18"/>
                <w:szCs w:val="20"/>
              </w:rPr>
              <w:t>must have</w:t>
            </w: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any of</w:t>
            </w: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NLM:RXNORM:38782</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triptorelin</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NLM:RXNORM:42375</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leuprolide</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NLM:RXNORM:50610</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goserelin</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NLM:RXNORM:301739</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abarelix</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NLM:RXNORM:50975</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histrelin</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procedure</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UMLS:HCPCS:J9226</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 xml:space="preserve">Histrelin implant </w:t>
            </w:r>
            <w:r>
              <w:rPr>
                <w:bCs/>
                <w:sz w:val="18"/>
                <w:szCs w:val="20"/>
              </w:rPr>
              <w:t>(supprelin la), 50 mg</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procedure</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UMLS:HCPCS:J9225</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Histrelin implant (vantas), 50 mg</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NLM:RXNORM:1307298</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enzalutamide</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NLM:RXNORM:1999574</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apalutamide</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NLM:RXNORM:2180325</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darolutamide</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NLM:RXNORM:83008</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bicalutamide</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NLM:RXNORM:4508</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flutamide</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NLM:RXNORM:31805</w:t>
            </w:r>
          </w:p>
        </w:tc>
        <w:tc>
          <w:tcPr>
            <w:tcW w:w="3169"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nilutamide</w:t>
            </w:r>
          </w:p>
        </w:tc>
      </w:tr>
      <w:tr w:rsidR="000D2D3B" w:rsidRPr="000420CA" w:rsidTr="00BA2D50">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D2D3B" w:rsidRPr="000420CA" w:rsidRDefault="000C5907" w:rsidP="006D2874">
            <w:pPr>
              <w:rPr>
                <w:b w:val="0"/>
                <w:bCs w:val="0"/>
                <w:sz w:val="18"/>
                <w:szCs w:val="20"/>
              </w:rPr>
            </w:pPr>
          </w:p>
        </w:tc>
        <w:tc>
          <w:tcPr>
            <w:tcW w:w="1170" w:type="dxa"/>
            <w:shd w:val="clear" w:color="auto" w:fill="auto"/>
          </w:tcPr>
          <w:p w:rsidR="000D2D3B" w:rsidRPr="000420CA"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tcBorders>
              <w:bottom w:val="single" w:sz="4" w:space="0" w:color="808080" w:themeColor="background1" w:themeShade="80"/>
            </w:tcBorders>
            <w:shd w:val="clear" w:color="auto" w:fill="auto"/>
          </w:tcPr>
          <w:p w:rsidR="000D2D3B"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tcBorders>
              <w:bottom w:val="single" w:sz="4" w:space="0" w:color="808080" w:themeColor="background1" w:themeShade="80"/>
            </w:tcBorders>
            <w:shd w:val="clear" w:color="auto" w:fill="auto"/>
          </w:tcPr>
          <w:p w:rsidR="000D2D3B"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tcBorders>
              <w:bottom w:val="single" w:sz="4" w:space="0" w:color="808080" w:themeColor="background1" w:themeShade="80"/>
            </w:tcBorders>
            <w:shd w:val="clear" w:color="auto" w:fill="auto"/>
          </w:tcPr>
          <w:p w:rsidR="000D2D3B"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NLM:RXNORM:1100072</w:t>
            </w:r>
          </w:p>
        </w:tc>
        <w:tc>
          <w:tcPr>
            <w:tcW w:w="3169" w:type="dxa"/>
            <w:tcBorders>
              <w:bottom w:val="single" w:sz="4" w:space="0" w:color="808080" w:themeColor="background1" w:themeShade="80"/>
            </w:tcBorders>
            <w:shd w:val="clear" w:color="auto" w:fill="auto"/>
          </w:tcPr>
          <w:p w:rsidR="000D2D3B" w:rsidRPr="00381224" w:rsidRDefault="000C5907" w:rsidP="006D2874">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abiraterone</w:t>
            </w:r>
          </w:p>
        </w:tc>
      </w:tr>
      <w:tr w:rsidR="000420CA" w:rsidRPr="001673AB" w:rsidTr="00172194">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0420CA" w:rsidRDefault="000C5907" w:rsidP="006D2874">
            <w:pPr>
              <w:rPr>
                <w:b w:val="0"/>
                <w:bCs w:val="0"/>
                <w:sz w:val="18"/>
                <w:szCs w:val="20"/>
              </w:rPr>
            </w:pPr>
          </w:p>
        </w:tc>
        <w:tc>
          <w:tcPr>
            <w:tcW w:w="2160" w:type="dxa"/>
            <w:gridSpan w:val="2"/>
            <w:shd w:val="clear" w:color="auto" w:fill="auto"/>
          </w:tcPr>
          <w:p w:rsid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date constraint</w:t>
            </w:r>
          </w:p>
        </w:tc>
        <w:tc>
          <w:tcPr>
            <w:tcW w:w="6755" w:type="dxa"/>
            <w:gridSpan w:val="3"/>
            <w:tcBorders>
              <w:top w:val="single" w:sz="4" w:space="0" w:color="808080" w:themeColor="background1" w:themeShade="80"/>
            </w:tcBorders>
            <w:shd w:val="clear" w:color="auto" w:fill="auto"/>
          </w:tcPr>
          <w:p w:rsidR="000420CA" w:rsidRDefault="000C5907" w:rsidP="006D2874">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The terms in this group occurred between Aug 1, 2013 and Aug 31, 2021</w:t>
            </w:r>
          </w:p>
        </w:tc>
      </w:tr>
    </w:tbl>
    <w:p w:rsidR="007828FC" w:rsidRDefault="000C5907" w:rsidP="007828FC">
      <w:r>
        <w:br w:type="textWrapping" w:clear="all"/>
      </w:r>
      <w:r>
        <w:t>The i</w:t>
      </w:r>
      <w:r>
        <w:t xml:space="preserve">ndex event for Cohort 2 </w:t>
      </w:r>
      <w:r>
        <w:t xml:space="preserve">(query name: Not on SGLT2i) </w:t>
      </w:r>
      <w:r>
        <w:t>was</w:t>
      </w:r>
      <w:r>
        <w:t xml:space="preserve"> defined as </w:t>
      </w:r>
      <w:r>
        <w:t xml:space="preserve">the </w:t>
      </w:r>
      <w:r>
        <w:t>following:</w:t>
      </w:r>
    </w:p>
    <w:tbl>
      <w:tblPr>
        <w:tblStyle w:val="ListTable2-Accent4"/>
        <w:tblpPr w:leftFromText="180" w:rightFromText="180" w:vertAnchor="text" w:tblpY="1"/>
        <w:tblOverlap w:val="never"/>
        <w:tblW w:w="9360" w:type="dxa"/>
        <w:tblBorders>
          <w:top w:val="none" w:sz="0" w:space="0" w:color="auto"/>
          <w:bottom w:val="none" w:sz="0" w:space="0" w:color="auto"/>
          <w:insideH w:val="none" w:sz="0" w:space="0" w:color="auto"/>
        </w:tblBorders>
        <w:tblLayout w:type="fixed"/>
        <w:tblLook w:val="06A0" w:firstRow="1" w:lastRow="0" w:firstColumn="1" w:lastColumn="0" w:noHBand="1" w:noVBand="1"/>
      </w:tblPr>
      <w:tblGrid>
        <w:gridCol w:w="445"/>
        <w:gridCol w:w="1170"/>
        <w:gridCol w:w="990"/>
        <w:gridCol w:w="1368"/>
        <w:gridCol w:w="2218"/>
        <w:gridCol w:w="3169"/>
      </w:tblGrid>
      <w:tr w:rsidR="00F1690F" w:rsidRPr="001673AB" w:rsidTr="004E0C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gridSpan w:val="6"/>
            <w:shd w:val="clear" w:color="auto" w:fill="auto"/>
          </w:tcPr>
          <w:p w:rsidR="00F1690F" w:rsidRDefault="000C5907" w:rsidP="004E0C0C">
            <w:pPr>
              <w:rPr>
                <w:sz w:val="18"/>
                <w:szCs w:val="20"/>
              </w:rPr>
            </w:pPr>
          </w:p>
        </w:tc>
      </w:tr>
      <w:tr w:rsidR="00F1690F" w:rsidRPr="001673AB" w:rsidTr="004E0C0C">
        <w:tc>
          <w:tcPr>
            <w:cnfStyle w:val="001000000000" w:firstRow="0" w:lastRow="0" w:firstColumn="1" w:lastColumn="0" w:oddVBand="0" w:evenVBand="0" w:oddHBand="0" w:evenHBand="0" w:firstRowFirstColumn="0" w:firstRowLastColumn="0" w:lastRowFirstColumn="0" w:lastRowLastColumn="0"/>
            <w:tcW w:w="9360" w:type="dxa"/>
            <w:gridSpan w:val="6"/>
            <w:tcBorders>
              <w:top w:val="single" w:sz="4" w:space="0" w:color="808080" w:themeColor="background1" w:themeShade="80"/>
              <w:bottom w:val="single" w:sz="4" w:space="0" w:color="808080" w:themeColor="background1" w:themeShade="80"/>
            </w:tcBorders>
            <w:shd w:val="clear" w:color="auto" w:fill="D9D9D9" w:themeFill="background1" w:themeFillShade="D9"/>
          </w:tcPr>
          <w:p w:rsidR="00F1690F" w:rsidRDefault="000C5907" w:rsidP="004E0C0C">
            <w:pPr>
              <w:tabs>
                <w:tab w:val="left" w:pos="1976"/>
              </w:tabs>
              <w:rPr>
                <w:sz w:val="18"/>
                <w:szCs w:val="20"/>
              </w:rPr>
            </w:pPr>
            <w:r>
              <w:rPr>
                <w:sz w:val="18"/>
                <w:szCs w:val="20"/>
              </w:rPr>
              <w:t>Group 1</w:t>
            </w:r>
            <w:r>
              <w:rPr>
                <w:sz w:val="18"/>
                <w:szCs w:val="20"/>
              </w:rPr>
              <w:tab/>
            </w:r>
          </w:p>
        </w:tc>
      </w:tr>
      <w:tr w:rsidR="00F1690F" w:rsidRPr="000461F3"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61F3" w:rsidRDefault="000C5907" w:rsidP="004E0C0C">
            <w:pPr>
              <w:rPr>
                <w:bCs w:val="0"/>
                <w:sz w:val="18"/>
                <w:szCs w:val="20"/>
              </w:rPr>
            </w:pPr>
          </w:p>
        </w:tc>
        <w:tc>
          <w:tcPr>
            <w:tcW w:w="8915" w:type="dxa"/>
            <w:gridSpan w:val="5"/>
            <w:tcBorders>
              <w:top w:val="single" w:sz="4" w:space="0" w:color="808080" w:themeColor="background1" w:themeShade="80"/>
              <w:bottom w:val="single" w:sz="4" w:space="0" w:color="808080" w:themeColor="background1" w:themeShade="80"/>
            </w:tcBorders>
            <w:shd w:val="clear" w:color="auto" w:fill="F2F2F2" w:themeFill="background1" w:themeFillShade="F2"/>
          </w:tcPr>
          <w:p w:rsidR="00F1690F" w:rsidRPr="000461F3" w:rsidRDefault="000C5907" w:rsidP="004E0C0C">
            <w:pPr>
              <w:cnfStyle w:val="000000000000" w:firstRow="0" w:lastRow="0" w:firstColumn="0" w:lastColumn="0" w:oddVBand="0" w:evenVBand="0" w:oddHBand="0" w:evenHBand="0" w:firstRowFirstColumn="0" w:firstRowLastColumn="0" w:lastRowFirstColumn="0" w:lastRowLastColumn="0"/>
              <w:rPr>
                <w:b/>
                <w:sz w:val="18"/>
                <w:szCs w:val="20"/>
              </w:rPr>
            </w:pPr>
            <w:r w:rsidRPr="000461F3">
              <w:rPr>
                <w:b/>
                <w:sz w:val="18"/>
                <w:szCs w:val="20"/>
              </w:rPr>
              <w:t>Group 1A</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sidRPr="000420CA">
              <w:rPr>
                <w:bCs/>
                <w:sz w:val="18"/>
                <w:szCs w:val="20"/>
              </w:rPr>
              <w:t>must have</w:t>
            </w: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any of</w:t>
            </w: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NLM:RXNORM:38782</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triptorelin</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NLM:RXNORM:42375</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leuprolide</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NLM:RXNORM:50610</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goserelin</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NLM:RXNORM:301739</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abarelix</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NLM:RXNORM:50975</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histrelin</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procedure</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UMLS:HCPCS:J9226</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Histrelin implant (supprelin la), 50 mg</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procedure</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UMLS:HCPCS:J9225</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Histrelin implant (vantas), 50 mg</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NLM:RXNORM:1307298</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enzalutamide</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NLM:RXNORM:1999574</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apalutamide</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NLM:RXNORM:2180325</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darolutamide</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NLM:RXNORM:83008</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bicalutamide</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NLM:RXNORM:4508</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flutamide</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NLM:RXNORM:31805</w:t>
            </w:r>
          </w:p>
        </w:tc>
        <w:tc>
          <w:tcPr>
            <w:tcW w:w="3164"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bCs/>
                <w:sz w:val="18"/>
                <w:szCs w:val="20"/>
              </w:rPr>
              <w:t>nilutamide</w:t>
            </w:r>
          </w:p>
        </w:tc>
      </w:tr>
      <w:tr w:rsidR="00F1690F" w:rsidRPr="000420CA"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Pr="000420CA" w:rsidRDefault="000C5907" w:rsidP="004E0C0C">
            <w:pPr>
              <w:rPr>
                <w:b w:val="0"/>
                <w:bCs w:val="0"/>
                <w:sz w:val="18"/>
                <w:szCs w:val="20"/>
              </w:rPr>
            </w:pPr>
          </w:p>
        </w:tc>
        <w:tc>
          <w:tcPr>
            <w:tcW w:w="1170" w:type="dxa"/>
            <w:shd w:val="clear" w:color="auto" w:fill="auto"/>
          </w:tcPr>
          <w:p w:rsidR="00F1690F" w:rsidRPr="000420CA"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990" w:type="dxa"/>
            <w:tcBorders>
              <w:bottom w:val="single" w:sz="4" w:space="0" w:color="808080" w:themeColor="background1" w:themeShade="80"/>
            </w:tcBorders>
            <w:shd w:val="clear" w:color="auto" w:fill="auto"/>
          </w:tcPr>
          <w:p w:rsidR="00F1690F"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p>
        </w:tc>
        <w:tc>
          <w:tcPr>
            <w:tcW w:w="1368" w:type="dxa"/>
            <w:tcBorders>
              <w:bottom w:val="single" w:sz="4" w:space="0" w:color="808080" w:themeColor="background1" w:themeShade="80"/>
            </w:tcBorders>
            <w:shd w:val="clear" w:color="auto" w:fill="auto"/>
          </w:tcPr>
          <w:p w:rsidR="00F1690F"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medication</w:t>
            </w:r>
          </w:p>
        </w:tc>
        <w:tc>
          <w:tcPr>
            <w:tcW w:w="2218" w:type="dxa"/>
            <w:tcBorders>
              <w:bottom w:val="single" w:sz="4" w:space="0" w:color="808080" w:themeColor="background1" w:themeShade="80"/>
            </w:tcBorders>
            <w:shd w:val="clear" w:color="auto" w:fill="auto"/>
          </w:tcPr>
          <w:p w:rsidR="00F1690F"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NLM:RXNORM:1100072</w:t>
            </w:r>
          </w:p>
        </w:tc>
        <w:tc>
          <w:tcPr>
            <w:tcW w:w="3164" w:type="dxa"/>
            <w:tcBorders>
              <w:bottom w:val="single" w:sz="4" w:space="0" w:color="808080" w:themeColor="background1" w:themeShade="80"/>
            </w:tcBorders>
            <w:shd w:val="clear" w:color="auto" w:fill="auto"/>
          </w:tcPr>
          <w:p w:rsidR="00F1690F" w:rsidRPr="00381224" w:rsidRDefault="000C5907" w:rsidP="004E0C0C">
            <w:pPr>
              <w:cnfStyle w:val="000000000000" w:firstRow="0" w:lastRow="0" w:firstColumn="0" w:lastColumn="0" w:oddVBand="0" w:evenVBand="0" w:oddHBand="0" w:evenHBand="0" w:firstRowFirstColumn="0" w:firstRowLastColumn="0" w:lastRowFirstColumn="0" w:lastRowLastColumn="0"/>
              <w:rPr>
                <w:bCs/>
                <w:sz w:val="18"/>
                <w:szCs w:val="20"/>
              </w:rPr>
            </w:pPr>
            <w:r>
              <w:rPr>
                <w:bCs/>
                <w:sz w:val="18"/>
                <w:szCs w:val="20"/>
              </w:rPr>
              <w:t>abiraterone</w:t>
            </w:r>
          </w:p>
        </w:tc>
      </w:tr>
      <w:tr w:rsidR="00F1690F" w:rsidRPr="001673AB" w:rsidTr="004E0C0C">
        <w:tc>
          <w:tcPr>
            <w:cnfStyle w:val="001000000000" w:firstRow="0" w:lastRow="0" w:firstColumn="1" w:lastColumn="0" w:oddVBand="0" w:evenVBand="0" w:oddHBand="0" w:evenHBand="0" w:firstRowFirstColumn="0" w:firstRowLastColumn="0" w:lastRowFirstColumn="0" w:lastRowLastColumn="0"/>
            <w:tcW w:w="445" w:type="dxa"/>
            <w:shd w:val="clear" w:color="auto" w:fill="auto"/>
          </w:tcPr>
          <w:p w:rsidR="00F1690F" w:rsidRDefault="000C5907" w:rsidP="004E0C0C">
            <w:pPr>
              <w:rPr>
                <w:b w:val="0"/>
                <w:bCs w:val="0"/>
                <w:sz w:val="18"/>
                <w:szCs w:val="20"/>
              </w:rPr>
            </w:pPr>
          </w:p>
        </w:tc>
        <w:tc>
          <w:tcPr>
            <w:tcW w:w="2160" w:type="dxa"/>
            <w:gridSpan w:val="2"/>
            <w:shd w:val="clear" w:color="auto" w:fill="auto"/>
          </w:tcPr>
          <w:p w:rsidR="00F1690F"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date constraint</w:t>
            </w:r>
          </w:p>
        </w:tc>
        <w:tc>
          <w:tcPr>
            <w:tcW w:w="6755" w:type="dxa"/>
            <w:gridSpan w:val="3"/>
            <w:tcBorders>
              <w:top w:val="single" w:sz="4" w:space="0" w:color="808080" w:themeColor="background1" w:themeShade="80"/>
            </w:tcBorders>
            <w:shd w:val="clear" w:color="auto" w:fill="auto"/>
          </w:tcPr>
          <w:p w:rsidR="00F1690F" w:rsidRDefault="000C5907" w:rsidP="004E0C0C">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The terms in this group occurred between Aug 1, 2013 and Aug 31, 2021</w:t>
            </w:r>
          </w:p>
        </w:tc>
      </w:tr>
    </w:tbl>
    <w:p w:rsidR="00D95971" w:rsidRDefault="00D95971"/>
    <w:p w:rsidR="001D6419" w:rsidRDefault="000C5907"/>
    <w:p w:rsidR="00C81998" w:rsidRDefault="000C5907" w:rsidP="003E394C"/>
    <w:p w:rsidR="00BA2D50" w:rsidRDefault="00BA2D50">
      <w:pPr>
        <w:rPr>
          <w:rFonts w:asciiTheme="majorHAnsi" w:eastAsiaTheme="majorEastAsia" w:hAnsiTheme="majorHAnsi" w:cstheme="majorBidi"/>
          <w:color w:val="1F3763" w:themeColor="accent1" w:themeShade="7F"/>
        </w:rPr>
      </w:pPr>
      <w:r>
        <w:br w:type="page"/>
      </w:r>
    </w:p>
    <w:p w:rsidR="00C81998" w:rsidRDefault="000C5907" w:rsidP="00E1360B">
      <w:pPr>
        <w:pStyle w:val="Heading3"/>
      </w:pPr>
      <w:r>
        <w:lastRenderedPageBreak/>
        <w:t xml:space="preserve">Outcome Definitions </w:t>
      </w:r>
    </w:p>
    <w:p w:rsidR="0015786C" w:rsidRDefault="000C5907" w:rsidP="003E394C">
      <w:r>
        <w:t xml:space="preserve">Table below outlines </w:t>
      </w:r>
      <w:r>
        <w:t xml:space="preserve">the </w:t>
      </w:r>
      <w:r>
        <w:t xml:space="preserve">definitions for each outcome and </w:t>
      </w:r>
      <w:r>
        <w:t xml:space="preserve">the </w:t>
      </w:r>
      <w:r>
        <w:t xml:space="preserve">analysis specifications. </w:t>
      </w:r>
      <w:r>
        <w:t>For o</w:t>
      </w:r>
      <w:r>
        <w:t>utc</w:t>
      </w:r>
      <w:r>
        <w:t>ome definitions consisting of more than one term, at least one term must match.  Please see Appendix C for the text representation of the outcome definitions.</w:t>
      </w:r>
    </w:p>
    <w:p w:rsidR="00163973" w:rsidRDefault="000C5907" w:rsidP="003E394C"/>
    <w:tbl>
      <w:tblPr>
        <w:tblStyle w:val="ListTable2-Accent4"/>
        <w:tblW w:w="9895" w:type="dxa"/>
        <w:tblLook w:val="06A0" w:firstRow="1" w:lastRow="0" w:firstColumn="1" w:lastColumn="0" w:noHBand="1" w:noVBand="1"/>
      </w:tblPr>
      <w:tblGrid>
        <w:gridCol w:w="263"/>
        <w:gridCol w:w="291"/>
        <w:gridCol w:w="1622"/>
        <w:gridCol w:w="2666"/>
        <w:gridCol w:w="5053"/>
      </w:tblGrid>
      <w:tr w:rsidR="00163973" w:rsidRPr="00334888" w:rsidTr="009C7C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Heart Failure</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Heart failure</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excluding patients with outcome prior to the time </w:t>
            </w:r>
            <w:r w:rsidRPr="004F0BA9">
              <w:rPr>
                <w:sz w:val="18"/>
              </w:rPr>
              <w:t>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Number of 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r w:rsidRPr="004F0BA9">
              <w:rPr>
                <w:sz w:val="18"/>
              </w:rPr>
              <w:br/>
              <w:t>excluding patients with zero outcomes</w:t>
            </w:r>
            <w:r w:rsidRPr="004F0BA9">
              <w:rPr>
                <w:sz w:val="18"/>
              </w:rPr>
              <w:br/>
              <w:t>counts are grouped by date</w:t>
            </w: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Heart Failure Exacerbation</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Medication</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NLM:RXNORM:4603</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furosemide (Route: Injectable Product)</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Medication</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NLM:RXNORM:1808</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bumetanide (Route: Injectable Product)</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UMLS:HCPCS:S0171</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Injection, bumetanide, 0.5 mg</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Medication</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NLM:RXNORM:62349</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ethacrynate (Route: Injectable Product)</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Medication</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NLM:RXNORM:38413</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torsemide (Route: Injectable Product)</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UMLS:HCPCS:J3265</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Injection, torsemide, 10 mg/ml</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Medication</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NLM:RXNORM:6916</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metolazone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UMLS:ICD10CM:J81</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Pulmonary edema</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UMLS:ICD10CM:J81.0</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Acute pulmonary edema</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Medication</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NLM:RXNORM:2396</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chlorothiazide (Route: Injectable Product)</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UMLS:ICD10CM:I50.21</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Acute systolic (congestive) heart failure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UMLS:ICD10CM:I50.23</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Acute on </w:t>
            </w:r>
            <w:r w:rsidRPr="004F0BA9">
              <w:rPr>
                <w:sz w:val="18"/>
              </w:rPr>
              <w:t>chronic systolic (congestive) heart failure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UMLS:ICD10CM:I50.31</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Acute diastolic (congestive) heart failure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UMLS:ICD10CM:I50.33</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Acute on chronic diastolic (congestive) heart failure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UMLS:ICD10CM:I50.41</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Acute combined </w:t>
            </w:r>
            <w:r w:rsidRPr="004F0BA9">
              <w:rPr>
                <w:sz w:val="18"/>
              </w:rPr>
              <w:t>systolic (congestive) and diastolic (congestive) heart failure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UMLS:ICD10CM:I50.43</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Acute on chronic combined systolic (congestive) and diastolic (congestive) heart failure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UMLS:ICD10CM:I50.811</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Acute right heart failure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UMLS:ICD10CM:I50.813</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Acute on chronic right heart failure</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including patients with outcome prior to the time </w:t>
            </w:r>
            <w:r w:rsidRPr="004F0BA9">
              <w:rPr>
                <w:sz w:val="18"/>
              </w:rPr>
              <w:t>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Number of 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r w:rsidRPr="004F0BA9">
              <w:rPr>
                <w:sz w:val="18"/>
              </w:rPr>
              <w:br/>
              <w:t>excluding patients with zero outcomes</w:t>
            </w:r>
            <w:r w:rsidRPr="004F0BA9">
              <w:rPr>
                <w:sz w:val="18"/>
              </w:rPr>
              <w:br/>
              <w:t>counts are grouped by date</w:t>
            </w: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ER visit/Hospitalization</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UMLS:HL7V3.0:VisitType:EMER</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Visit: </w:t>
            </w:r>
            <w:r w:rsidRPr="004F0BA9">
              <w:rPr>
                <w:sz w:val="18"/>
              </w:rPr>
              <w:t>Emergency</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UMLS:HL7V3.0:VisitType:ACUTE</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 Inpatient Acute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UMLS:HL7V3.0:VisitType:IMP</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 Inpatient Encounter</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UMLS:HL7V3.0:VisitType:NONAC</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 Inpatient Non-acute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UMLS:HL7V3.0:VisitType:OBSENC</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Visit: Observation </w:t>
            </w:r>
            <w:r w:rsidRPr="004F0BA9">
              <w:rPr>
                <w:sz w:val="18"/>
              </w:rPr>
              <w:t>Encounter</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UMLS:HL7V3.0:VisitType:SS</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Visit: Short Stay</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including patients with outcome prior to the </w:t>
            </w:r>
            <w:r w:rsidRPr="004F0BA9">
              <w:rPr>
                <w:sz w:val="18"/>
              </w:rPr>
              <w:t>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Number of 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r w:rsidRPr="004F0BA9">
              <w:rPr>
                <w:sz w:val="18"/>
              </w:rPr>
              <w:br/>
              <w:t>excluding patients with zero outcomes</w:t>
            </w:r>
            <w:r w:rsidRPr="004F0BA9">
              <w:rPr>
                <w:sz w:val="18"/>
              </w:rPr>
              <w:br/>
              <w:t>counts are grouped by date</w:t>
            </w: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lastRenderedPageBreak/>
              <w:t>Atrial fibrillation/flutter</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UMLS:ICD10CM:I48</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Atrial </w:t>
            </w:r>
            <w:r w:rsidRPr="004F0BA9">
              <w:rPr>
                <w:sz w:val="18"/>
              </w:rPr>
              <w:t>fibrillation and flutter</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Number of instances </w:t>
            </w:r>
            <w:r w:rsidRPr="004F0BA9">
              <w:rPr>
                <w:sz w:val="18"/>
              </w:rPr>
              <w:t>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r w:rsidRPr="004F0BA9">
              <w:rPr>
                <w:sz w:val="18"/>
              </w:rPr>
              <w:br/>
              <w:t>excluding patients with zero outcomes</w:t>
            </w:r>
            <w:r w:rsidRPr="004F0BA9">
              <w:rPr>
                <w:sz w:val="18"/>
              </w:rPr>
              <w:br/>
              <w:t>counts are grouped by date</w:t>
            </w: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Peripheral Arterial Disease</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UMLS:ICD10CM:I70-I79</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Diseases of arteries, arterioles and </w:t>
            </w:r>
            <w:r w:rsidRPr="004F0BA9">
              <w:rPr>
                <w:sz w:val="18"/>
              </w:rPr>
              <w:t>capillaries</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Number of 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excluding </w:t>
            </w:r>
            <w:r w:rsidRPr="004F0BA9">
              <w:rPr>
                <w:sz w:val="18"/>
              </w:rPr>
              <w:t>patients with outcome prior to the time window</w:t>
            </w:r>
            <w:r w:rsidRPr="004F0BA9">
              <w:rPr>
                <w:sz w:val="18"/>
              </w:rPr>
              <w:br/>
              <w:t>excluding patients with zero outcomes</w:t>
            </w:r>
            <w:r w:rsidRPr="004F0BA9">
              <w:rPr>
                <w:sz w:val="18"/>
              </w:rPr>
              <w:br/>
              <w:t>counts are grouped by date</w:t>
            </w: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New Onset LVEF&lt;50%</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Laboratory</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TNX:FINDING:2003</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Left Ventricular Ejection Fraction (LVEF) (%) (at most 50.00 % (most </w:t>
            </w:r>
            <w:r w:rsidRPr="004F0BA9">
              <w:rPr>
                <w:sz w:val="18"/>
              </w:rPr>
              <w:t>recent occurrence))</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Number of 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r w:rsidRPr="004F0BA9">
              <w:rPr>
                <w:sz w:val="18"/>
              </w:rPr>
              <w:br/>
              <w:t>excluding patients with zero outcomes</w:t>
            </w:r>
            <w:r w:rsidRPr="004F0BA9">
              <w:rPr>
                <w:sz w:val="18"/>
              </w:rPr>
              <w:br/>
              <w:t>counts are grouped by date</w:t>
            </w: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Cardiac Arrest</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UMLS:ICD10CM:I46</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Cardiac arrest</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Number of 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including </w:t>
            </w:r>
            <w:r w:rsidRPr="004F0BA9">
              <w:rPr>
                <w:sz w:val="18"/>
              </w:rPr>
              <w:t>patients with outcome prior to the time window</w:t>
            </w:r>
            <w:r w:rsidRPr="004F0BA9">
              <w:rPr>
                <w:sz w:val="18"/>
              </w:rPr>
              <w:br/>
              <w:t>excluding patients with zero outcomes</w:t>
            </w:r>
            <w:r w:rsidRPr="004F0BA9">
              <w:rPr>
                <w:sz w:val="18"/>
              </w:rPr>
              <w:br/>
              <w:t>counts are grouped by date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p>
        </w:tc>
      </w:tr>
      <w:tr w:rsidR="00BA2D50"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BA2D50" w:rsidRPr="004F0BA9" w:rsidRDefault="00BA2D50"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BA2D50" w:rsidRPr="004F0BA9" w:rsidRDefault="00BA2D50" w:rsidP="00163973">
            <w:pPr>
              <w:cnfStyle w:val="000000000000" w:firstRow="0" w:lastRow="0" w:firstColumn="0" w:lastColumn="0" w:oddVBand="0" w:evenVBand="0" w:oddHBand="0" w:evenHBand="0" w:firstRowFirstColumn="0" w:firstRowLastColumn="0" w:lastRowFirstColumn="0" w:lastRowLastColumn="0"/>
              <w:rPr>
                <w:sz w:val="18"/>
              </w:rPr>
            </w:pPr>
          </w:p>
        </w:tc>
        <w:tc>
          <w:tcPr>
            <w:tcW w:w="5053" w:type="dxa"/>
            <w:tcBorders>
              <w:top w:val="single" w:sz="4" w:space="0" w:color="808080" w:themeColor="background1" w:themeShade="80"/>
              <w:bottom w:val="single" w:sz="4" w:space="0" w:color="808080" w:themeColor="background1" w:themeShade="80"/>
            </w:tcBorders>
          </w:tcPr>
          <w:p w:rsidR="00BA2D50" w:rsidRPr="004F0BA9" w:rsidRDefault="00BA2D50" w:rsidP="00163973">
            <w:pPr>
              <w:cnfStyle w:val="000000000000" w:firstRow="0" w:lastRow="0" w:firstColumn="0" w:lastColumn="0" w:oddVBand="0" w:evenVBand="0" w:oddHBand="0" w:evenHBand="0" w:firstRowFirstColumn="0" w:firstRowLastColumn="0" w:lastRowFirstColumn="0" w:lastRowLastColumn="0"/>
              <w:rPr>
                <w:sz w:val="18"/>
              </w:rPr>
            </w:pP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All-cause mortality</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Demographics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Deceased</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Deceased</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Kaplan - Meier survival </w:t>
            </w:r>
            <w:r w:rsidRPr="004F0BA9">
              <w:rPr>
                <w:sz w:val="18"/>
              </w:rPr>
              <w:t>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Number of 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r w:rsidRPr="004F0BA9">
              <w:rPr>
                <w:sz w:val="18"/>
              </w:rPr>
              <w:br/>
              <w:t>excluding patients with zero outcomes</w:t>
            </w:r>
            <w:r w:rsidRPr="004F0BA9">
              <w:rPr>
                <w:sz w:val="18"/>
              </w:rPr>
              <w:br/>
              <w:t>counts are grouped by date</w:t>
            </w: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Acute myocardial infarction</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UMLS:ICD10CM:I21</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Acute myocardial infarction</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excluding patients with outcome </w:t>
            </w:r>
            <w:r w:rsidRPr="004F0BA9">
              <w:rPr>
                <w:sz w:val="18"/>
              </w:rPr>
              <w:t>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Number of 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r w:rsidRPr="004F0BA9">
              <w:rPr>
                <w:sz w:val="18"/>
              </w:rPr>
              <w:br/>
              <w:t>excluding patients with zero outcomes</w:t>
            </w:r>
            <w:r w:rsidRPr="004F0BA9">
              <w:rPr>
                <w:sz w:val="18"/>
              </w:rPr>
              <w:br/>
              <w:t>counts are grouped by date</w:t>
            </w: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lastRenderedPageBreak/>
              <w:t>Composite outcome: AMI, HF, PAD, Mortality</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UMLS:ICD10CM:I70-I79</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Diseases of arteries, arterioles and capillaries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UMLS:ICD10CM:I21</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Acute myocardial infarction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UMLS:ICD10CM:I50</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Heart failure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Demographics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Deceased</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Deceased</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Number of </w:t>
            </w:r>
            <w:r w:rsidRPr="004F0BA9">
              <w:rPr>
                <w:sz w:val="18"/>
              </w:rPr>
              <w:t>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r w:rsidRPr="004F0BA9">
              <w:rPr>
                <w:sz w:val="18"/>
              </w:rPr>
              <w:br/>
              <w:t>excluding patients with zero outcomes</w:t>
            </w:r>
            <w:r w:rsidRPr="004F0BA9">
              <w:rPr>
                <w:sz w:val="18"/>
              </w:rPr>
              <w:br/>
              <w:t>counts are grouped by date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Renal replacement therapy</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UMLS:SNOMED:714749008</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Continuous renal replacement therapy</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UMLS:SNOMED:895382009</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Prolonged intermittent renal replacement </w:t>
            </w:r>
            <w:r w:rsidRPr="004F0BA9">
              <w:rPr>
                <w:sz w:val="18"/>
              </w:rPr>
              <w:t>therapy</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UMLS:ICD10CM:Z49.01</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Encounter for fitting and adjustment of extracorporeal dialysis catheter</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UMLS:CPT:90945</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Dialysis procedure other than hemodialysis (eg, peritoneal dialysis, hemofiltration, or other continuous renal repla</w:t>
            </w:r>
            <w:r w:rsidRPr="004F0BA9">
              <w:rPr>
                <w:sz w:val="18"/>
              </w:rPr>
              <w:t>cement therapies), with single evaluation by a physician or other qualified health care professional</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UMLS:CPT:90947</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Dialysis procedure other than hemodialysis (eg, peritoneal dialysis, hemofiltration, or other continuous renal replacement </w:t>
            </w:r>
            <w:r w:rsidRPr="004F0BA9">
              <w:rPr>
                <w:sz w:val="18"/>
              </w:rPr>
              <w:t>therapies) requiring repeated evaluations by a physician or other qualified health care professional, with or without substantial revision of dialysis prescription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UMLS:CPT:1012752</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Hemodialysis Procedures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UMLS:CPT:90935</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Hemodialysis</w:t>
            </w:r>
            <w:r w:rsidRPr="004F0BA9">
              <w:rPr>
                <w:sz w:val="18"/>
              </w:rPr>
              <w:t xml:space="preserve"> procedure with single evaluation by a physician or other qualified health care professional</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UMLS:ICD9CM:39.95</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Hemodialysis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UMLS:SNOMED:302497006</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Hemodialysis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UMLS:SNOMED:68341005</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Hemodialysis, supervision at home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UMLS:ICD10CM:Z99.2</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Dependence on renal dialysis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UMLS:SNOMED:233578004</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Continuous hemodialysis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UMLS:CPT:99512</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Home visit for hemodialysis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Procedure</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UMLS:SNOMED:233579007</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Continuous arteriovenous hemodialysis</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Settings </w:t>
            </w:r>
            <w:r w:rsidRPr="00163973">
              <w:rPr>
                <w:b/>
                <w:sz w:val="18"/>
              </w:rPr>
              <w:t>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Kaplan - Meier 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including patients with outcome prior to the time window</w:t>
            </w:r>
          </w:p>
        </w:tc>
      </w:tr>
      <w:tr w:rsidR="00BA2D50"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BA2D50" w:rsidRPr="004F0BA9" w:rsidRDefault="00BA2D50"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BA2D50" w:rsidRPr="004F0BA9" w:rsidRDefault="00BA2D50" w:rsidP="00163973">
            <w:pPr>
              <w:cnfStyle w:val="000000000000" w:firstRow="0" w:lastRow="0" w:firstColumn="0" w:lastColumn="0" w:oddVBand="0" w:evenVBand="0" w:oddHBand="0" w:evenHBand="0" w:firstRowFirstColumn="0" w:firstRowLastColumn="0" w:lastRowFirstColumn="0" w:lastRowLastColumn="0"/>
              <w:rPr>
                <w:sz w:val="18"/>
              </w:rPr>
            </w:pPr>
          </w:p>
        </w:tc>
        <w:tc>
          <w:tcPr>
            <w:tcW w:w="5053" w:type="dxa"/>
            <w:tcBorders>
              <w:top w:val="single" w:sz="4" w:space="0" w:color="808080" w:themeColor="background1" w:themeShade="80"/>
              <w:bottom w:val="single" w:sz="4" w:space="0" w:color="808080" w:themeColor="background1" w:themeShade="80"/>
            </w:tcBorders>
          </w:tcPr>
          <w:p w:rsidR="00BA2D50" w:rsidRPr="004F0BA9" w:rsidRDefault="00BA2D50" w:rsidP="00163973">
            <w:pPr>
              <w:cnfStyle w:val="000000000000" w:firstRow="0" w:lastRow="0" w:firstColumn="0" w:lastColumn="0" w:oddVBand="0" w:evenVBand="0" w:oddHBand="0" w:evenHBand="0" w:firstRowFirstColumn="0" w:firstRowLastColumn="0" w:lastRowFirstColumn="0" w:lastRowLastColumn="0"/>
              <w:rPr>
                <w:sz w:val="18"/>
              </w:rPr>
            </w:pPr>
          </w:p>
        </w:tc>
      </w:tr>
      <w:tr w:rsidR="00163973" w:rsidRPr="00334888" w:rsidTr="009C7C85">
        <w:tc>
          <w:tcPr>
            <w:cnfStyle w:val="001000000000" w:firstRow="0" w:lastRow="0" w:firstColumn="1" w:lastColumn="0" w:oddVBand="0" w:evenVBand="0" w:oddHBand="0" w:evenHBand="0" w:firstRowFirstColumn="0" w:firstRowLastColumn="0" w:lastRowFirstColumn="0" w:lastRowLastColumn="0"/>
            <w:tcW w:w="9895" w:type="dxa"/>
            <w:gridSpan w:val="5"/>
            <w:tcBorders>
              <w:top w:val="single" w:sz="4" w:space="0" w:color="808080" w:themeColor="background1" w:themeShade="80"/>
              <w:bottom w:val="single" w:sz="4" w:space="0" w:color="808080" w:themeColor="background1" w:themeShade="80"/>
            </w:tcBorders>
            <w:shd w:val="clear" w:color="auto" w:fill="BFBFBF" w:themeFill="background1" w:themeFillShade="BF"/>
          </w:tcPr>
          <w:p w:rsidR="00163973" w:rsidRPr="00334888" w:rsidRDefault="000C5907" w:rsidP="00AC2B5B">
            <w:pPr>
              <w:rPr>
                <w:sz w:val="18"/>
              </w:rPr>
            </w:pPr>
            <w:r w:rsidRPr="007F7B85">
              <w:rPr>
                <w:sz w:val="18"/>
                <w:shd w:val="clear" w:color="auto" w:fill="BFBFBF" w:themeFill="background1" w:themeFillShade="BF"/>
              </w:rPr>
              <w:t>Ischemic Stroke</w:t>
            </w:r>
          </w:p>
        </w:tc>
      </w:tr>
      <w:tr w:rsidR="00163973" w:rsidRPr="00163973" w:rsidTr="00BA2D50">
        <w:tc>
          <w:tcPr>
            <w:cnfStyle w:val="001000000000" w:firstRow="0" w:lastRow="0" w:firstColumn="1" w:lastColumn="0" w:oddVBand="0" w:evenVBand="0" w:oddHBand="0" w:evenHBand="0" w:firstRowFirstColumn="0" w:firstRowLastColumn="0" w:lastRowFirstColumn="0" w:lastRowLastColumn="0"/>
            <w:tcW w:w="263" w:type="dxa"/>
            <w:tcBorders>
              <w:top w:val="single" w:sz="4" w:space="0" w:color="808080" w:themeColor="background1" w:themeShade="80"/>
              <w:bottom w:val="nil"/>
            </w:tcBorders>
            <w:shd w:val="clear" w:color="auto" w:fill="auto"/>
          </w:tcPr>
          <w:p w:rsidR="00163973" w:rsidRPr="00163973" w:rsidRDefault="000C5907" w:rsidP="00163973">
            <w:pPr>
              <w:rPr>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 xml:space="preserve"> </w:t>
            </w:r>
            <w:r w:rsidRPr="00EF01FB">
              <w:rPr>
                <w:b/>
                <w:sz w:val="18"/>
              </w:rPr>
              <w:t>Outcome definition</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1622"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Diagnosis</w:t>
            </w:r>
          </w:p>
        </w:tc>
        <w:tc>
          <w:tcPr>
            <w:tcW w:w="2666" w:type="dxa"/>
            <w:tcBorders>
              <w:top w:val="single" w:sz="4" w:space="0" w:color="7F7F7F" w:themeColor="text1" w:themeTint="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UMLS:ICD10CM:I63</w:t>
            </w:r>
          </w:p>
        </w:tc>
        <w:tc>
          <w:tcPr>
            <w:tcW w:w="5053" w:type="dxa"/>
            <w:tcBorders>
              <w:top w:val="single" w:sz="4" w:space="0" w:color="7F7F7F" w:themeColor="text1" w:themeTint="80"/>
              <w:bottom w:val="single" w:sz="4" w:space="0" w:color="7F7F7F" w:themeColor="text1" w:themeTint="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Cerebral infarction</w:t>
            </w:r>
          </w:p>
        </w:tc>
      </w:tr>
      <w:tr w:rsidR="00163973" w:rsidRPr="00334888" w:rsidTr="00BA2D50">
        <w:tc>
          <w:tcPr>
            <w:cnfStyle w:val="001000000000" w:firstRow="0" w:lastRow="0" w:firstColumn="1" w:lastColumn="0" w:oddVBand="0" w:evenVBand="0" w:oddHBand="0" w:evenHBand="0" w:firstRowFirstColumn="0" w:firstRowLastColumn="0" w:lastRowFirstColumn="0" w:lastRowLastColumn="0"/>
            <w:tcW w:w="263" w:type="dxa"/>
            <w:tcBorders>
              <w:top w:val="nil"/>
              <w:bottom w:val="nil"/>
            </w:tcBorders>
            <w:shd w:val="clear" w:color="auto" w:fill="auto"/>
          </w:tcPr>
          <w:p w:rsidR="00163973" w:rsidRPr="00334888" w:rsidRDefault="000C5907" w:rsidP="00163973">
            <w:pPr>
              <w:rPr>
                <w:b w:val="0"/>
                <w:bCs w:val="0"/>
                <w:sz w:val="18"/>
              </w:rPr>
            </w:pPr>
          </w:p>
        </w:tc>
        <w:tc>
          <w:tcPr>
            <w:tcW w:w="9632" w:type="dxa"/>
            <w:gridSpan w:val="4"/>
            <w:tcBorders>
              <w:top w:val="single" w:sz="4" w:space="0" w:color="808080" w:themeColor="background1" w:themeShade="80"/>
              <w:bottom w:val="single" w:sz="4" w:space="0" w:color="808080" w:themeColor="background1" w:themeShade="80"/>
            </w:tcBorders>
            <w:shd w:val="clear" w:color="auto" w:fill="auto"/>
          </w:tcPr>
          <w:p w:rsidR="00163973" w:rsidRPr="00163973" w:rsidRDefault="000C5907" w:rsidP="00163973">
            <w:pPr>
              <w:cnfStyle w:val="000000000000" w:firstRow="0" w:lastRow="0" w:firstColumn="0" w:lastColumn="0" w:oddVBand="0" w:evenVBand="0" w:oddHBand="0" w:evenHBand="0" w:firstRowFirstColumn="0" w:firstRowLastColumn="0" w:lastRowFirstColumn="0" w:lastRowLastColumn="0"/>
              <w:rPr>
                <w:b/>
                <w:sz w:val="18"/>
              </w:rPr>
            </w:pPr>
            <w:r w:rsidRPr="00163973">
              <w:rPr>
                <w:b/>
                <w:sz w:val="18"/>
              </w:rPr>
              <w:t>Settings for the performed analyses</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Number of instances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r w:rsidRPr="004F0BA9">
              <w:rPr>
                <w:sz w:val="18"/>
              </w:rPr>
              <w:br/>
              <w:t>excluding patients with zero outcomes</w:t>
            </w:r>
            <w:r w:rsidRPr="004F0BA9">
              <w:rPr>
                <w:sz w:val="18"/>
              </w:rPr>
              <w:br/>
              <w:t>counts are grouped by date</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 xml:space="preserve">Kaplan - Meier </w:t>
            </w:r>
            <w:r w:rsidRPr="004F0BA9">
              <w:rPr>
                <w:sz w:val="18"/>
              </w:rPr>
              <w:t>survival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r w:rsidR="00AF24DF" w:rsidRPr="004F0BA9" w:rsidTr="00BA2D50">
        <w:tc>
          <w:tcPr>
            <w:cnfStyle w:val="001000000000" w:firstRow="0" w:lastRow="0" w:firstColumn="1" w:lastColumn="0" w:oddVBand="0" w:evenVBand="0" w:oddHBand="0" w:evenHBand="0" w:firstRowFirstColumn="0" w:firstRowLastColumn="0" w:lastRowFirstColumn="0" w:lastRowLastColumn="0"/>
            <w:tcW w:w="554" w:type="dxa"/>
            <w:gridSpan w:val="2"/>
            <w:tcBorders>
              <w:top w:val="nil"/>
              <w:bottom w:val="nil"/>
            </w:tcBorders>
          </w:tcPr>
          <w:p w:rsidR="00163973" w:rsidRPr="004F0BA9" w:rsidRDefault="000C5907" w:rsidP="00163973">
            <w:pPr>
              <w:rPr>
                <w:b w:val="0"/>
                <w:sz w:val="18"/>
              </w:rPr>
            </w:pPr>
          </w:p>
        </w:tc>
        <w:tc>
          <w:tcPr>
            <w:tcW w:w="4288" w:type="dxa"/>
            <w:gridSpan w:val="2"/>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Risk analysis</w:t>
            </w:r>
          </w:p>
        </w:tc>
        <w:tc>
          <w:tcPr>
            <w:tcW w:w="5053" w:type="dxa"/>
            <w:tcBorders>
              <w:top w:val="single" w:sz="4" w:space="0" w:color="808080" w:themeColor="background1" w:themeShade="80"/>
              <w:bottom w:val="single" w:sz="4" w:space="0" w:color="808080" w:themeColor="background1" w:themeShade="80"/>
            </w:tcBorders>
          </w:tcPr>
          <w:p w:rsidR="00163973" w:rsidRPr="004F0BA9" w:rsidRDefault="000C5907" w:rsidP="00163973">
            <w:pPr>
              <w:cnfStyle w:val="000000000000" w:firstRow="0" w:lastRow="0" w:firstColumn="0" w:lastColumn="0" w:oddVBand="0" w:evenVBand="0" w:oddHBand="0" w:evenHBand="0" w:firstRowFirstColumn="0" w:firstRowLastColumn="0" w:lastRowFirstColumn="0" w:lastRowLastColumn="0"/>
              <w:rPr>
                <w:sz w:val="18"/>
              </w:rPr>
            </w:pPr>
            <w:r w:rsidRPr="004F0BA9">
              <w:rPr>
                <w:sz w:val="18"/>
              </w:rPr>
              <w:t>excluding patients with outcome prior to the time window</w:t>
            </w:r>
          </w:p>
        </w:tc>
      </w:tr>
    </w:tbl>
    <w:p w:rsidR="00DB6701" w:rsidRDefault="000C5907" w:rsidP="006D2826">
      <w:pPr>
        <w:pStyle w:val="Heading2"/>
      </w:pPr>
    </w:p>
    <w:p w:rsidR="00BA2D50" w:rsidRDefault="00BA2D50">
      <w:pPr>
        <w:rPr>
          <w:rFonts w:asciiTheme="majorHAnsi" w:eastAsiaTheme="majorEastAsia" w:hAnsiTheme="majorHAnsi" w:cstheme="majorBidi"/>
          <w:color w:val="2F5496" w:themeColor="accent1" w:themeShade="BF"/>
          <w:sz w:val="26"/>
          <w:szCs w:val="26"/>
        </w:rPr>
      </w:pPr>
      <w:r>
        <w:br w:type="page"/>
      </w:r>
    </w:p>
    <w:p w:rsidR="001B73D2" w:rsidRDefault="000C5907" w:rsidP="006D2826">
      <w:pPr>
        <w:pStyle w:val="Heading2"/>
      </w:pPr>
      <w:r>
        <w:lastRenderedPageBreak/>
        <w:t>Propensity Score Matching</w:t>
      </w:r>
    </w:p>
    <w:p w:rsidR="00E72C06" w:rsidRDefault="000C5907" w:rsidP="00F14284"/>
    <w:tbl>
      <w:tblPr>
        <w:tblStyle w:val="ListTable2-Accent4"/>
        <w:tblW w:w="9360" w:type="dxa"/>
        <w:tblBorders>
          <w:top w:val="none" w:sz="0" w:space="0" w:color="auto"/>
          <w:bottom w:val="none" w:sz="0" w:space="0" w:color="auto"/>
          <w:insideH w:val="none" w:sz="0" w:space="0" w:color="auto"/>
        </w:tblBorders>
        <w:tblLayout w:type="fixed"/>
        <w:tblCellMar>
          <w:top w:w="29" w:type="dxa"/>
          <w:left w:w="58" w:type="dxa"/>
          <w:bottom w:w="29" w:type="dxa"/>
          <w:right w:w="58" w:type="dxa"/>
        </w:tblCellMar>
        <w:tblLook w:val="0600" w:firstRow="0" w:lastRow="0" w:firstColumn="0" w:lastColumn="0" w:noHBand="1" w:noVBand="1"/>
      </w:tblPr>
      <w:tblGrid>
        <w:gridCol w:w="353"/>
        <w:gridCol w:w="455"/>
        <w:gridCol w:w="3237"/>
        <w:gridCol w:w="1039"/>
        <w:gridCol w:w="1932"/>
        <w:gridCol w:w="2344"/>
      </w:tblGrid>
      <w:tr w:rsidR="003F3260" w:rsidRPr="002066FC" w:rsidTr="00D202CB">
        <w:tc>
          <w:tcPr>
            <w:tcW w:w="9360" w:type="dxa"/>
            <w:gridSpan w:val="6"/>
            <w:tcBorders>
              <w:top w:val="single" w:sz="4" w:space="0" w:color="808080" w:themeColor="background1" w:themeShade="80"/>
              <w:bottom w:val="single" w:sz="4" w:space="0" w:color="808080" w:themeColor="background1" w:themeShade="80"/>
            </w:tcBorders>
            <w:shd w:val="clear" w:color="auto" w:fill="BFBFBF" w:themeFill="background1" w:themeFillShade="BF"/>
          </w:tcPr>
          <w:p w:rsidR="003F3260" w:rsidRPr="002066FC" w:rsidRDefault="000C5907" w:rsidP="0008744A">
            <w:pPr>
              <w:rPr>
                <w:b/>
                <w:color w:val="000000" w:themeColor="text1"/>
                <w:sz w:val="18"/>
              </w:rPr>
            </w:pPr>
            <w:r>
              <w:rPr>
                <w:b/>
                <w:color w:val="000000" w:themeColor="text1"/>
                <w:sz w:val="18"/>
              </w:rPr>
              <w:t xml:space="preserve">Cohort 1 and cohort 2 patient count before and after propensity score </w:t>
            </w:r>
            <w:r>
              <w:rPr>
                <w:b/>
                <w:color w:val="000000" w:themeColor="text1"/>
                <w:sz w:val="18"/>
              </w:rPr>
              <w:t>matching</w:t>
            </w:r>
          </w:p>
        </w:tc>
      </w:tr>
      <w:tr w:rsidR="003F3260" w:rsidRPr="002066FC" w:rsidTr="00D202CB">
        <w:tc>
          <w:tcPr>
            <w:tcW w:w="808" w:type="dxa"/>
            <w:gridSpan w:val="2"/>
            <w:tcBorders>
              <w:top w:val="single" w:sz="4" w:space="0" w:color="808080" w:themeColor="background1" w:themeShade="80"/>
            </w:tcBorders>
            <w:shd w:val="clear" w:color="auto" w:fill="auto"/>
          </w:tcPr>
          <w:p w:rsidR="003F3260" w:rsidRDefault="000C5907" w:rsidP="0008744A">
            <w:pPr>
              <w:rPr>
                <w:b/>
                <w:color w:val="000000" w:themeColor="text1"/>
                <w:sz w:val="18"/>
              </w:rPr>
            </w:pPr>
          </w:p>
        </w:tc>
        <w:tc>
          <w:tcPr>
            <w:tcW w:w="3237" w:type="dxa"/>
            <w:tcBorders>
              <w:top w:val="single" w:sz="4" w:space="0" w:color="808080" w:themeColor="background1" w:themeShade="80"/>
              <w:bottom w:val="single" w:sz="4" w:space="0" w:color="808080" w:themeColor="background1" w:themeShade="80"/>
            </w:tcBorders>
            <w:shd w:val="clear" w:color="auto" w:fill="auto"/>
          </w:tcPr>
          <w:p w:rsidR="003F3260" w:rsidRPr="000F2181" w:rsidRDefault="000C5907" w:rsidP="0008744A">
            <w:pPr>
              <w:rPr>
                <w:color w:val="000000" w:themeColor="text1"/>
                <w:sz w:val="18"/>
              </w:rPr>
            </w:pPr>
            <w:r w:rsidRPr="000F2181">
              <w:rPr>
                <w:color w:val="000000" w:themeColor="text1"/>
                <w:sz w:val="18"/>
              </w:rPr>
              <w:t>Cohort</w:t>
            </w:r>
          </w:p>
        </w:tc>
        <w:tc>
          <w:tcPr>
            <w:tcW w:w="2971" w:type="dxa"/>
            <w:gridSpan w:val="2"/>
            <w:tcBorders>
              <w:top w:val="single" w:sz="4" w:space="0" w:color="808080" w:themeColor="background1" w:themeShade="80"/>
              <w:bottom w:val="single" w:sz="4" w:space="0" w:color="808080" w:themeColor="background1" w:themeShade="80"/>
            </w:tcBorders>
            <w:shd w:val="clear" w:color="auto" w:fill="auto"/>
          </w:tcPr>
          <w:p w:rsidR="003F3260" w:rsidRPr="000F2181" w:rsidRDefault="000C5907" w:rsidP="0008744A">
            <w:pPr>
              <w:jc w:val="center"/>
              <w:rPr>
                <w:color w:val="000000" w:themeColor="text1"/>
                <w:sz w:val="18"/>
              </w:rPr>
            </w:pPr>
            <w:r w:rsidRPr="000F2181">
              <w:rPr>
                <w:color w:val="000000" w:themeColor="text1"/>
                <w:sz w:val="18"/>
              </w:rPr>
              <w:t>Patient count before matching</w:t>
            </w:r>
          </w:p>
        </w:tc>
        <w:tc>
          <w:tcPr>
            <w:tcW w:w="2344" w:type="dxa"/>
            <w:tcBorders>
              <w:top w:val="single" w:sz="4" w:space="0" w:color="808080" w:themeColor="background1" w:themeShade="80"/>
              <w:bottom w:val="single" w:sz="4" w:space="0" w:color="808080" w:themeColor="background1" w:themeShade="80"/>
            </w:tcBorders>
            <w:shd w:val="clear" w:color="auto" w:fill="auto"/>
          </w:tcPr>
          <w:p w:rsidR="003F3260" w:rsidRPr="000F2181" w:rsidRDefault="000C5907" w:rsidP="0008744A">
            <w:pPr>
              <w:jc w:val="center"/>
              <w:rPr>
                <w:color w:val="000000" w:themeColor="text1"/>
                <w:sz w:val="18"/>
              </w:rPr>
            </w:pPr>
            <w:r w:rsidRPr="000F2181">
              <w:rPr>
                <w:color w:val="000000" w:themeColor="text1"/>
                <w:sz w:val="18"/>
              </w:rPr>
              <w:t>Patient count after matching</w:t>
            </w:r>
          </w:p>
        </w:tc>
      </w:tr>
      <w:tr w:rsidR="003F3260" w:rsidRPr="002066FC" w:rsidTr="00D202CB">
        <w:tc>
          <w:tcPr>
            <w:tcW w:w="808" w:type="dxa"/>
            <w:gridSpan w:val="2"/>
            <w:shd w:val="clear" w:color="auto" w:fill="auto"/>
          </w:tcPr>
          <w:p w:rsidR="003F3260" w:rsidRDefault="000C5907" w:rsidP="0008744A">
            <w:pPr>
              <w:rPr>
                <w:b/>
                <w:color w:val="000000" w:themeColor="text1"/>
                <w:sz w:val="18"/>
              </w:rPr>
            </w:pPr>
          </w:p>
        </w:tc>
        <w:tc>
          <w:tcPr>
            <w:tcW w:w="3237" w:type="dxa"/>
            <w:tcBorders>
              <w:top w:val="single" w:sz="4" w:space="0" w:color="808080" w:themeColor="background1" w:themeShade="80"/>
            </w:tcBorders>
            <w:shd w:val="clear" w:color="auto" w:fill="auto"/>
          </w:tcPr>
          <w:p w:rsidR="003F3260" w:rsidRPr="000F2181" w:rsidRDefault="000C5907" w:rsidP="0008744A">
            <w:pPr>
              <w:rPr>
                <w:color w:val="000000" w:themeColor="text1"/>
                <w:sz w:val="18"/>
              </w:rPr>
            </w:pPr>
            <w:r>
              <w:rPr>
                <w:color w:val="000000" w:themeColor="text1"/>
                <w:sz w:val="18"/>
              </w:rPr>
              <w:t>1 - On SGLT2i</w:t>
            </w:r>
          </w:p>
        </w:tc>
        <w:tc>
          <w:tcPr>
            <w:tcW w:w="2971" w:type="dxa"/>
            <w:gridSpan w:val="2"/>
            <w:tcBorders>
              <w:top w:val="single" w:sz="4" w:space="0" w:color="808080" w:themeColor="background1" w:themeShade="80"/>
            </w:tcBorders>
            <w:shd w:val="clear" w:color="auto" w:fill="auto"/>
          </w:tcPr>
          <w:p w:rsidR="003F3260" w:rsidRPr="000F2181" w:rsidRDefault="000C5907" w:rsidP="0008744A">
            <w:pPr>
              <w:jc w:val="center"/>
              <w:rPr>
                <w:color w:val="000000" w:themeColor="text1"/>
                <w:sz w:val="18"/>
              </w:rPr>
            </w:pPr>
            <w:r>
              <w:rPr>
                <w:color w:val="000000" w:themeColor="text1"/>
                <w:sz w:val="18"/>
              </w:rPr>
              <w:t>2,741</w:t>
            </w:r>
          </w:p>
        </w:tc>
        <w:tc>
          <w:tcPr>
            <w:tcW w:w="2344" w:type="dxa"/>
            <w:tcBorders>
              <w:top w:val="single" w:sz="4" w:space="0" w:color="808080" w:themeColor="background1" w:themeShade="80"/>
            </w:tcBorders>
            <w:shd w:val="clear" w:color="auto" w:fill="auto"/>
          </w:tcPr>
          <w:p w:rsidR="003F3260" w:rsidRPr="000F2181" w:rsidRDefault="000C5907" w:rsidP="0008744A">
            <w:pPr>
              <w:jc w:val="center"/>
              <w:rPr>
                <w:color w:val="000000" w:themeColor="text1"/>
                <w:sz w:val="18"/>
              </w:rPr>
            </w:pPr>
            <w:r>
              <w:rPr>
                <w:color w:val="000000" w:themeColor="text1"/>
                <w:sz w:val="18"/>
              </w:rPr>
              <w:t>2,155</w:t>
            </w:r>
          </w:p>
        </w:tc>
      </w:tr>
      <w:tr w:rsidR="003F3260" w:rsidRPr="002066FC" w:rsidTr="00D202CB">
        <w:tc>
          <w:tcPr>
            <w:tcW w:w="808" w:type="dxa"/>
            <w:gridSpan w:val="2"/>
            <w:tcBorders>
              <w:bottom w:val="single" w:sz="4" w:space="0" w:color="808080" w:themeColor="background1" w:themeShade="80"/>
            </w:tcBorders>
            <w:shd w:val="clear" w:color="auto" w:fill="auto"/>
          </w:tcPr>
          <w:p w:rsidR="003F3260" w:rsidRDefault="000C5907" w:rsidP="0008744A">
            <w:pPr>
              <w:rPr>
                <w:b/>
                <w:color w:val="000000" w:themeColor="text1"/>
                <w:sz w:val="18"/>
              </w:rPr>
            </w:pPr>
          </w:p>
        </w:tc>
        <w:tc>
          <w:tcPr>
            <w:tcW w:w="3237" w:type="dxa"/>
            <w:tcBorders>
              <w:bottom w:val="single" w:sz="4" w:space="0" w:color="808080" w:themeColor="background1" w:themeShade="80"/>
            </w:tcBorders>
            <w:shd w:val="clear" w:color="auto" w:fill="auto"/>
          </w:tcPr>
          <w:p w:rsidR="003F3260" w:rsidRPr="000F2181" w:rsidRDefault="000C5907" w:rsidP="0008744A">
            <w:pPr>
              <w:rPr>
                <w:color w:val="000000" w:themeColor="text1"/>
                <w:sz w:val="18"/>
              </w:rPr>
            </w:pPr>
            <w:r>
              <w:rPr>
                <w:color w:val="000000" w:themeColor="text1"/>
                <w:sz w:val="18"/>
              </w:rPr>
              <w:t>2 - Not on SGLT2i</w:t>
            </w:r>
          </w:p>
        </w:tc>
        <w:tc>
          <w:tcPr>
            <w:tcW w:w="2971" w:type="dxa"/>
            <w:gridSpan w:val="2"/>
            <w:tcBorders>
              <w:bottom w:val="single" w:sz="4" w:space="0" w:color="808080" w:themeColor="background1" w:themeShade="80"/>
            </w:tcBorders>
            <w:shd w:val="clear" w:color="auto" w:fill="auto"/>
          </w:tcPr>
          <w:p w:rsidR="003F3260" w:rsidRPr="000F2181" w:rsidRDefault="000C5907" w:rsidP="0008744A">
            <w:pPr>
              <w:jc w:val="center"/>
              <w:rPr>
                <w:color w:val="000000" w:themeColor="text1"/>
                <w:sz w:val="18"/>
              </w:rPr>
            </w:pPr>
            <w:r>
              <w:rPr>
                <w:color w:val="000000" w:themeColor="text1"/>
                <w:sz w:val="18"/>
              </w:rPr>
              <w:t>24,107</w:t>
            </w:r>
          </w:p>
        </w:tc>
        <w:tc>
          <w:tcPr>
            <w:tcW w:w="2344" w:type="dxa"/>
            <w:tcBorders>
              <w:bottom w:val="single" w:sz="4" w:space="0" w:color="FFC000" w:themeColor="accent4"/>
            </w:tcBorders>
            <w:shd w:val="clear" w:color="auto" w:fill="auto"/>
          </w:tcPr>
          <w:p w:rsidR="003F3260" w:rsidRPr="000F2181" w:rsidRDefault="000C5907" w:rsidP="0008744A">
            <w:pPr>
              <w:jc w:val="center"/>
              <w:rPr>
                <w:color w:val="000000" w:themeColor="text1"/>
                <w:sz w:val="18"/>
              </w:rPr>
            </w:pPr>
            <w:r>
              <w:rPr>
                <w:color w:val="000000" w:themeColor="text1"/>
                <w:sz w:val="18"/>
              </w:rPr>
              <w:t>2,155</w:t>
            </w:r>
          </w:p>
        </w:tc>
      </w:tr>
      <w:tr w:rsidR="003F3260" w:rsidRPr="002066FC" w:rsidTr="00D202CB">
        <w:tc>
          <w:tcPr>
            <w:tcW w:w="9360" w:type="dxa"/>
            <w:gridSpan w:val="6"/>
            <w:tcBorders>
              <w:top w:val="single" w:sz="4" w:space="0" w:color="808080" w:themeColor="background1" w:themeShade="80"/>
              <w:bottom w:val="single" w:sz="4" w:space="0" w:color="808080" w:themeColor="background1" w:themeShade="80"/>
            </w:tcBorders>
            <w:shd w:val="clear" w:color="auto" w:fill="BFBFBF" w:themeFill="background1" w:themeFillShade="BF"/>
          </w:tcPr>
          <w:p w:rsidR="003F3260" w:rsidRPr="002066FC" w:rsidRDefault="000C5907" w:rsidP="0008744A">
            <w:pPr>
              <w:rPr>
                <w:b/>
                <w:color w:val="000000" w:themeColor="text1"/>
                <w:sz w:val="18"/>
              </w:rPr>
            </w:pPr>
            <w:r>
              <w:rPr>
                <w:b/>
                <w:color w:val="000000" w:themeColor="text1"/>
                <w:sz w:val="18"/>
              </w:rPr>
              <w:t>Propensity score density function - Before and after matching (cohort 1 - purple, cohort 2 - green)</w:t>
            </w:r>
          </w:p>
        </w:tc>
      </w:tr>
      <w:tr w:rsidR="005E5BA3" w:rsidRPr="002066FC" w:rsidTr="00D202CB">
        <w:tc>
          <w:tcPr>
            <w:tcW w:w="353" w:type="dxa"/>
            <w:tcMar>
              <w:top w:w="58" w:type="dxa"/>
              <w:bottom w:w="58" w:type="dxa"/>
            </w:tcMar>
          </w:tcPr>
          <w:p w:rsidR="005E5BA3" w:rsidRPr="002066FC" w:rsidRDefault="000C5907" w:rsidP="0008744A">
            <w:pPr>
              <w:rPr>
                <w:color w:val="000000" w:themeColor="text1"/>
                <w:sz w:val="18"/>
              </w:rPr>
            </w:pPr>
          </w:p>
        </w:tc>
        <w:tc>
          <w:tcPr>
            <w:tcW w:w="455" w:type="dxa"/>
            <w:tcMar>
              <w:top w:w="58" w:type="dxa"/>
              <w:bottom w:w="58" w:type="dxa"/>
            </w:tcMar>
          </w:tcPr>
          <w:p w:rsidR="005E5BA3" w:rsidRPr="002066FC" w:rsidRDefault="000C5907" w:rsidP="0008744A">
            <w:pPr>
              <w:rPr>
                <w:color w:val="000000" w:themeColor="text1"/>
                <w:sz w:val="18"/>
              </w:rPr>
            </w:pPr>
          </w:p>
        </w:tc>
        <w:tc>
          <w:tcPr>
            <w:tcW w:w="4276" w:type="dxa"/>
            <w:gridSpan w:val="2"/>
            <w:tcBorders>
              <w:bottom w:val="single" w:sz="4" w:space="0" w:color="808080" w:themeColor="background1" w:themeShade="80"/>
            </w:tcBorders>
            <w:tcMar>
              <w:top w:w="58" w:type="dxa"/>
              <w:bottom w:w="58" w:type="dxa"/>
            </w:tcMar>
          </w:tcPr>
          <w:p w:rsidR="005E5BA3" w:rsidRPr="002066FC" w:rsidRDefault="000C5907" w:rsidP="0008744A">
            <w:pPr>
              <w:rPr>
                <w:color w:val="000000" w:themeColor="text1"/>
                <w:sz w:val="18"/>
              </w:rPr>
            </w:pPr>
            <w:r>
              <w:rPr>
                <w:noProof/>
              </w:rPr>
              <w:drawing>
                <wp:inline distT="0" distB="0" distL="0" distR="0">
                  <wp:extent cx="2540000" cy="1587500"/>
                  <wp:effectExtent l="0" t="0" r="0" b="0"/>
                  <wp:docPr id="3" name="Drawing 0" descr="lines.png"/>
                  <wp:cNvGraphicFramePr/>
                  <a:graphic xmlns:a="http://schemas.openxmlformats.org/drawingml/2006/main">
                    <a:graphicData uri="http://schemas.openxmlformats.org/drawingml/2006/picture">
                      <pic:pic xmlns:pic="http://schemas.openxmlformats.org/drawingml/2006/picture">
                        <pic:nvPicPr>
                          <pic:cNvPr id="0" name="Picture 0" descr="lines.png"/>
                          <pic:cNvPicPr>
                            <a:picLocks noChangeAspect="1"/>
                          </pic:cNvPicPr>
                        </pic:nvPicPr>
                        <pic:blipFill>
                          <a:blip r:embed="rId7"/>
                          <a:stretch>
                            <a:fillRect/>
                          </a:stretch>
                        </pic:blipFill>
                        <pic:spPr>
                          <a:xfrm>
                            <a:off x="0" y="0"/>
                            <a:ext cx="2540000" cy="1587500"/>
                          </a:xfrm>
                          <a:prstGeom prst="rect">
                            <a:avLst/>
                          </a:prstGeom>
                        </pic:spPr>
                      </pic:pic>
                    </a:graphicData>
                  </a:graphic>
                </wp:inline>
              </w:drawing>
            </w:r>
          </w:p>
        </w:tc>
        <w:tc>
          <w:tcPr>
            <w:tcW w:w="4276" w:type="dxa"/>
            <w:gridSpan w:val="2"/>
            <w:tcBorders>
              <w:bottom w:val="single" w:sz="4" w:space="0" w:color="808080" w:themeColor="background1" w:themeShade="80"/>
            </w:tcBorders>
          </w:tcPr>
          <w:p w:rsidR="005E5BA3" w:rsidRPr="002066FC" w:rsidRDefault="000C5907" w:rsidP="0008744A">
            <w:pPr>
              <w:rPr>
                <w:color w:val="000000" w:themeColor="text1"/>
                <w:sz w:val="18"/>
              </w:rPr>
            </w:pPr>
            <w:r>
              <w:rPr>
                <w:noProof/>
              </w:rPr>
              <w:drawing>
                <wp:inline distT="0" distB="0" distL="0" distR="0">
                  <wp:extent cx="2540000" cy="1587500"/>
                  <wp:effectExtent l="0" t="0" r="0" b="0"/>
                  <wp:docPr id="4" name="Drawing 3" descr="lines.png"/>
                  <wp:cNvGraphicFramePr/>
                  <a:graphic xmlns:a="http://schemas.openxmlformats.org/drawingml/2006/main">
                    <a:graphicData uri="http://schemas.openxmlformats.org/drawingml/2006/picture">
                      <pic:pic xmlns:pic="http://schemas.openxmlformats.org/drawingml/2006/picture">
                        <pic:nvPicPr>
                          <pic:cNvPr id="0" name="Picture 3" descr="lines.png"/>
                          <pic:cNvPicPr>
                            <a:picLocks noChangeAspect="1"/>
                          </pic:cNvPicPr>
                        </pic:nvPicPr>
                        <pic:blipFill>
                          <a:blip r:embed="rId8"/>
                          <a:stretch>
                            <a:fillRect/>
                          </a:stretch>
                        </pic:blipFill>
                        <pic:spPr>
                          <a:xfrm>
                            <a:off x="0" y="0"/>
                            <a:ext cx="2540000" cy="1587500"/>
                          </a:xfrm>
                          <a:prstGeom prst="rect">
                            <a:avLst/>
                          </a:prstGeom>
                        </pic:spPr>
                      </pic:pic>
                    </a:graphicData>
                  </a:graphic>
                </wp:inline>
              </w:drawing>
            </w:r>
          </w:p>
        </w:tc>
      </w:tr>
    </w:tbl>
    <w:p w:rsidR="00AF003D" w:rsidRDefault="000C5907" w:rsidP="00BA2D50"/>
    <w:sectPr w:rsidR="00AF003D" w:rsidSect="00DD0F03">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5907" w:rsidRDefault="000C5907" w:rsidP="0011709F">
      <w:r>
        <w:separator/>
      </w:r>
    </w:p>
  </w:endnote>
  <w:endnote w:type="continuationSeparator" w:id="0">
    <w:p w:rsidR="000C5907" w:rsidRDefault="000C5907" w:rsidP="001170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panose1 w:val="00000000000000000000"/>
    <w:charset w:val="86"/>
    <w:family w:val="auto"/>
    <w:notTrueType/>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709F" w:rsidRPr="0011709F" w:rsidRDefault="0011709F" w:rsidP="008F7889">
    <w:r>
      <w:tab/>
    </w:r>
    <w:r>
      <w:tab/>
    </w:r>
    <w:r w:rsidR="004D79F2">
      <w:tab/>
    </w:r>
    <w:r w:rsidR="004D79F2">
      <w:tab/>
    </w:r>
    <w:r w:rsidR="004D79F2">
      <w:tab/>
    </w:r>
    <w:r w:rsidR="00634173">
      <w:tab/>
    </w:r>
    <w:r w:rsidR="00634173">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5907" w:rsidRDefault="000C5907" w:rsidP="0011709F">
      <w:r>
        <w:separator/>
      </w:r>
    </w:p>
  </w:footnote>
  <w:footnote w:type="continuationSeparator" w:id="0">
    <w:p w:rsidR="000C5907" w:rsidRDefault="000C5907" w:rsidP="001170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TW1MDK1MDEwsTCxNDRV0lEKTi0uzszPAykwrAUAGR6+UiwAAAA="/>
  </w:docVars>
  <w:rsids>
    <w:rsidRoot w:val="00911AF2"/>
    <w:rsid w:val="00026730"/>
    <w:rsid w:val="0003341C"/>
    <w:rsid w:val="0005126A"/>
    <w:rsid w:val="00060B62"/>
    <w:rsid w:val="0007589C"/>
    <w:rsid w:val="000803CB"/>
    <w:rsid w:val="00080400"/>
    <w:rsid w:val="000926AB"/>
    <w:rsid w:val="00097593"/>
    <w:rsid w:val="000A3355"/>
    <w:rsid w:val="000A35AD"/>
    <w:rsid w:val="000B2F35"/>
    <w:rsid w:val="000C12E2"/>
    <w:rsid w:val="000C5907"/>
    <w:rsid w:val="000D5363"/>
    <w:rsid w:val="000F23A8"/>
    <w:rsid w:val="000F45F2"/>
    <w:rsid w:val="00107E94"/>
    <w:rsid w:val="0011709F"/>
    <w:rsid w:val="00160013"/>
    <w:rsid w:val="001673AB"/>
    <w:rsid w:val="00171309"/>
    <w:rsid w:val="00173B4D"/>
    <w:rsid w:val="00180C03"/>
    <w:rsid w:val="00181181"/>
    <w:rsid w:val="00192E22"/>
    <w:rsid w:val="001A154F"/>
    <w:rsid w:val="001A2592"/>
    <w:rsid w:val="001A6195"/>
    <w:rsid w:val="001B6BD1"/>
    <w:rsid w:val="001C4B46"/>
    <w:rsid w:val="001C66FE"/>
    <w:rsid w:val="001D160C"/>
    <w:rsid w:val="001E6355"/>
    <w:rsid w:val="001F0448"/>
    <w:rsid w:val="00207C9F"/>
    <w:rsid w:val="00227834"/>
    <w:rsid w:val="00231A80"/>
    <w:rsid w:val="0023286C"/>
    <w:rsid w:val="002339C2"/>
    <w:rsid w:val="00242199"/>
    <w:rsid w:val="00242C63"/>
    <w:rsid w:val="00245689"/>
    <w:rsid w:val="002511E2"/>
    <w:rsid w:val="0028045D"/>
    <w:rsid w:val="00282497"/>
    <w:rsid w:val="002965B8"/>
    <w:rsid w:val="00297031"/>
    <w:rsid w:val="002B34C6"/>
    <w:rsid w:val="002B4F5C"/>
    <w:rsid w:val="002B55E1"/>
    <w:rsid w:val="002D43DD"/>
    <w:rsid w:val="003019B1"/>
    <w:rsid w:val="00305AF2"/>
    <w:rsid w:val="00305D3C"/>
    <w:rsid w:val="003065EB"/>
    <w:rsid w:val="00312C9F"/>
    <w:rsid w:val="00313E22"/>
    <w:rsid w:val="00367AC8"/>
    <w:rsid w:val="003B2724"/>
    <w:rsid w:val="003E421B"/>
    <w:rsid w:val="00431C2F"/>
    <w:rsid w:val="004352F0"/>
    <w:rsid w:val="004523EE"/>
    <w:rsid w:val="00454D45"/>
    <w:rsid w:val="00461B35"/>
    <w:rsid w:val="00464C5D"/>
    <w:rsid w:val="004755B4"/>
    <w:rsid w:val="00496A43"/>
    <w:rsid w:val="004A1475"/>
    <w:rsid w:val="004B21C3"/>
    <w:rsid w:val="004C3152"/>
    <w:rsid w:val="004D184D"/>
    <w:rsid w:val="004D62E2"/>
    <w:rsid w:val="004D7429"/>
    <w:rsid w:val="004D79F2"/>
    <w:rsid w:val="004E296B"/>
    <w:rsid w:val="004E3B2C"/>
    <w:rsid w:val="004E4F08"/>
    <w:rsid w:val="004F0DC1"/>
    <w:rsid w:val="004F338E"/>
    <w:rsid w:val="004F7B50"/>
    <w:rsid w:val="005172DE"/>
    <w:rsid w:val="005220DB"/>
    <w:rsid w:val="005321EE"/>
    <w:rsid w:val="00544C16"/>
    <w:rsid w:val="00545DE5"/>
    <w:rsid w:val="00547FCC"/>
    <w:rsid w:val="00554624"/>
    <w:rsid w:val="005828F4"/>
    <w:rsid w:val="00587599"/>
    <w:rsid w:val="005957F4"/>
    <w:rsid w:val="005B5A8D"/>
    <w:rsid w:val="005E0519"/>
    <w:rsid w:val="006042DF"/>
    <w:rsid w:val="00607348"/>
    <w:rsid w:val="00607D8F"/>
    <w:rsid w:val="00634173"/>
    <w:rsid w:val="0064721D"/>
    <w:rsid w:val="00650156"/>
    <w:rsid w:val="006614E2"/>
    <w:rsid w:val="00665240"/>
    <w:rsid w:val="00665E54"/>
    <w:rsid w:val="006751B5"/>
    <w:rsid w:val="0068134C"/>
    <w:rsid w:val="00691539"/>
    <w:rsid w:val="006A5DBE"/>
    <w:rsid w:val="006B1348"/>
    <w:rsid w:val="006B13EB"/>
    <w:rsid w:val="006B7188"/>
    <w:rsid w:val="006D2BA5"/>
    <w:rsid w:val="006F20B9"/>
    <w:rsid w:val="00701D44"/>
    <w:rsid w:val="00712E56"/>
    <w:rsid w:val="00726DD2"/>
    <w:rsid w:val="00736087"/>
    <w:rsid w:val="007550CA"/>
    <w:rsid w:val="0076773C"/>
    <w:rsid w:val="00772D44"/>
    <w:rsid w:val="007A79D2"/>
    <w:rsid w:val="007B2399"/>
    <w:rsid w:val="007B65B0"/>
    <w:rsid w:val="007C4F36"/>
    <w:rsid w:val="007C51D1"/>
    <w:rsid w:val="007C6D9A"/>
    <w:rsid w:val="007D644B"/>
    <w:rsid w:val="007E586C"/>
    <w:rsid w:val="007F6C57"/>
    <w:rsid w:val="008015AA"/>
    <w:rsid w:val="0082560B"/>
    <w:rsid w:val="0084341D"/>
    <w:rsid w:val="008611A3"/>
    <w:rsid w:val="0087430A"/>
    <w:rsid w:val="00880637"/>
    <w:rsid w:val="00884692"/>
    <w:rsid w:val="00884821"/>
    <w:rsid w:val="008860E9"/>
    <w:rsid w:val="00887B08"/>
    <w:rsid w:val="00895535"/>
    <w:rsid w:val="00897EC2"/>
    <w:rsid w:val="008A1B2F"/>
    <w:rsid w:val="008A73B7"/>
    <w:rsid w:val="008E08BD"/>
    <w:rsid w:val="008E4A78"/>
    <w:rsid w:val="008E6FBF"/>
    <w:rsid w:val="008F7889"/>
    <w:rsid w:val="00903E61"/>
    <w:rsid w:val="00911AF2"/>
    <w:rsid w:val="00915542"/>
    <w:rsid w:val="00917E68"/>
    <w:rsid w:val="00922C6D"/>
    <w:rsid w:val="0093478C"/>
    <w:rsid w:val="009355DA"/>
    <w:rsid w:val="00937754"/>
    <w:rsid w:val="00937CAD"/>
    <w:rsid w:val="0097652A"/>
    <w:rsid w:val="0099765E"/>
    <w:rsid w:val="009A4807"/>
    <w:rsid w:val="009A4BA7"/>
    <w:rsid w:val="009B2610"/>
    <w:rsid w:val="009B2634"/>
    <w:rsid w:val="009C4B50"/>
    <w:rsid w:val="009D40D4"/>
    <w:rsid w:val="009D796E"/>
    <w:rsid w:val="009E0AAD"/>
    <w:rsid w:val="009E1433"/>
    <w:rsid w:val="009F2663"/>
    <w:rsid w:val="009F74F2"/>
    <w:rsid w:val="00A01ED7"/>
    <w:rsid w:val="00A14BA6"/>
    <w:rsid w:val="00A43143"/>
    <w:rsid w:val="00A447D2"/>
    <w:rsid w:val="00A5407F"/>
    <w:rsid w:val="00A55CF2"/>
    <w:rsid w:val="00A613D3"/>
    <w:rsid w:val="00A63610"/>
    <w:rsid w:val="00A660BA"/>
    <w:rsid w:val="00A720F0"/>
    <w:rsid w:val="00A85FB4"/>
    <w:rsid w:val="00A91AD9"/>
    <w:rsid w:val="00AA53D6"/>
    <w:rsid w:val="00AD27BD"/>
    <w:rsid w:val="00AF487A"/>
    <w:rsid w:val="00B0323F"/>
    <w:rsid w:val="00B05091"/>
    <w:rsid w:val="00B06E62"/>
    <w:rsid w:val="00B14CF7"/>
    <w:rsid w:val="00B21980"/>
    <w:rsid w:val="00B245F7"/>
    <w:rsid w:val="00B35384"/>
    <w:rsid w:val="00B41A61"/>
    <w:rsid w:val="00B51B97"/>
    <w:rsid w:val="00B52712"/>
    <w:rsid w:val="00B62B2F"/>
    <w:rsid w:val="00B642C9"/>
    <w:rsid w:val="00B66014"/>
    <w:rsid w:val="00B71043"/>
    <w:rsid w:val="00B774FE"/>
    <w:rsid w:val="00B8783E"/>
    <w:rsid w:val="00BA01C4"/>
    <w:rsid w:val="00BA2D50"/>
    <w:rsid w:val="00BA4EB6"/>
    <w:rsid w:val="00BA53F5"/>
    <w:rsid w:val="00BC14DD"/>
    <w:rsid w:val="00BD7EBF"/>
    <w:rsid w:val="00BE343E"/>
    <w:rsid w:val="00BE76FE"/>
    <w:rsid w:val="00C01831"/>
    <w:rsid w:val="00C20472"/>
    <w:rsid w:val="00C278E5"/>
    <w:rsid w:val="00C36935"/>
    <w:rsid w:val="00C51C4A"/>
    <w:rsid w:val="00C537B2"/>
    <w:rsid w:val="00C54D71"/>
    <w:rsid w:val="00C74AF3"/>
    <w:rsid w:val="00C81FC4"/>
    <w:rsid w:val="00C84CCF"/>
    <w:rsid w:val="00C87B5E"/>
    <w:rsid w:val="00CA2010"/>
    <w:rsid w:val="00CB30A8"/>
    <w:rsid w:val="00CF0D4E"/>
    <w:rsid w:val="00D224AE"/>
    <w:rsid w:val="00D22F3F"/>
    <w:rsid w:val="00D2505A"/>
    <w:rsid w:val="00D52241"/>
    <w:rsid w:val="00D8452C"/>
    <w:rsid w:val="00D95971"/>
    <w:rsid w:val="00DC112D"/>
    <w:rsid w:val="00DC4B91"/>
    <w:rsid w:val="00DD0F03"/>
    <w:rsid w:val="00DF1609"/>
    <w:rsid w:val="00E066A5"/>
    <w:rsid w:val="00E352AE"/>
    <w:rsid w:val="00E44A43"/>
    <w:rsid w:val="00E4562D"/>
    <w:rsid w:val="00E639EC"/>
    <w:rsid w:val="00E70ED2"/>
    <w:rsid w:val="00E7578B"/>
    <w:rsid w:val="00E801D3"/>
    <w:rsid w:val="00E81B4F"/>
    <w:rsid w:val="00E82A61"/>
    <w:rsid w:val="00E83605"/>
    <w:rsid w:val="00E9327B"/>
    <w:rsid w:val="00E97789"/>
    <w:rsid w:val="00EA0BD0"/>
    <w:rsid w:val="00EA524F"/>
    <w:rsid w:val="00EC2FD2"/>
    <w:rsid w:val="00EC4404"/>
    <w:rsid w:val="00EF7265"/>
    <w:rsid w:val="00F00863"/>
    <w:rsid w:val="00F26DFE"/>
    <w:rsid w:val="00F33346"/>
    <w:rsid w:val="00F4041F"/>
    <w:rsid w:val="00F424A3"/>
    <w:rsid w:val="00F538B3"/>
    <w:rsid w:val="00F66CC2"/>
    <w:rsid w:val="00F70FBF"/>
    <w:rsid w:val="00F77ADC"/>
    <w:rsid w:val="00F80100"/>
    <w:rsid w:val="00F80C1C"/>
    <w:rsid w:val="00F8249E"/>
    <w:rsid w:val="00F942AC"/>
    <w:rsid w:val="00FA09AA"/>
    <w:rsid w:val="00FA6002"/>
    <w:rsid w:val="00FA6588"/>
    <w:rsid w:val="00FB3CB4"/>
    <w:rsid w:val="00FB77C0"/>
    <w:rsid w:val="00FC10EB"/>
    <w:rsid w:val="00FC14B4"/>
    <w:rsid w:val="00FD1E0B"/>
    <w:rsid w:val="00FD49C4"/>
    <w:rsid w:val="00FD6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0B8B7"/>
  <w15:chartTrackingRefBased/>
  <w15:docId w15:val="{B547A3DC-1C1B-8A42-8AC0-ACC5EE27A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43E"/>
    <w:rPr>
      <w:sz w:val="21"/>
    </w:rPr>
  </w:style>
  <w:style w:type="paragraph" w:styleId="Heading1">
    <w:name w:val="heading 1"/>
    <w:basedOn w:val="Normal"/>
    <w:next w:val="Normal"/>
    <w:link w:val="Heading1Char"/>
    <w:uiPriority w:val="9"/>
    <w:qFormat/>
    <w:rsid w:val="00B0323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A4BA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B239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11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A4BA7"/>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11709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709F"/>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11709F"/>
    <w:pPr>
      <w:tabs>
        <w:tab w:val="center" w:pos="4680"/>
        <w:tab w:val="right" w:pos="9360"/>
      </w:tabs>
    </w:pPr>
  </w:style>
  <w:style w:type="character" w:customStyle="1" w:styleId="HeaderChar">
    <w:name w:val="Header Char"/>
    <w:basedOn w:val="DefaultParagraphFont"/>
    <w:link w:val="Header"/>
    <w:uiPriority w:val="99"/>
    <w:rsid w:val="0011709F"/>
  </w:style>
  <w:style w:type="paragraph" w:styleId="Footer">
    <w:name w:val="footer"/>
    <w:basedOn w:val="Normal"/>
    <w:link w:val="FooterChar"/>
    <w:uiPriority w:val="99"/>
    <w:unhideWhenUsed/>
    <w:rsid w:val="0011709F"/>
    <w:pPr>
      <w:tabs>
        <w:tab w:val="center" w:pos="4680"/>
        <w:tab w:val="right" w:pos="9360"/>
      </w:tabs>
    </w:pPr>
  </w:style>
  <w:style w:type="character" w:customStyle="1" w:styleId="FooterChar">
    <w:name w:val="Footer Char"/>
    <w:basedOn w:val="DefaultParagraphFont"/>
    <w:link w:val="Footer"/>
    <w:uiPriority w:val="99"/>
    <w:rsid w:val="0011709F"/>
  </w:style>
  <w:style w:type="character" w:customStyle="1" w:styleId="Heading3Char">
    <w:name w:val="Heading 3 Char"/>
    <w:basedOn w:val="DefaultParagraphFont"/>
    <w:link w:val="Heading3"/>
    <w:uiPriority w:val="9"/>
    <w:rsid w:val="007B2399"/>
    <w:rPr>
      <w:rFonts w:asciiTheme="majorHAnsi" w:eastAsiaTheme="majorEastAsia" w:hAnsiTheme="majorHAnsi" w:cstheme="majorBidi"/>
      <w:color w:val="1F3763" w:themeColor="accent1" w:themeShade="7F"/>
    </w:rPr>
  </w:style>
  <w:style w:type="paragraph" w:customStyle="1" w:styleId="JULIASTYLEHEADING2">
    <w:name w:val="JULIASTYLEHEADING2"/>
    <w:basedOn w:val="Heading2"/>
    <w:rsid w:val="002D43DD"/>
    <w:rPr>
      <w:b/>
      <w:color w:val="FF0000"/>
    </w:rPr>
  </w:style>
  <w:style w:type="paragraph" w:customStyle="1" w:styleId="NormalItalic">
    <w:name w:val="NormalItalic"/>
    <w:basedOn w:val="Normal"/>
    <w:qFormat/>
    <w:rsid w:val="002339C2"/>
    <w:rPr>
      <w:i/>
      <w:color w:val="0070C0"/>
    </w:rPr>
  </w:style>
  <w:style w:type="table" w:styleId="PlainTable2">
    <w:name w:val="Plain Table 2"/>
    <w:basedOn w:val="TableNormal"/>
    <w:uiPriority w:val="42"/>
    <w:rsid w:val="001673A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1673AB"/>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1673A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1673AB"/>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ListTable2-Accent5">
    <w:name w:val="List Table 2 Accent 5"/>
    <w:basedOn w:val="TableNormal"/>
    <w:uiPriority w:val="47"/>
    <w:rsid w:val="004352F0"/>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4">
    <w:name w:val="List Table 2 Accent 4"/>
    <w:basedOn w:val="TableNormal"/>
    <w:uiPriority w:val="47"/>
    <w:rsid w:val="00B14CF7"/>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4">
    <w:name w:val="Grid Table 2 Accent 4"/>
    <w:basedOn w:val="TableNormal"/>
    <w:uiPriority w:val="47"/>
    <w:rsid w:val="00EA524F"/>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Subtitle">
    <w:name w:val="Subtitle"/>
    <w:basedOn w:val="Normal"/>
    <w:next w:val="Normal"/>
    <w:link w:val="SubtitleChar"/>
    <w:uiPriority w:val="11"/>
    <w:qFormat/>
    <w:rsid w:val="005E0519"/>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5E0519"/>
    <w:rPr>
      <w:rFonts w:eastAsiaTheme="minorEastAsia"/>
      <w:color w:val="5A5A5A" w:themeColor="text1" w:themeTint="A5"/>
      <w:spacing w:val="15"/>
      <w:sz w:val="22"/>
      <w:szCs w:val="22"/>
    </w:rPr>
  </w:style>
  <w:style w:type="character" w:customStyle="1" w:styleId="Heading1Char">
    <w:name w:val="Heading 1 Char"/>
    <w:basedOn w:val="DefaultParagraphFont"/>
    <w:link w:val="Heading1"/>
    <w:uiPriority w:val="9"/>
    <w:rsid w:val="00B0323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466045">
      <w:bodyDiv w:val="1"/>
      <w:marLeft w:val="0"/>
      <w:marRight w:val="0"/>
      <w:marTop w:val="0"/>
      <w:marBottom w:val="0"/>
      <w:divBdr>
        <w:top w:val="none" w:sz="0" w:space="0" w:color="auto"/>
        <w:left w:val="none" w:sz="0" w:space="0" w:color="auto"/>
        <w:bottom w:val="none" w:sz="0" w:space="0" w:color="auto"/>
        <w:right w:val="none" w:sz="0" w:space="0" w:color="auto"/>
      </w:divBdr>
      <w:divsChild>
        <w:div w:id="1647975803">
          <w:marLeft w:val="0"/>
          <w:marRight w:val="0"/>
          <w:marTop w:val="0"/>
          <w:marBottom w:val="0"/>
          <w:divBdr>
            <w:top w:val="none" w:sz="0" w:space="0" w:color="auto"/>
            <w:left w:val="none" w:sz="0" w:space="0" w:color="auto"/>
            <w:bottom w:val="none" w:sz="0" w:space="0" w:color="auto"/>
            <w:right w:val="none" w:sz="0" w:space="0" w:color="auto"/>
          </w:divBdr>
        </w:div>
        <w:div w:id="436097731">
          <w:marLeft w:val="0"/>
          <w:marRight w:val="0"/>
          <w:marTop w:val="0"/>
          <w:marBottom w:val="0"/>
          <w:divBdr>
            <w:top w:val="none" w:sz="0" w:space="0" w:color="auto"/>
            <w:left w:val="none" w:sz="0" w:space="0" w:color="auto"/>
            <w:bottom w:val="none" w:sz="0" w:space="0" w:color="auto"/>
            <w:right w:val="none" w:sz="0" w:space="0" w:color="auto"/>
          </w:divBdr>
        </w:div>
        <w:div w:id="829057211">
          <w:marLeft w:val="0"/>
          <w:marRight w:val="0"/>
          <w:marTop w:val="0"/>
          <w:marBottom w:val="0"/>
          <w:divBdr>
            <w:top w:val="none" w:sz="0" w:space="0" w:color="auto"/>
            <w:left w:val="none" w:sz="0" w:space="0" w:color="auto"/>
            <w:bottom w:val="none" w:sz="0" w:space="0" w:color="auto"/>
            <w:right w:val="none" w:sz="0" w:space="0" w:color="auto"/>
          </w:divBdr>
        </w:div>
        <w:div w:id="1829398319">
          <w:marLeft w:val="0"/>
          <w:marRight w:val="0"/>
          <w:marTop w:val="0"/>
          <w:marBottom w:val="0"/>
          <w:divBdr>
            <w:top w:val="none" w:sz="0" w:space="0" w:color="auto"/>
            <w:left w:val="none" w:sz="0" w:space="0" w:color="auto"/>
            <w:bottom w:val="none" w:sz="0" w:space="0" w:color="auto"/>
            <w:right w:val="none" w:sz="0" w:space="0" w:color="auto"/>
          </w:divBdr>
        </w:div>
        <w:div w:id="182865005">
          <w:marLeft w:val="0"/>
          <w:marRight w:val="0"/>
          <w:marTop w:val="0"/>
          <w:marBottom w:val="0"/>
          <w:divBdr>
            <w:top w:val="none" w:sz="0" w:space="0" w:color="auto"/>
            <w:left w:val="none" w:sz="0" w:space="0" w:color="auto"/>
            <w:bottom w:val="none" w:sz="0" w:space="0" w:color="auto"/>
            <w:right w:val="none" w:sz="0" w:space="0" w:color="auto"/>
          </w:divBdr>
        </w:div>
        <w:div w:id="551773250">
          <w:marLeft w:val="0"/>
          <w:marRight w:val="0"/>
          <w:marTop w:val="0"/>
          <w:marBottom w:val="0"/>
          <w:divBdr>
            <w:top w:val="none" w:sz="0" w:space="0" w:color="auto"/>
            <w:left w:val="none" w:sz="0" w:space="0" w:color="auto"/>
            <w:bottom w:val="none" w:sz="0" w:space="0" w:color="auto"/>
            <w:right w:val="none" w:sz="0" w:space="0" w:color="auto"/>
          </w:divBdr>
        </w:div>
        <w:div w:id="1443183374">
          <w:marLeft w:val="0"/>
          <w:marRight w:val="0"/>
          <w:marTop w:val="0"/>
          <w:marBottom w:val="0"/>
          <w:divBdr>
            <w:top w:val="none" w:sz="0" w:space="0" w:color="auto"/>
            <w:left w:val="none" w:sz="0" w:space="0" w:color="auto"/>
            <w:bottom w:val="none" w:sz="0" w:space="0" w:color="auto"/>
            <w:right w:val="none" w:sz="0" w:space="0" w:color="auto"/>
          </w:divBdr>
        </w:div>
        <w:div w:id="726076488">
          <w:marLeft w:val="0"/>
          <w:marRight w:val="0"/>
          <w:marTop w:val="0"/>
          <w:marBottom w:val="0"/>
          <w:divBdr>
            <w:top w:val="none" w:sz="0" w:space="0" w:color="auto"/>
            <w:left w:val="none" w:sz="0" w:space="0" w:color="auto"/>
            <w:bottom w:val="none" w:sz="0" w:space="0" w:color="auto"/>
            <w:right w:val="none" w:sz="0" w:space="0" w:color="auto"/>
          </w:divBdr>
        </w:div>
        <w:div w:id="804002429">
          <w:marLeft w:val="0"/>
          <w:marRight w:val="0"/>
          <w:marTop w:val="0"/>
          <w:marBottom w:val="0"/>
          <w:divBdr>
            <w:top w:val="none" w:sz="0" w:space="0" w:color="auto"/>
            <w:left w:val="none" w:sz="0" w:space="0" w:color="auto"/>
            <w:bottom w:val="none" w:sz="0" w:space="0" w:color="auto"/>
            <w:right w:val="none" w:sz="0" w:space="0" w:color="auto"/>
          </w:divBdr>
        </w:div>
        <w:div w:id="720593152">
          <w:marLeft w:val="0"/>
          <w:marRight w:val="0"/>
          <w:marTop w:val="0"/>
          <w:marBottom w:val="0"/>
          <w:divBdr>
            <w:top w:val="none" w:sz="0" w:space="0" w:color="auto"/>
            <w:left w:val="none" w:sz="0" w:space="0" w:color="auto"/>
            <w:bottom w:val="none" w:sz="0" w:space="0" w:color="auto"/>
            <w:right w:val="none" w:sz="0" w:space="0" w:color="auto"/>
          </w:divBdr>
        </w:div>
        <w:div w:id="1382317618">
          <w:marLeft w:val="0"/>
          <w:marRight w:val="0"/>
          <w:marTop w:val="0"/>
          <w:marBottom w:val="0"/>
          <w:divBdr>
            <w:top w:val="none" w:sz="0" w:space="0" w:color="auto"/>
            <w:left w:val="none" w:sz="0" w:space="0" w:color="auto"/>
            <w:bottom w:val="none" w:sz="0" w:space="0" w:color="auto"/>
            <w:right w:val="none" w:sz="0" w:space="0" w:color="auto"/>
          </w:divBdr>
        </w:div>
        <w:div w:id="1940723654">
          <w:marLeft w:val="0"/>
          <w:marRight w:val="0"/>
          <w:marTop w:val="0"/>
          <w:marBottom w:val="0"/>
          <w:divBdr>
            <w:top w:val="none" w:sz="0" w:space="0" w:color="auto"/>
            <w:left w:val="none" w:sz="0" w:space="0" w:color="auto"/>
            <w:bottom w:val="none" w:sz="0" w:space="0" w:color="auto"/>
            <w:right w:val="none" w:sz="0" w:space="0" w:color="auto"/>
          </w:divBdr>
        </w:div>
        <w:div w:id="294024961">
          <w:marLeft w:val="0"/>
          <w:marRight w:val="0"/>
          <w:marTop w:val="0"/>
          <w:marBottom w:val="0"/>
          <w:divBdr>
            <w:top w:val="none" w:sz="0" w:space="0" w:color="auto"/>
            <w:left w:val="none" w:sz="0" w:space="0" w:color="auto"/>
            <w:bottom w:val="none" w:sz="0" w:space="0" w:color="auto"/>
            <w:right w:val="none" w:sz="0" w:space="0" w:color="auto"/>
          </w:divBdr>
        </w:div>
        <w:div w:id="2118863060">
          <w:marLeft w:val="0"/>
          <w:marRight w:val="0"/>
          <w:marTop w:val="0"/>
          <w:marBottom w:val="0"/>
          <w:divBdr>
            <w:top w:val="none" w:sz="0" w:space="0" w:color="auto"/>
            <w:left w:val="none" w:sz="0" w:space="0" w:color="auto"/>
            <w:bottom w:val="none" w:sz="0" w:space="0" w:color="auto"/>
            <w:right w:val="none" w:sz="0" w:space="0" w:color="auto"/>
          </w:divBdr>
        </w:div>
        <w:div w:id="293564146">
          <w:marLeft w:val="0"/>
          <w:marRight w:val="0"/>
          <w:marTop w:val="0"/>
          <w:marBottom w:val="0"/>
          <w:divBdr>
            <w:top w:val="none" w:sz="0" w:space="0" w:color="auto"/>
            <w:left w:val="none" w:sz="0" w:space="0" w:color="auto"/>
            <w:bottom w:val="none" w:sz="0" w:space="0" w:color="auto"/>
            <w:right w:val="none" w:sz="0" w:space="0" w:color="auto"/>
          </w:divBdr>
        </w:div>
        <w:div w:id="1699744979">
          <w:marLeft w:val="0"/>
          <w:marRight w:val="0"/>
          <w:marTop w:val="0"/>
          <w:marBottom w:val="0"/>
          <w:divBdr>
            <w:top w:val="none" w:sz="0" w:space="0" w:color="auto"/>
            <w:left w:val="none" w:sz="0" w:space="0" w:color="auto"/>
            <w:bottom w:val="none" w:sz="0" w:space="0" w:color="auto"/>
            <w:right w:val="none" w:sz="0" w:space="0" w:color="auto"/>
          </w:divBdr>
        </w:div>
        <w:div w:id="220214922">
          <w:marLeft w:val="0"/>
          <w:marRight w:val="0"/>
          <w:marTop w:val="0"/>
          <w:marBottom w:val="0"/>
          <w:divBdr>
            <w:top w:val="none" w:sz="0" w:space="0" w:color="auto"/>
            <w:left w:val="none" w:sz="0" w:space="0" w:color="auto"/>
            <w:bottom w:val="none" w:sz="0" w:space="0" w:color="auto"/>
            <w:right w:val="none" w:sz="0" w:space="0" w:color="auto"/>
          </w:divBdr>
        </w:div>
        <w:div w:id="1406102782">
          <w:marLeft w:val="0"/>
          <w:marRight w:val="0"/>
          <w:marTop w:val="0"/>
          <w:marBottom w:val="0"/>
          <w:divBdr>
            <w:top w:val="none" w:sz="0" w:space="0" w:color="auto"/>
            <w:left w:val="none" w:sz="0" w:space="0" w:color="auto"/>
            <w:bottom w:val="none" w:sz="0" w:space="0" w:color="auto"/>
            <w:right w:val="none" w:sz="0" w:space="0" w:color="auto"/>
          </w:divBdr>
        </w:div>
        <w:div w:id="1879272052">
          <w:marLeft w:val="0"/>
          <w:marRight w:val="0"/>
          <w:marTop w:val="0"/>
          <w:marBottom w:val="0"/>
          <w:divBdr>
            <w:top w:val="none" w:sz="0" w:space="0" w:color="auto"/>
            <w:left w:val="none" w:sz="0" w:space="0" w:color="auto"/>
            <w:bottom w:val="none" w:sz="0" w:space="0" w:color="auto"/>
            <w:right w:val="none" w:sz="0" w:space="0" w:color="auto"/>
          </w:divBdr>
        </w:div>
        <w:div w:id="70857844">
          <w:marLeft w:val="0"/>
          <w:marRight w:val="0"/>
          <w:marTop w:val="0"/>
          <w:marBottom w:val="0"/>
          <w:divBdr>
            <w:top w:val="none" w:sz="0" w:space="0" w:color="auto"/>
            <w:left w:val="none" w:sz="0" w:space="0" w:color="auto"/>
            <w:bottom w:val="none" w:sz="0" w:space="0" w:color="auto"/>
            <w:right w:val="none" w:sz="0" w:space="0" w:color="auto"/>
          </w:divBdr>
        </w:div>
        <w:div w:id="1521048842">
          <w:marLeft w:val="0"/>
          <w:marRight w:val="0"/>
          <w:marTop w:val="0"/>
          <w:marBottom w:val="0"/>
          <w:divBdr>
            <w:top w:val="none" w:sz="0" w:space="0" w:color="auto"/>
            <w:left w:val="none" w:sz="0" w:space="0" w:color="auto"/>
            <w:bottom w:val="none" w:sz="0" w:space="0" w:color="auto"/>
            <w:right w:val="none" w:sz="0" w:space="0" w:color="auto"/>
          </w:divBdr>
        </w:div>
        <w:div w:id="1672945415">
          <w:marLeft w:val="0"/>
          <w:marRight w:val="0"/>
          <w:marTop w:val="0"/>
          <w:marBottom w:val="0"/>
          <w:divBdr>
            <w:top w:val="none" w:sz="0" w:space="0" w:color="auto"/>
            <w:left w:val="none" w:sz="0" w:space="0" w:color="auto"/>
            <w:bottom w:val="none" w:sz="0" w:space="0" w:color="auto"/>
            <w:right w:val="none" w:sz="0" w:space="0" w:color="auto"/>
          </w:divBdr>
        </w:div>
        <w:div w:id="1365474649">
          <w:marLeft w:val="0"/>
          <w:marRight w:val="0"/>
          <w:marTop w:val="0"/>
          <w:marBottom w:val="0"/>
          <w:divBdr>
            <w:top w:val="none" w:sz="0" w:space="0" w:color="auto"/>
            <w:left w:val="none" w:sz="0" w:space="0" w:color="auto"/>
            <w:bottom w:val="none" w:sz="0" w:space="0" w:color="auto"/>
            <w:right w:val="none" w:sz="0" w:space="0" w:color="auto"/>
          </w:divBdr>
        </w:div>
        <w:div w:id="2031758105">
          <w:marLeft w:val="0"/>
          <w:marRight w:val="0"/>
          <w:marTop w:val="0"/>
          <w:marBottom w:val="0"/>
          <w:divBdr>
            <w:top w:val="none" w:sz="0" w:space="0" w:color="auto"/>
            <w:left w:val="none" w:sz="0" w:space="0" w:color="auto"/>
            <w:bottom w:val="none" w:sz="0" w:space="0" w:color="auto"/>
            <w:right w:val="none" w:sz="0" w:space="0" w:color="auto"/>
          </w:divBdr>
        </w:div>
        <w:div w:id="1693994836">
          <w:marLeft w:val="0"/>
          <w:marRight w:val="0"/>
          <w:marTop w:val="0"/>
          <w:marBottom w:val="0"/>
          <w:divBdr>
            <w:top w:val="none" w:sz="0" w:space="0" w:color="auto"/>
            <w:left w:val="none" w:sz="0" w:space="0" w:color="auto"/>
            <w:bottom w:val="none" w:sz="0" w:space="0" w:color="auto"/>
            <w:right w:val="none" w:sz="0" w:space="0" w:color="auto"/>
          </w:divBdr>
        </w:div>
        <w:div w:id="1856378839">
          <w:marLeft w:val="0"/>
          <w:marRight w:val="0"/>
          <w:marTop w:val="0"/>
          <w:marBottom w:val="0"/>
          <w:divBdr>
            <w:top w:val="none" w:sz="0" w:space="0" w:color="auto"/>
            <w:left w:val="none" w:sz="0" w:space="0" w:color="auto"/>
            <w:bottom w:val="none" w:sz="0" w:space="0" w:color="auto"/>
            <w:right w:val="none" w:sz="0" w:space="0" w:color="auto"/>
          </w:divBdr>
        </w:div>
        <w:div w:id="347996990">
          <w:marLeft w:val="0"/>
          <w:marRight w:val="0"/>
          <w:marTop w:val="0"/>
          <w:marBottom w:val="0"/>
          <w:divBdr>
            <w:top w:val="none" w:sz="0" w:space="0" w:color="auto"/>
            <w:left w:val="none" w:sz="0" w:space="0" w:color="auto"/>
            <w:bottom w:val="none" w:sz="0" w:space="0" w:color="auto"/>
            <w:right w:val="none" w:sz="0" w:space="0" w:color="auto"/>
          </w:divBdr>
        </w:div>
        <w:div w:id="2087529824">
          <w:marLeft w:val="0"/>
          <w:marRight w:val="0"/>
          <w:marTop w:val="0"/>
          <w:marBottom w:val="0"/>
          <w:divBdr>
            <w:top w:val="none" w:sz="0" w:space="0" w:color="auto"/>
            <w:left w:val="none" w:sz="0" w:space="0" w:color="auto"/>
            <w:bottom w:val="none" w:sz="0" w:space="0" w:color="auto"/>
            <w:right w:val="none" w:sz="0" w:space="0" w:color="auto"/>
          </w:divBdr>
        </w:div>
        <w:div w:id="1302886377">
          <w:marLeft w:val="0"/>
          <w:marRight w:val="0"/>
          <w:marTop w:val="0"/>
          <w:marBottom w:val="0"/>
          <w:divBdr>
            <w:top w:val="none" w:sz="0" w:space="0" w:color="auto"/>
            <w:left w:val="none" w:sz="0" w:space="0" w:color="auto"/>
            <w:bottom w:val="none" w:sz="0" w:space="0" w:color="auto"/>
            <w:right w:val="none" w:sz="0" w:space="0" w:color="auto"/>
          </w:divBdr>
        </w:div>
        <w:div w:id="1685746463">
          <w:marLeft w:val="0"/>
          <w:marRight w:val="0"/>
          <w:marTop w:val="0"/>
          <w:marBottom w:val="0"/>
          <w:divBdr>
            <w:top w:val="none" w:sz="0" w:space="0" w:color="auto"/>
            <w:left w:val="none" w:sz="0" w:space="0" w:color="auto"/>
            <w:bottom w:val="none" w:sz="0" w:space="0" w:color="auto"/>
            <w:right w:val="none" w:sz="0" w:space="0" w:color="auto"/>
          </w:divBdr>
        </w:div>
        <w:div w:id="481628180">
          <w:marLeft w:val="0"/>
          <w:marRight w:val="0"/>
          <w:marTop w:val="0"/>
          <w:marBottom w:val="0"/>
          <w:divBdr>
            <w:top w:val="none" w:sz="0" w:space="0" w:color="auto"/>
            <w:left w:val="none" w:sz="0" w:space="0" w:color="auto"/>
            <w:bottom w:val="none" w:sz="0" w:space="0" w:color="auto"/>
            <w:right w:val="none" w:sz="0" w:space="0" w:color="auto"/>
          </w:divBdr>
        </w:div>
        <w:div w:id="1368332031">
          <w:marLeft w:val="0"/>
          <w:marRight w:val="0"/>
          <w:marTop w:val="0"/>
          <w:marBottom w:val="0"/>
          <w:divBdr>
            <w:top w:val="none" w:sz="0" w:space="0" w:color="auto"/>
            <w:left w:val="none" w:sz="0" w:space="0" w:color="auto"/>
            <w:bottom w:val="none" w:sz="0" w:space="0" w:color="auto"/>
            <w:right w:val="none" w:sz="0" w:space="0" w:color="auto"/>
          </w:divBdr>
        </w:div>
        <w:div w:id="1408763528">
          <w:marLeft w:val="0"/>
          <w:marRight w:val="0"/>
          <w:marTop w:val="0"/>
          <w:marBottom w:val="0"/>
          <w:divBdr>
            <w:top w:val="none" w:sz="0" w:space="0" w:color="auto"/>
            <w:left w:val="none" w:sz="0" w:space="0" w:color="auto"/>
            <w:bottom w:val="none" w:sz="0" w:space="0" w:color="auto"/>
            <w:right w:val="none" w:sz="0" w:space="0" w:color="auto"/>
          </w:divBdr>
        </w:div>
      </w:divsChild>
    </w:div>
    <w:div w:id="261764772">
      <w:bodyDiv w:val="1"/>
      <w:marLeft w:val="0"/>
      <w:marRight w:val="0"/>
      <w:marTop w:val="0"/>
      <w:marBottom w:val="0"/>
      <w:divBdr>
        <w:top w:val="none" w:sz="0" w:space="0" w:color="auto"/>
        <w:left w:val="none" w:sz="0" w:space="0" w:color="auto"/>
        <w:bottom w:val="none" w:sz="0" w:space="0" w:color="auto"/>
        <w:right w:val="none" w:sz="0" w:space="0" w:color="auto"/>
      </w:divBdr>
      <w:divsChild>
        <w:div w:id="1191650979">
          <w:marLeft w:val="0"/>
          <w:marRight w:val="0"/>
          <w:marTop w:val="0"/>
          <w:marBottom w:val="0"/>
          <w:divBdr>
            <w:top w:val="none" w:sz="0" w:space="0" w:color="auto"/>
            <w:left w:val="none" w:sz="0" w:space="0" w:color="auto"/>
            <w:bottom w:val="none" w:sz="0" w:space="0" w:color="auto"/>
            <w:right w:val="none" w:sz="0" w:space="0" w:color="auto"/>
          </w:divBdr>
        </w:div>
        <w:div w:id="1358896316">
          <w:marLeft w:val="0"/>
          <w:marRight w:val="0"/>
          <w:marTop w:val="0"/>
          <w:marBottom w:val="0"/>
          <w:divBdr>
            <w:top w:val="none" w:sz="0" w:space="0" w:color="auto"/>
            <w:left w:val="none" w:sz="0" w:space="0" w:color="auto"/>
            <w:bottom w:val="none" w:sz="0" w:space="0" w:color="auto"/>
            <w:right w:val="none" w:sz="0" w:space="0" w:color="auto"/>
          </w:divBdr>
        </w:div>
        <w:div w:id="1661034947">
          <w:marLeft w:val="0"/>
          <w:marRight w:val="0"/>
          <w:marTop w:val="0"/>
          <w:marBottom w:val="0"/>
          <w:divBdr>
            <w:top w:val="none" w:sz="0" w:space="0" w:color="auto"/>
            <w:left w:val="none" w:sz="0" w:space="0" w:color="auto"/>
            <w:bottom w:val="none" w:sz="0" w:space="0" w:color="auto"/>
            <w:right w:val="none" w:sz="0" w:space="0" w:color="auto"/>
          </w:divBdr>
        </w:div>
        <w:div w:id="487331825">
          <w:marLeft w:val="0"/>
          <w:marRight w:val="0"/>
          <w:marTop w:val="0"/>
          <w:marBottom w:val="0"/>
          <w:divBdr>
            <w:top w:val="none" w:sz="0" w:space="0" w:color="auto"/>
            <w:left w:val="none" w:sz="0" w:space="0" w:color="auto"/>
            <w:bottom w:val="none" w:sz="0" w:space="0" w:color="auto"/>
            <w:right w:val="none" w:sz="0" w:space="0" w:color="auto"/>
          </w:divBdr>
        </w:div>
        <w:div w:id="2017415141">
          <w:marLeft w:val="0"/>
          <w:marRight w:val="0"/>
          <w:marTop w:val="0"/>
          <w:marBottom w:val="0"/>
          <w:divBdr>
            <w:top w:val="none" w:sz="0" w:space="0" w:color="auto"/>
            <w:left w:val="none" w:sz="0" w:space="0" w:color="auto"/>
            <w:bottom w:val="none" w:sz="0" w:space="0" w:color="auto"/>
            <w:right w:val="none" w:sz="0" w:space="0" w:color="auto"/>
          </w:divBdr>
        </w:div>
        <w:div w:id="704597716">
          <w:marLeft w:val="0"/>
          <w:marRight w:val="0"/>
          <w:marTop w:val="0"/>
          <w:marBottom w:val="0"/>
          <w:divBdr>
            <w:top w:val="none" w:sz="0" w:space="0" w:color="auto"/>
            <w:left w:val="none" w:sz="0" w:space="0" w:color="auto"/>
            <w:bottom w:val="none" w:sz="0" w:space="0" w:color="auto"/>
            <w:right w:val="none" w:sz="0" w:space="0" w:color="auto"/>
          </w:divBdr>
        </w:div>
        <w:div w:id="818036019">
          <w:marLeft w:val="0"/>
          <w:marRight w:val="0"/>
          <w:marTop w:val="0"/>
          <w:marBottom w:val="0"/>
          <w:divBdr>
            <w:top w:val="none" w:sz="0" w:space="0" w:color="auto"/>
            <w:left w:val="none" w:sz="0" w:space="0" w:color="auto"/>
            <w:bottom w:val="none" w:sz="0" w:space="0" w:color="auto"/>
            <w:right w:val="none" w:sz="0" w:space="0" w:color="auto"/>
          </w:divBdr>
        </w:div>
        <w:div w:id="1474909480">
          <w:marLeft w:val="0"/>
          <w:marRight w:val="0"/>
          <w:marTop w:val="0"/>
          <w:marBottom w:val="0"/>
          <w:divBdr>
            <w:top w:val="none" w:sz="0" w:space="0" w:color="auto"/>
            <w:left w:val="none" w:sz="0" w:space="0" w:color="auto"/>
            <w:bottom w:val="none" w:sz="0" w:space="0" w:color="auto"/>
            <w:right w:val="none" w:sz="0" w:space="0" w:color="auto"/>
          </w:divBdr>
        </w:div>
        <w:div w:id="278877939">
          <w:marLeft w:val="0"/>
          <w:marRight w:val="0"/>
          <w:marTop w:val="0"/>
          <w:marBottom w:val="0"/>
          <w:divBdr>
            <w:top w:val="none" w:sz="0" w:space="0" w:color="auto"/>
            <w:left w:val="none" w:sz="0" w:space="0" w:color="auto"/>
            <w:bottom w:val="none" w:sz="0" w:space="0" w:color="auto"/>
            <w:right w:val="none" w:sz="0" w:space="0" w:color="auto"/>
          </w:divBdr>
        </w:div>
        <w:div w:id="943806813">
          <w:marLeft w:val="0"/>
          <w:marRight w:val="0"/>
          <w:marTop w:val="0"/>
          <w:marBottom w:val="0"/>
          <w:divBdr>
            <w:top w:val="none" w:sz="0" w:space="0" w:color="auto"/>
            <w:left w:val="none" w:sz="0" w:space="0" w:color="auto"/>
            <w:bottom w:val="none" w:sz="0" w:space="0" w:color="auto"/>
            <w:right w:val="none" w:sz="0" w:space="0" w:color="auto"/>
          </w:divBdr>
        </w:div>
        <w:div w:id="1593972255">
          <w:marLeft w:val="0"/>
          <w:marRight w:val="0"/>
          <w:marTop w:val="0"/>
          <w:marBottom w:val="0"/>
          <w:divBdr>
            <w:top w:val="none" w:sz="0" w:space="0" w:color="auto"/>
            <w:left w:val="none" w:sz="0" w:space="0" w:color="auto"/>
            <w:bottom w:val="none" w:sz="0" w:space="0" w:color="auto"/>
            <w:right w:val="none" w:sz="0" w:space="0" w:color="auto"/>
          </w:divBdr>
        </w:div>
        <w:div w:id="610280837">
          <w:marLeft w:val="0"/>
          <w:marRight w:val="0"/>
          <w:marTop w:val="0"/>
          <w:marBottom w:val="0"/>
          <w:divBdr>
            <w:top w:val="none" w:sz="0" w:space="0" w:color="auto"/>
            <w:left w:val="none" w:sz="0" w:space="0" w:color="auto"/>
            <w:bottom w:val="none" w:sz="0" w:space="0" w:color="auto"/>
            <w:right w:val="none" w:sz="0" w:space="0" w:color="auto"/>
          </w:divBdr>
        </w:div>
        <w:div w:id="1950118749">
          <w:marLeft w:val="0"/>
          <w:marRight w:val="0"/>
          <w:marTop w:val="0"/>
          <w:marBottom w:val="0"/>
          <w:divBdr>
            <w:top w:val="none" w:sz="0" w:space="0" w:color="auto"/>
            <w:left w:val="none" w:sz="0" w:space="0" w:color="auto"/>
            <w:bottom w:val="none" w:sz="0" w:space="0" w:color="auto"/>
            <w:right w:val="none" w:sz="0" w:space="0" w:color="auto"/>
          </w:divBdr>
        </w:div>
        <w:div w:id="1516306682">
          <w:marLeft w:val="0"/>
          <w:marRight w:val="0"/>
          <w:marTop w:val="0"/>
          <w:marBottom w:val="0"/>
          <w:divBdr>
            <w:top w:val="none" w:sz="0" w:space="0" w:color="auto"/>
            <w:left w:val="none" w:sz="0" w:space="0" w:color="auto"/>
            <w:bottom w:val="none" w:sz="0" w:space="0" w:color="auto"/>
            <w:right w:val="none" w:sz="0" w:space="0" w:color="auto"/>
          </w:divBdr>
        </w:div>
      </w:divsChild>
    </w:div>
    <w:div w:id="983047437">
      <w:bodyDiv w:val="1"/>
      <w:marLeft w:val="0"/>
      <w:marRight w:val="0"/>
      <w:marTop w:val="0"/>
      <w:marBottom w:val="0"/>
      <w:divBdr>
        <w:top w:val="none" w:sz="0" w:space="0" w:color="auto"/>
        <w:left w:val="none" w:sz="0" w:space="0" w:color="auto"/>
        <w:bottom w:val="none" w:sz="0" w:space="0" w:color="auto"/>
        <w:right w:val="none" w:sz="0" w:space="0" w:color="auto"/>
      </w:divBdr>
      <w:divsChild>
        <w:div w:id="158079718">
          <w:marLeft w:val="0"/>
          <w:marRight w:val="0"/>
          <w:marTop w:val="0"/>
          <w:marBottom w:val="0"/>
          <w:divBdr>
            <w:top w:val="none" w:sz="0" w:space="0" w:color="auto"/>
            <w:left w:val="none" w:sz="0" w:space="0" w:color="auto"/>
            <w:bottom w:val="none" w:sz="0" w:space="0" w:color="auto"/>
            <w:right w:val="none" w:sz="0" w:space="0" w:color="auto"/>
          </w:divBdr>
        </w:div>
        <w:div w:id="1721635578">
          <w:marLeft w:val="0"/>
          <w:marRight w:val="0"/>
          <w:marTop w:val="0"/>
          <w:marBottom w:val="0"/>
          <w:divBdr>
            <w:top w:val="none" w:sz="0" w:space="0" w:color="auto"/>
            <w:left w:val="none" w:sz="0" w:space="0" w:color="auto"/>
            <w:bottom w:val="none" w:sz="0" w:space="0" w:color="auto"/>
            <w:right w:val="none" w:sz="0" w:space="0" w:color="auto"/>
          </w:divBdr>
        </w:div>
        <w:div w:id="455149104">
          <w:marLeft w:val="0"/>
          <w:marRight w:val="0"/>
          <w:marTop w:val="0"/>
          <w:marBottom w:val="0"/>
          <w:divBdr>
            <w:top w:val="none" w:sz="0" w:space="0" w:color="auto"/>
            <w:left w:val="none" w:sz="0" w:space="0" w:color="auto"/>
            <w:bottom w:val="none" w:sz="0" w:space="0" w:color="auto"/>
            <w:right w:val="none" w:sz="0" w:space="0" w:color="auto"/>
          </w:divBdr>
        </w:div>
        <w:div w:id="2074696113">
          <w:marLeft w:val="0"/>
          <w:marRight w:val="0"/>
          <w:marTop w:val="0"/>
          <w:marBottom w:val="0"/>
          <w:divBdr>
            <w:top w:val="none" w:sz="0" w:space="0" w:color="auto"/>
            <w:left w:val="none" w:sz="0" w:space="0" w:color="auto"/>
            <w:bottom w:val="none" w:sz="0" w:space="0" w:color="auto"/>
            <w:right w:val="none" w:sz="0" w:space="0" w:color="auto"/>
          </w:divBdr>
        </w:div>
        <w:div w:id="2132744872">
          <w:marLeft w:val="0"/>
          <w:marRight w:val="0"/>
          <w:marTop w:val="0"/>
          <w:marBottom w:val="0"/>
          <w:divBdr>
            <w:top w:val="none" w:sz="0" w:space="0" w:color="auto"/>
            <w:left w:val="none" w:sz="0" w:space="0" w:color="auto"/>
            <w:bottom w:val="none" w:sz="0" w:space="0" w:color="auto"/>
            <w:right w:val="none" w:sz="0" w:space="0" w:color="auto"/>
          </w:divBdr>
        </w:div>
      </w:divsChild>
    </w:div>
    <w:div w:id="1654329283">
      <w:bodyDiv w:val="1"/>
      <w:marLeft w:val="0"/>
      <w:marRight w:val="0"/>
      <w:marTop w:val="0"/>
      <w:marBottom w:val="0"/>
      <w:divBdr>
        <w:top w:val="none" w:sz="0" w:space="0" w:color="auto"/>
        <w:left w:val="none" w:sz="0" w:space="0" w:color="auto"/>
        <w:bottom w:val="none" w:sz="0" w:space="0" w:color="auto"/>
        <w:right w:val="none" w:sz="0" w:space="0" w:color="auto"/>
      </w:divBdr>
    </w:div>
    <w:div w:id="1898318992">
      <w:bodyDiv w:val="1"/>
      <w:marLeft w:val="0"/>
      <w:marRight w:val="0"/>
      <w:marTop w:val="0"/>
      <w:marBottom w:val="0"/>
      <w:divBdr>
        <w:top w:val="none" w:sz="0" w:space="0" w:color="auto"/>
        <w:left w:val="none" w:sz="0" w:space="0" w:color="auto"/>
        <w:bottom w:val="none" w:sz="0" w:space="0" w:color="auto"/>
        <w:right w:val="none" w:sz="0" w:space="0" w:color="auto"/>
      </w:divBdr>
    </w:div>
    <w:div w:id="2136874045">
      <w:bodyDiv w:val="1"/>
      <w:marLeft w:val="0"/>
      <w:marRight w:val="0"/>
      <w:marTop w:val="0"/>
      <w:marBottom w:val="0"/>
      <w:divBdr>
        <w:top w:val="none" w:sz="0" w:space="0" w:color="auto"/>
        <w:left w:val="none" w:sz="0" w:space="0" w:color="auto"/>
        <w:bottom w:val="none" w:sz="0" w:space="0" w:color="auto"/>
        <w:right w:val="none" w:sz="0" w:space="0" w:color="auto"/>
      </w:divBdr>
    </w:div>
    <w:div w:id="2141459427">
      <w:bodyDiv w:val="1"/>
      <w:marLeft w:val="0"/>
      <w:marRight w:val="0"/>
      <w:marTop w:val="0"/>
      <w:marBottom w:val="0"/>
      <w:divBdr>
        <w:top w:val="none" w:sz="0" w:space="0" w:color="auto"/>
        <w:left w:val="none" w:sz="0" w:space="0" w:color="auto"/>
        <w:bottom w:val="none" w:sz="0" w:space="0" w:color="auto"/>
        <w:right w:val="none" w:sz="0" w:space="0" w:color="auto"/>
      </w:divBdr>
    </w:div>
    <w:div w:id="2147041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5B5757-D34B-478F-BD76-9AEE14848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2340</Words>
  <Characters>13342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ORourke</dc:creator>
  <cp:lastModifiedBy>Ganatra, Sarju</cp:lastModifiedBy>
  <cp:revision>2</cp:revision>
  <dcterms:created xsi:type="dcterms:W3CDTF">2023-11-27T18:26:00Z</dcterms:created>
  <dcterms:modified xsi:type="dcterms:W3CDTF">2023-11-27T18:26:00Z</dcterms:modified>
</cp:coreProperties>
</file>