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Supplementary figures</w:t>
      </w:r>
    </w:p>
    <w:p>
      <w:pPr>
        <w:pStyle w:val="6"/>
        <w:jc w:val="center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  <w14:ligatures w14:val="standardContextual"/>
        </w:rPr>
        <w:drawing>
          <wp:inline distT="0" distB="0" distL="0" distR="0">
            <wp:extent cx="5838190" cy="4069715"/>
            <wp:effectExtent l="0" t="0" r="0" b="6985"/>
            <wp:docPr id="11083129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312966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2131" cy="4086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sz w:val="18"/>
          <w:szCs w:val="18"/>
        </w:rPr>
      </w:pPr>
      <w:bookmarkStart w:id="0" w:name="_Hlk166800144"/>
      <w:r>
        <w:rPr>
          <w:b/>
          <w:bCs/>
          <w:sz w:val="18"/>
          <w:szCs w:val="18"/>
        </w:rPr>
        <w:t>Figure S1</w:t>
      </w:r>
      <w:bookmarkEnd w:id="0"/>
      <w:r>
        <w:rPr>
          <w:b/>
          <w:bCs/>
          <w:sz w:val="18"/>
          <w:szCs w:val="18"/>
        </w:rPr>
        <w:t xml:space="preserve"> Analysis of endothelial cell clusters in colorectal cancer single-cell samples</w:t>
      </w:r>
      <w:r>
        <w:rPr>
          <w:rFonts w:hint="eastAsia"/>
          <w:b/>
          <w:bCs/>
          <w:sz w:val="18"/>
          <w:szCs w:val="18"/>
        </w:rPr>
        <w:t xml:space="preserve">. a  </w:t>
      </w:r>
      <w:r>
        <w:rPr>
          <w:sz w:val="18"/>
          <w:szCs w:val="18"/>
        </w:rPr>
        <w:t>The batch effect between the 23 samples was well removed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b/>
          <w:bCs/>
          <w:sz w:val="18"/>
          <w:szCs w:val="18"/>
        </w:rPr>
        <w:t xml:space="preserve">b  </w:t>
      </w:r>
      <w:r>
        <w:rPr>
          <w:sz w:val="18"/>
          <w:szCs w:val="18"/>
        </w:rPr>
        <w:t>The cells were successfully divided into 6 clusters by singleR package, which were labeled as epithelial cells, monocytes, endothelial cells, T cells, B cells and tissue stem cells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b/>
          <w:bCs/>
          <w:sz w:val="18"/>
          <w:szCs w:val="18"/>
        </w:rPr>
        <w:t xml:space="preserve">c  </w:t>
      </w:r>
      <w:r>
        <w:rPr>
          <w:sz w:val="18"/>
          <w:szCs w:val="18"/>
        </w:rPr>
        <w:t>Carcinoma and paracancerous distribution of three endothelial cell subsets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b/>
          <w:bCs/>
          <w:sz w:val="18"/>
          <w:szCs w:val="18"/>
        </w:rPr>
        <w:t xml:space="preserve">d </w:t>
      </w:r>
      <w:r>
        <w:rPr>
          <w:sz w:val="18"/>
          <w:szCs w:val="18"/>
        </w:rPr>
        <w:t>Marker genes for various endothelial cell subsets</w:t>
      </w:r>
      <w:r>
        <w:rPr>
          <w:rFonts w:hint="eastAsia"/>
          <w:sz w:val="18"/>
          <w:szCs w:val="18"/>
        </w:rPr>
        <w:t>.</w:t>
      </w:r>
      <w:bookmarkStart w:id="5" w:name="_GoBack"/>
      <w:bookmarkEnd w:id="5"/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  <w:r>
        <w:rPr>
          <w:sz w:val="18"/>
          <w:szCs w:val="18"/>
          <w14:ligatures w14:val="standardContextual"/>
        </w:rPr>
        <w:drawing>
          <wp:inline distT="0" distB="0" distL="0" distR="0">
            <wp:extent cx="5697220" cy="1911985"/>
            <wp:effectExtent l="0" t="0" r="0" b="0"/>
            <wp:docPr id="48610710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107104" name="图片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4376" cy="191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sz w:val="18"/>
          <w:szCs w:val="18"/>
        </w:rPr>
      </w:pPr>
      <w:r>
        <w:rPr>
          <w:b/>
          <w:bCs/>
          <w:sz w:val="18"/>
          <w:szCs w:val="18"/>
        </w:rPr>
        <w:t>Figure S</w:t>
      </w:r>
      <w:r>
        <w:rPr>
          <w:rFonts w:hint="eastAsia"/>
          <w:b/>
          <w:bCs/>
          <w:sz w:val="18"/>
          <w:szCs w:val="18"/>
        </w:rPr>
        <w:t xml:space="preserve">2 </w:t>
      </w:r>
      <w:r>
        <w:rPr>
          <w:b/>
          <w:bCs/>
          <w:sz w:val="18"/>
          <w:szCs w:val="18"/>
        </w:rPr>
        <w:t>The survival significance of the C2 subset was verified in other CRC public databases</w:t>
      </w:r>
      <w:r>
        <w:rPr>
          <w:rFonts w:hint="eastAsia"/>
          <w:b/>
          <w:bCs/>
          <w:sz w:val="18"/>
          <w:szCs w:val="18"/>
        </w:rPr>
        <w:t xml:space="preserve">.a </w:t>
      </w:r>
      <w:r>
        <w:rPr>
          <w:rFonts w:hint="eastAsia"/>
          <w:sz w:val="18"/>
          <w:szCs w:val="18"/>
        </w:rPr>
        <w:t>GSE17536.</w:t>
      </w:r>
      <w:r>
        <w:rPr>
          <w:rFonts w:hint="eastAsia"/>
          <w:b/>
          <w:bCs/>
          <w:sz w:val="18"/>
          <w:szCs w:val="18"/>
        </w:rPr>
        <w:t xml:space="preserve">b </w:t>
      </w:r>
      <w:r>
        <w:rPr>
          <w:rFonts w:hint="eastAsia"/>
          <w:sz w:val="18"/>
          <w:szCs w:val="18"/>
        </w:rPr>
        <w:t>GSE39582.</w:t>
      </w:r>
      <w:r>
        <w:rPr>
          <w:rFonts w:hint="eastAsia"/>
          <w:b/>
          <w:bCs/>
          <w:sz w:val="18"/>
          <w:szCs w:val="18"/>
        </w:rPr>
        <w:t xml:space="preserve">c </w:t>
      </w:r>
      <w:r>
        <w:rPr>
          <w:rFonts w:hint="eastAsia"/>
          <w:sz w:val="18"/>
          <w:szCs w:val="18"/>
        </w:rPr>
        <w:t>GSE41258.</w:t>
      </w: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</w:p>
    <w:p>
      <w:pPr>
        <w:pStyle w:val="6"/>
        <w:jc w:val="center"/>
        <w:rPr>
          <w:sz w:val="18"/>
          <w:szCs w:val="18"/>
        </w:rPr>
      </w:pPr>
      <w:r>
        <w:rPr>
          <w:rFonts w:hint="eastAsia"/>
          <w:sz w:val="18"/>
          <w:szCs w:val="18"/>
          <w14:ligatures w14:val="standardContextual"/>
        </w:rPr>
        <w:drawing>
          <wp:inline distT="0" distB="0" distL="0" distR="0">
            <wp:extent cx="5471160" cy="2346325"/>
            <wp:effectExtent l="0" t="0" r="0" b="0"/>
            <wp:docPr id="2110762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76299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630" cy="2350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sz w:val="18"/>
          <w:szCs w:val="18"/>
        </w:rPr>
      </w:pPr>
      <w:bookmarkStart w:id="1" w:name="_Hlk166800841"/>
      <w:bookmarkStart w:id="2" w:name="_Hlk166804791"/>
      <w:r>
        <w:rPr>
          <w:b/>
          <w:bCs/>
          <w:sz w:val="18"/>
          <w:szCs w:val="18"/>
        </w:rPr>
        <w:t>Figure S</w:t>
      </w:r>
      <w:bookmarkEnd w:id="1"/>
      <w:r>
        <w:rPr>
          <w:rFonts w:hint="eastAsia"/>
          <w:b/>
          <w:bCs/>
          <w:sz w:val="18"/>
          <w:szCs w:val="18"/>
        </w:rPr>
        <w:t>3</w:t>
      </w:r>
      <w:bookmarkEnd w:id="2"/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GO and KEGG analyses were performed for differentially upregulated genes in the C2 subset relative to the C0 subpopulation</w:t>
      </w:r>
      <w:r>
        <w:rPr>
          <w:rFonts w:hint="eastAsia"/>
          <w:b/>
          <w:bCs/>
          <w:sz w:val="18"/>
          <w:szCs w:val="18"/>
        </w:rPr>
        <w:t xml:space="preserve">.a,b </w:t>
      </w:r>
      <w:r>
        <w:rPr>
          <w:sz w:val="18"/>
          <w:szCs w:val="18"/>
        </w:rPr>
        <w:t>Pathways related to endothelial cell adhesion and migration are significantly enriched in the C2 subset</w:t>
      </w:r>
      <w:r>
        <w:rPr>
          <w:rFonts w:hint="eastAsia"/>
          <w:sz w:val="18"/>
          <w:szCs w:val="18"/>
        </w:rPr>
        <w:t>.</w:t>
      </w: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</w:p>
    <w:p>
      <w:pPr>
        <w:pStyle w:val="6"/>
        <w:jc w:val="center"/>
        <w:rPr>
          <w:sz w:val="18"/>
          <w:szCs w:val="18"/>
        </w:rPr>
      </w:pPr>
      <w:r>
        <w:rPr>
          <w:rFonts w:hint="eastAsia"/>
          <w:sz w:val="18"/>
          <w:szCs w:val="18"/>
          <w14:ligatures w14:val="standardContextual"/>
        </w:rPr>
        <w:drawing>
          <wp:inline distT="0" distB="0" distL="0" distR="0">
            <wp:extent cx="5655310" cy="1603375"/>
            <wp:effectExtent l="0" t="0" r="2540" b="0"/>
            <wp:docPr id="119359130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591301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1165" cy="1627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sz w:val="18"/>
          <w:szCs w:val="18"/>
        </w:rPr>
      </w:pPr>
      <w:bookmarkStart w:id="3" w:name="_Hlk166805022"/>
      <w:r>
        <w:rPr>
          <w:b/>
          <w:bCs/>
          <w:sz w:val="18"/>
          <w:szCs w:val="18"/>
        </w:rPr>
        <w:t>Figure S</w:t>
      </w:r>
      <w:r>
        <w:rPr>
          <w:rFonts w:hint="eastAsia"/>
          <w:b/>
          <w:bCs/>
          <w:sz w:val="18"/>
          <w:szCs w:val="18"/>
        </w:rPr>
        <w:t>4</w:t>
      </w:r>
      <w:bookmarkEnd w:id="3"/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Co-expression network generated using WGCNA.</w:t>
      </w:r>
      <w:r>
        <w:rPr>
          <w:rFonts w:hint="eastAsia"/>
          <w:b/>
          <w:bCs/>
          <w:sz w:val="18"/>
          <w:szCs w:val="18"/>
        </w:rPr>
        <w:t xml:space="preserve">a 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 xml:space="preserve">Determination of soft-thresholding </w:t>
      </w:r>
    </w:p>
    <w:p>
      <w:pPr>
        <w:pStyle w:val="6"/>
        <w:rPr>
          <w:sz w:val="18"/>
          <w:szCs w:val="18"/>
        </w:rPr>
      </w:pPr>
      <w:r>
        <w:rPr>
          <w:sz w:val="18"/>
          <w:szCs w:val="18"/>
        </w:rPr>
        <w:t>power in the WGCNA.</w:t>
      </w:r>
      <w:r>
        <w:rPr>
          <w:rFonts w:hint="eastAsia"/>
          <w:b/>
          <w:bCs/>
          <w:sz w:val="18"/>
          <w:szCs w:val="18"/>
        </w:rPr>
        <w:t xml:space="preserve">b 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 xml:space="preserve">The cluster dendrogram of the genes with median absolute deviation in </w:t>
      </w:r>
    </w:p>
    <w:p>
      <w:pPr>
        <w:pStyle w:val="6"/>
        <w:rPr>
          <w:sz w:val="18"/>
          <w:szCs w:val="18"/>
        </w:rPr>
      </w:pPr>
      <w:r>
        <w:rPr>
          <w:sz w:val="18"/>
          <w:szCs w:val="18"/>
        </w:rPr>
        <w:t xml:space="preserve">the top 25%. Each branch in the figure represents one gene, and every color below represents one </w:t>
      </w:r>
    </w:p>
    <w:p>
      <w:pPr>
        <w:pStyle w:val="6"/>
        <w:rPr>
          <w:sz w:val="18"/>
          <w:szCs w:val="18"/>
        </w:rPr>
      </w:pPr>
      <w:r>
        <w:rPr>
          <w:sz w:val="18"/>
          <w:szCs w:val="18"/>
        </w:rPr>
        <w:t>co-expression module.</w:t>
      </w:r>
      <w:r>
        <w:rPr>
          <w:rFonts w:hint="eastAsia"/>
          <w:b/>
          <w:bCs/>
          <w:sz w:val="18"/>
          <w:szCs w:val="18"/>
        </w:rPr>
        <w:t xml:space="preserve">c 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 xml:space="preserve">Explore correlations between modules that have low coefficients in all </w:t>
      </w:r>
    </w:p>
    <w:p>
      <w:pPr>
        <w:pStyle w:val="6"/>
        <w:rPr>
          <w:sz w:val="18"/>
          <w:szCs w:val="18"/>
        </w:rPr>
      </w:pPr>
      <w:r>
        <w:rPr>
          <w:sz w:val="18"/>
          <w:szCs w:val="18"/>
        </w:rPr>
        <w:t>regions except for the high diagonal coefficient.</w:t>
      </w: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  <w:r>
        <w:rPr>
          <w:sz w:val="18"/>
          <w:szCs w:val="18"/>
          <w14:ligatures w14:val="standardContextual"/>
        </w:rPr>
        <w:drawing>
          <wp:inline distT="0" distB="0" distL="0" distR="0">
            <wp:extent cx="5316855" cy="2590165"/>
            <wp:effectExtent l="0" t="0" r="0" b="635"/>
            <wp:docPr id="11826241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624126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7568" cy="261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sz w:val="18"/>
          <w:szCs w:val="18"/>
        </w:rPr>
      </w:pPr>
      <w:bookmarkStart w:id="4" w:name="_Hlk167222708"/>
      <w:r>
        <w:rPr>
          <w:b/>
          <w:bCs/>
          <w:sz w:val="18"/>
          <w:szCs w:val="18"/>
        </w:rPr>
        <w:t>Figure S</w:t>
      </w:r>
      <w:r>
        <w:rPr>
          <w:rFonts w:hint="eastAsia"/>
          <w:b/>
          <w:bCs/>
          <w:sz w:val="18"/>
          <w:szCs w:val="18"/>
        </w:rPr>
        <w:t>5 a</w:t>
      </w:r>
      <w:bookmarkEnd w:id="4"/>
      <w:r>
        <w:rPr>
          <w:rFonts w:hint="eastAsia"/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>The endothelial cell dimensionality reduction cluster was divided into 11 clusters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b/>
          <w:bCs/>
          <w:sz w:val="18"/>
          <w:szCs w:val="18"/>
        </w:rPr>
        <w:t xml:space="preserve">b </w:t>
      </w:r>
      <w:r>
        <w:rPr>
          <w:sz w:val="18"/>
          <w:szCs w:val="18"/>
        </w:rPr>
        <w:t>In the TCGA database, the proportion of patients with MSI is higher in people with high C2 endothelial subgroup scores</w:t>
      </w:r>
      <w:r>
        <w:rPr>
          <w:rFonts w:hint="eastAsia"/>
          <w:sz w:val="18"/>
          <w:szCs w:val="18"/>
        </w:rPr>
        <w:t>.</w:t>
      </w: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</w:p>
    <w:p>
      <w:pPr>
        <w:pStyle w:val="6"/>
        <w:rPr>
          <w:sz w:val="18"/>
          <w:szCs w:val="18"/>
        </w:rPr>
      </w:pPr>
      <w:r>
        <w:rPr>
          <w:sz w:val="18"/>
          <w:szCs w:val="18"/>
          <w14:ligatures w14:val="standardContextual"/>
        </w:rPr>
        <w:drawing>
          <wp:inline distT="0" distB="0" distL="0" distR="0">
            <wp:extent cx="5274310" cy="2747010"/>
            <wp:effectExtent l="0" t="0" r="2540" b="0"/>
            <wp:docPr id="9957095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709511" name="图片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rPr>
          <w:rFonts w:hint="eastAsia"/>
          <w:sz w:val="18"/>
          <w:szCs w:val="18"/>
        </w:rPr>
      </w:pPr>
      <w:r>
        <w:rPr>
          <w:b/>
          <w:bCs/>
          <w:sz w:val="18"/>
          <w:szCs w:val="18"/>
        </w:rPr>
        <w:t>Figure S</w:t>
      </w:r>
      <w:r>
        <w:rPr>
          <w:rFonts w:hint="eastAsia"/>
          <w:b/>
          <w:bCs/>
          <w:sz w:val="18"/>
          <w:szCs w:val="18"/>
        </w:rPr>
        <w:t xml:space="preserve">6  </w:t>
      </w:r>
      <w:r>
        <w:rPr>
          <w:b/>
          <w:bCs/>
          <w:sz w:val="18"/>
          <w:szCs w:val="18"/>
        </w:rPr>
        <w:t>The survival significance of 7 transcription factor genes in the CRC cohort was obtained from the GEPIA database.</w:t>
      </w:r>
      <w:r>
        <w:rPr>
          <w:rFonts w:hint="eastAsia"/>
          <w:b/>
          <w:bCs/>
          <w:sz w:val="18"/>
          <w:szCs w:val="18"/>
        </w:rPr>
        <w:t xml:space="preserve">a </w:t>
      </w:r>
      <w:r>
        <w:rPr>
          <w:rFonts w:hint="eastAsia"/>
          <w:sz w:val="18"/>
          <w:szCs w:val="18"/>
        </w:rPr>
        <w:t>JUND.</w:t>
      </w:r>
      <w:r>
        <w:rPr>
          <w:rFonts w:hint="eastAsia"/>
          <w:b/>
          <w:bCs/>
          <w:sz w:val="18"/>
          <w:szCs w:val="18"/>
        </w:rPr>
        <w:t xml:space="preserve">b </w:t>
      </w:r>
      <w:r>
        <w:rPr>
          <w:rFonts w:hint="eastAsia"/>
          <w:sz w:val="18"/>
          <w:szCs w:val="18"/>
        </w:rPr>
        <w:t>MAFF.</w:t>
      </w:r>
      <w:r>
        <w:rPr>
          <w:rFonts w:hint="eastAsia"/>
          <w:b/>
          <w:bCs/>
          <w:sz w:val="18"/>
          <w:szCs w:val="18"/>
        </w:rPr>
        <w:t xml:space="preserve">c </w:t>
      </w:r>
      <w:r>
        <w:rPr>
          <w:rFonts w:hint="eastAsia"/>
          <w:sz w:val="18"/>
          <w:szCs w:val="18"/>
        </w:rPr>
        <w:t>MYLK.</w:t>
      </w:r>
      <w:r>
        <w:rPr>
          <w:rFonts w:hint="eastAsia"/>
          <w:b/>
          <w:bCs/>
          <w:sz w:val="18"/>
          <w:szCs w:val="18"/>
        </w:rPr>
        <w:t xml:space="preserve">d </w:t>
      </w:r>
      <w:r>
        <w:rPr>
          <w:rFonts w:hint="eastAsia"/>
          <w:sz w:val="18"/>
          <w:szCs w:val="18"/>
        </w:rPr>
        <w:t>PHLDA2.</w:t>
      </w:r>
      <w:r>
        <w:rPr>
          <w:rFonts w:hint="eastAsia"/>
          <w:b/>
          <w:bCs/>
          <w:sz w:val="18"/>
          <w:szCs w:val="18"/>
        </w:rPr>
        <w:t xml:space="preserve">e </w:t>
      </w:r>
      <w:r>
        <w:rPr>
          <w:rFonts w:hint="eastAsia"/>
          <w:sz w:val="18"/>
          <w:szCs w:val="18"/>
        </w:rPr>
        <w:t>TCF21.</w:t>
      </w:r>
      <w:r>
        <w:rPr>
          <w:rFonts w:hint="eastAsia"/>
          <w:b/>
          <w:bCs/>
          <w:sz w:val="18"/>
          <w:szCs w:val="18"/>
        </w:rPr>
        <w:t xml:space="preserve">f </w:t>
      </w:r>
      <w:r>
        <w:rPr>
          <w:rFonts w:hint="eastAsia"/>
          <w:sz w:val="18"/>
          <w:szCs w:val="18"/>
        </w:rPr>
        <w:t>XBP1.</w:t>
      </w:r>
      <w:r>
        <w:rPr>
          <w:rFonts w:hint="eastAsia"/>
          <w:b/>
          <w:bCs/>
          <w:sz w:val="18"/>
          <w:szCs w:val="18"/>
        </w:rPr>
        <w:t xml:space="preserve">g </w:t>
      </w:r>
      <w:r>
        <w:rPr>
          <w:rFonts w:hint="eastAsia"/>
          <w:sz w:val="18"/>
          <w:szCs w:val="18"/>
        </w:rPr>
        <w:t>SNAI2.</w:t>
      </w:r>
    </w:p>
    <w:p>
      <w:pPr>
        <w:pStyle w:val="6"/>
        <w:rPr>
          <w:rFonts w:hint="eastAsia"/>
          <w:sz w:val="18"/>
          <w:szCs w:val="18"/>
        </w:rPr>
      </w:pPr>
    </w:p>
    <w:p>
      <w:pPr>
        <w:pStyle w:val="6"/>
        <w:jc w:val="center"/>
        <w:rPr>
          <w:rFonts w:hint="eastAsia" w:eastAsia="宋体"/>
          <w:sz w:val="18"/>
          <w:szCs w:val="18"/>
          <w:lang w:eastAsia="zh-CN"/>
        </w:rPr>
      </w:pPr>
      <w:r>
        <w:rPr>
          <w:rFonts w:hint="eastAsia" w:eastAsia="宋体"/>
          <w:sz w:val="18"/>
          <w:szCs w:val="18"/>
          <w:lang w:eastAsia="zh-CN"/>
        </w:rPr>
        <w:drawing>
          <wp:inline distT="0" distB="0" distL="114300" distR="114300">
            <wp:extent cx="1595755" cy="1847850"/>
            <wp:effectExtent l="0" t="0" r="4445" b="6350"/>
            <wp:docPr id="1" name="图片 1" descr="TRAF4-CD31-柱状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RAF4-CD31-柱状图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575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jc w:val="both"/>
        <w:rPr>
          <w:rFonts w:hint="default" w:eastAsia="宋体"/>
          <w:b/>
          <w:bCs/>
          <w:sz w:val="18"/>
          <w:szCs w:val="18"/>
          <w:lang w:val="en-US" w:eastAsia="zh-CN"/>
        </w:rPr>
      </w:pPr>
      <w:r>
        <w:rPr>
          <w:rFonts w:hint="eastAsia"/>
          <w:b/>
          <w:bCs/>
          <w:sz w:val="18"/>
          <w:szCs w:val="18"/>
          <w:lang w:eastAsia="zh-CN"/>
        </w:rPr>
        <w:t>Figure S</w:t>
      </w:r>
      <w:r>
        <w:rPr>
          <w:rFonts w:hint="eastAsia"/>
          <w:b/>
          <w:bCs/>
          <w:sz w:val="18"/>
          <w:szCs w:val="18"/>
          <w:lang w:val="en-US" w:eastAsia="zh-CN"/>
        </w:rPr>
        <w:t>7 Samples with a high percentage of TRAF4 positivity showed a higher percentage of CD31 positivity.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yZmM0YzU5ODY3M2E0N2Q3MjIxZTkzMDBlZTAzMjIifQ=="/>
  </w:docVars>
  <w:rsids>
    <w:rsidRoot w:val="00FA7155"/>
    <w:rsid w:val="000128B6"/>
    <w:rsid w:val="00026250"/>
    <w:rsid w:val="0006581A"/>
    <w:rsid w:val="001C51D9"/>
    <w:rsid w:val="00336105"/>
    <w:rsid w:val="004A68B9"/>
    <w:rsid w:val="00521B79"/>
    <w:rsid w:val="00791901"/>
    <w:rsid w:val="008229DF"/>
    <w:rsid w:val="008C3A2E"/>
    <w:rsid w:val="009224FE"/>
    <w:rsid w:val="00DD3F29"/>
    <w:rsid w:val="00E036DF"/>
    <w:rsid w:val="00E36BCE"/>
    <w:rsid w:val="00E65EA1"/>
    <w:rsid w:val="00F17F43"/>
    <w:rsid w:val="00F470DC"/>
    <w:rsid w:val="00F645BB"/>
    <w:rsid w:val="00FA7155"/>
    <w:rsid w:val="00FB1C83"/>
    <w:rsid w:val="00FD0F67"/>
    <w:rsid w:val="138959E3"/>
    <w:rsid w:val="1E9F62C4"/>
    <w:rsid w:val="34627E5E"/>
    <w:rsid w:val="67AC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1"/>
    <w:qFormat/>
    <w:uiPriority w:val="0"/>
    <w:pPr>
      <w:jc w:val="both"/>
    </w:pPr>
    <w:rPr>
      <w:rFonts w:ascii="等线" w:hAnsi="等线" w:eastAsia="宋体" w:cs="宋体"/>
      <w:kern w:val="2"/>
      <w:sz w:val="21"/>
      <w:szCs w:val="21"/>
      <w:lang w:val="en-US" w:eastAsia="zh-CN" w:bidi="ar-SA"/>
      <w14:ligatures w14:val="none"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246</Words>
  <Characters>1427</Characters>
  <Lines>12</Lines>
  <Paragraphs>3</Paragraphs>
  <TotalTime>101</TotalTime>
  <ScaleCrop>false</ScaleCrop>
  <LinksUpToDate>false</LinksUpToDate>
  <CharactersWithSpaces>1673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2024-05-16T15:35:00Z</dcterms:created>
  <dc:creator>office</dc:creator>
  <cp:lastModifiedBy>夏目</cp:lastModifiedBy>
  <dcterms:modified xsi:type="dcterms:W3CDTF">2024-05-29T05:59:53Z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BDA2BE3F60744B988064E62287783F6F_12</vt:lpwstr>
  </property>
</Properties>
</file>