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05158" w14:textId="57D27E9F" w:rsidR="00420C16" w:rsidRDefault="00420C16">
      <w:r>
        <w:t>Supplemental Data</w:t>
      </w:r>
    </w:p>
    <w:p w14:paraId="46C9C6D2" w14:textId="7BAC1FEF" w:rsidR="00420C16" w:rsidRDefault="00420C16"/>
    <w:p w14:paraId="55D7CDCE" w14:textId="24624B5C" w:rsidR="00420C16" w:rsidRDefault="00420C16">
      <w:r>
        <w:t>Supplemental Figure 1</w:t>
      </w:r>
    </w:p>
    <w:p w14:paraId="29DFFD2F" w14:textId="36F1FFB5" w:rsidR="00420C16" w:rsidRDefault="00420C16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4BB118B" wp14:editId="7D82EE69">
            <wp:simplePos x="0" y="0"/>
            <wp:positionH relativeFrom="margin">
              <wp:posOffset>215900</wp:posOffset>
            </wp:positionH>
            <wp:positionV relativeFrom="margin">
              <wp:posOffset>863600</wp:posOffset>
            </wp:positionV>
            <wp:extent cx="4978400" cy="2682452"/>
            <wp:effectExtent l="0" t="0" r="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0" cy="268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B8AEF4" w14:textId="77777777" w:rsidR="00420C16" w:rsidRDefault="00420C16"/>
    <w:p w14:paraId="5E9BF37E" w14:textId="77777777" w:rsidR="00420C16" w:rsidRDefault="00420C16"/>
    <w:p w14:paraId="685F17FE" w14:textId="77777777" w:rsidR="00420C16" w:rsidRDefault="00420C16"/>
    <w:p w14:paraId="5C322CB9" w14:textId="77777777" w:rsidR="00420C16" w:rsidRDefault="00420C16"/>
    <w:p w14:paraId="403F53E0" w14:textId="77777777" w:rsidR="00420C16" w:rsidRDefault="00420C16"/>
    <w:p w14:paraId="751FCDAF" w14:textId="77777777" w:rsidR="00420C16" w:rsidRDefault="00420C16" w:rsidP="00420C16"/>
    <w:p w14:paraId="2A267C99" w14:textId="77777777" w:rsidR="00420C16" w:rsidRDefault="00420C16" w:rsidP="00420C16"/>
    <w:p w14:paraId="4B80D262" w14:textId="77777777" w:rsidR="00420C16" w:rsidRDefault="00420C16" w:rsidP="00420C16"/>
    <w:p w14:paraId="19DA5C4A" w14:textId="77777777" w:rsidR="00420C16" w:rsidRDefault="00420C16" w:rsidP="00420C16"/>
    <w:p w14:paraId="48357C5D" w14:textId="7748227E" w:rsidR="00420C16" w:rsidRDefault="00420C16" w:rsidP="00420C16">
      <w:pPr>
        <w:rPr>
          <w:rFonts w:ascii="Arial" w:hAnsi="Arial" w:cs="Arial"/>
        </w:rPr>
      </w:pPr>
      <w:r>
        <w:t>Legend:</w:t>
      </w:r>
    </w:p>
    <w:p w14:paraId="46F0DB2B" w14:textId="3D481A7F" w:rsidR="00420C16" w:rsidRDefault="00420C16" w:rsidP="00420C16">
      <w:pPr>
        <w:rPr>
          <w:rFonts w:ascii="Arial" w:hAnsi="Arial" w:cs="Arial"/>
        </w:rPr>
      </w:pPr>
      <w:r>
        <w:rPr>
          <w:rFonts w:ascii="Arial" w:hAnsi="Arial" w:cs="Arial"/>
        </w:rPr>
        <w:t xml:space="preserve">Figure S1: HR comparison between high and low dose </w:t>
      </w:r>
      <w:proofErr w:type="spellStart"/>
      <w:r>
        <w:rPr>
          <w:rFonts w:ascii="Arial" w:hAnsi="Arial" w:cs="Arial"/>
        </w:rPr>
        <w:t>dose</w:t>
      </w:r>
      <w:proofErr w:type="spellEnd"/>
      <w:r>
        <w:rPr>
          <w:rFonts w:ascii="Arial" w:hAnsi="Arial" w:cs="Arial"/>
        </w:rPr>
        <w:t xml:space="preserve"> ELI: No overall change in HR during either high dose or dose ELI.</w:t>
      </w:r>
      <w:r w:rsidR="00FE56ED">
        <w:rPr>
          <w:rFonts w:ascii="Arial" w:hAnsi="Arial" w:cs="Arial"/>
        </w:rPr>
        <w:t xml:space="preserve"> Hours shown are from 1 hour before ELI (-1) to 4 hours after the start of ELI infusion.</w:t>
      </w:r>
    </w:p>
    <w:p w14:paraId="3B0D7B35" w14:textId="2114E33B" w:rsidR="00420C16" w:rsidRDefault="00420C16"/>
    <w:p w14:paraId="21366E1F" w14:textId="3FEB57AC" w:rsidR="0001219F" w:rsidRDefault="0001219F" w:rsidP="0001219F">
      <w:pPr>
        <w:pageBreakBefore/>
      </w:pPr>
      <w:r>
        <w:rPr>
          <w:rFonts w:ascii="Arial" w:hAnsi="Arial" w:cs="Arial"/>
        </w:rPr>
        <w:lastRenderedPageBreak/>
        <w:t xml:space="preserve">Figure S2: </w:t>
      </w:r>
      <w:r w:rsidR="00A34695">
        <w:rPr>
          <w:rFonts w:ascii="Arial" w:hAnsi="Arial" w:cs="Arial"/>
        </w:rPr>
        <w:t>Cerebral microdialysis values of extracellular pyruvate during the high dose ELI</w:t>
      </w:r>
      <w:r w:rsidR="008F7818">
        <w:rPr>
          <w:rFonts w:ascii="Arial" w:hAnsi="Arial" w:cs="Arial"/>
        </w:rPr>
        <w:t xml:space="preserve"> (top) and low dose ELI (bottom)</w:t>
      </w:r>
    </w:p>
    <w:p w14:paraId="43166EF4" w14:textId="26BAF41B" w:rsidR="0001219F" w:rsidRDefault="00553E76" w:rsidP="0001219F">
      <w:r>
        <w:rPr>
          <w:noProof/>
        </w:rPr>
        <w:drawing>
          <wp:inline distT="0" distB="0" distL="0" distR="0" wp14:anchorId="393DA49E" wp14:editId="71C17BE5">
            <wp:extent cx="6315710" cy="3767455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710" cy="3767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76CCC3" w14:textId="66C654DA" w:rsidR="008F7818" w:rsidRDefault="008F7818" w:rsidP="0001219F">
      <w:r>
        <w:rPr>
          <w:noProof/>
        </w:rPr>
        <w:drawing>
          <wp:inline distT="0" distB="0" distL="0" distR="0" wp14:anchorId="0A57906D" wp14:editId="51528BB4">
            <wp:extent cx="6364605" cy="37674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605" cy="3767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6F24DB" w14:textId="77777777" w:rsidR="00306C6D" w:rsidRDefault="00306C6D" w:rsidP="00306C6D">
      <w:pPr>
        <w:rPr>
          <w:rFonts w:ascii="Arial" w:hAnsi="Arial" w:cs="Arial"/>
        </w:rPr>
      </w:pPr>
      <w:r>
        <w:lastRenderedPageBreak/>
        <w:t>Legend:</w:t>
      </w:r>
    </w:p>
    <w:p w14:paraId="58E5A805" w14:textId="678EE192" w:rsidR="00306C6D" w:rsidRDefault="00306C6D" w:rsidP="00306C6D">
      <w:pPr>
        <w:rPr>
          <w:rFonts w:ascii="Arial" w:hAnsi="Arial" w:cs="Arial"/>
        </w:rPr>
      </w:pPr>
      <w:r>
        <w:rPr>
          <w:rFonts w:ascii="Arial" w:hAnsi="Arial" w:cs="Arial"/>
        </w:rPr>
        <w:t xml:space="preserve">Figure </w:t>
      </w:r>
      <w:r>
        <w:rPr>
          <w:rFonts w:ascii="Arial" w:hAnsi="Arial" w:cs="Arial"/>
        </w:rPr>
        <w:t>S2”: Hourly values of cerebral microdialysis (CMD) pyruvate before, during and after the high dose ELI, n=5 subjects (top) and low dose ELI, n=5 subjects (bottom). No significant change in CMD pyruvate were noted.</w:t>
      </w:r>
    </w:p>
    <w:p w14:paraId="20163154" w14:textId="77777777" w:rsidR="00306C6D" w:rsidRDefault="00306C6D" w:rsidP="0001219F"/>
    <w:sectPr w:rsidR="00306C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C16"/>
    <w:rsid w:val="0001219F"/>
    <w:rsid w:val="00306C6D"/>
    <w:rsid w:val="00420C16"/>
    <w:rsid w:val="00553E76"/>
    <w:rsid w:val="008F7818"/>
    <w:rsid w:val="00A34695"/>
    <w:rsid w:val="00FE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7FDBB"/>
  <w15:chartTrackingRefBased/>
  <w15:docId w15:val="{145852F6-9CAA-4784-A1CE-AAB1BB266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C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3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 Health Sciences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Vespa, Paul M.</dc:creator>
  <cp:keywords/>
  <dc:description/>
  <cp:lastModifiedBy>Vespa, Paul M.</cp:lastModifiedBy>
  <cp:revision>4</cp:revision>
  <dcterms:created xsi:type="dcterms:W3CDTF">2024-05-25T21:22:00Z</dcterms:created>
  <dcterms:modified xsi:type="dcterms:W3CDTF">2024-05-26T16:20:00Z</dcterms:modified>
</cp:coreProperties>
</file>