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108" w:type="dxa"/>
          <w:right w:w="108" w:type="dxa"/>
        </w:tblCellMar>
      </w:tblPr>
      <w:tblGrid>
        <w:gridCol w:w="1317"/>
        <w:gridCol w:w="1330"/>
        <w:gridCol w:w="1600"/>
        <w:gridCol w:w="1530"/>
        <w:gridCol w:w="1580"/>
        <w:gridCol w:w="1610"/>
        <w:gridCol w:w="1590"/>
        <w:gridCol w:w="1710"/>
        <w:gridCol w:w="18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503" w:hRule="atLeast"/>
        </w:trPr>
        <w:tc>
          <w:tcPr>
            <w:tcW w:w="1317" w:type="dxa"/>
            <w:tcBorders>
              <w:left w:val="nil"/>
              <w:right w:val="nil"/>
            </w:tcBorders>
          </w:tcPr>
          <w:p>
            <w:pPr>
              <w:rPr>
                <w:rFonts w:hint="default" w:ascii="Arial" w:hAnsi="Arial" w:cs="Arial"/>
                <w:vertAlign w:val="baseline"/>
              </w:rPr>
            </w:pPr>
          </w:p>
        </w:tc>
        <w:tc>
          <w:tcPr>
            <w:tcW w:w="1330" w:type="dxa"/>
            <w:tcBorders>
              <w:left w:val="nil"/>
              <w:right w:val="nil"/>
            </w:tcBorders>
          </w:tcPr>
          <w:p>
            <w:pPr>
              <w:rPr>
                <w:rFonts w:hint="default" w:ascii="Arial" w:hAnsi="Arial" w:cs="Arial"/>
                <w:vertAlign w:val="baseline"/>
              </w:rPr>
            </w:pPr>
            <w:r>
              <w:rPr>
                <w:rFonts w:hint="default" w:ascii="Arial" w:hAnsi="Arial" w:cs="Arial"/>
                <w:vertAlign w:val="baseline"/>
              </w:rPr>
              <w:t>Metrics</w:t>
            </w:r>
          </w:p>
        </w:tc>
        <w:tc>
          <w:tcPr>
            <w:tcW w:w="1600" w:type="dxa"/>
            <w:tcBorders>
              <w:left w:val="nil"/>
              <w:right w:val="nil"/>
            </w:tcBorders>
          </w:tcPr>
          <w:p>
            <w:pPr>
              <w:rPr>
                <w:rFonts w:hint="default" w:ascii="Arial" w:hAnsi="Arial" w:cs="Arial"/>
                <w:vertAlign w:val="baseline"/>
              </w:rPr>
            </w:pPr>
            <w:r>
              <w:rPr>
                <w:rFonts w:hint="default" w:ascii="Arial" w:hAnsi="Arial" w:cs="Arial"/>
                <w:vertAlign w:val="baseline"/>
              </w:rPr>
              <w:t>ADC</w:t>
            </w:r>
            <w:r>
              <w:rPr>
                <w:rFonts w:hint="eastAsia" w:ascii="Arial" w:hAnsi="Arial" w:cs="Arial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Arial" w:hAnsi="Arial" w:cs="Arial"/>
                <w:vertAlign w:val="baseline"/>
              </w:rPr>
              <w:t>+</w:t>
            </w:r>
            <w:r>
              <w:rPr>
                <w:rFonts w:hint="eastAsia" w:ascii="Arial" w:hAnsi="Arial" w:cs="Arial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Arial" w:hAnsi="Arial" w:cs="Arial"/>
                <w:vertAlign w:val="baseline"/>
              </w:rPr>
              <w:t>DWI</w:t>
            </w:r>
            <w:r>
              <w:rPr>
                <w:rFonts w:hint="eastAsia" w:ascii="Arial" w:hAnsi="Arial" w:cs="Arial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Arial" w:hAnsi="Arial" w:cs="Arial"/>
                <w:vertAlign w:val="baseline"/>
              </w:rPr>
              <w:t>+</w:t>
            </w:r>
            <w:r>
              <w:rPr>
                <w:rFonts w:hint="eastAsia" w:ascii="Arial" w:hAnsi="Arial" w:cs="Arial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Arial" w:hAnsi="Arial" w:cs="Arial"/>
                <w:vertAlign w:val="baseline"/>
              </w:rPr>
              <w:t>T1-CE model</w:t>
            </w:r>
          </w:p>
        </w:tc>
        <w:tc>
          <w:tcPr>
            <w:tcW w:w="1530" w:type="dxa"/>
            <w:tcBorders>
              <w:left w:val="nil"/>
              <w:right w:val="nil"/>
            </w:tcBorders>
          </w:tcPr>
          <w:p>
            <w:pPr>
              <w:rPr>
                <w:rFonts w:hint="default" w:ascii="Arial" w:hAnsi="Arial" w:cs="Arial"/>
                <w:vertAlign w:val="baseline"/>
              </w:rPr>
            </w:pPr>
            <w:r>
              <w:rPr>
                <w:rFonts w:hint="default" w:ascii="Arial" w:hAnsi="Arial" w:cs="Arial"/>
                <w:vertAlign w:val="baseline"/>
              </w:rPr>
              <w:t>ADC</w:t>
            </w:r>
            <w:r>
              <w:rPr>
                <w:rFonts w:hint="eastAsia" w:ascii="Arial" w:hAnsi="Arial" w:cs="Arial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Arial" w:hAnsi="Arial" w:cs="Arial"/>
                <w:vertAlign w:val="baseline"/>
              </w:rPr>
              <w:t>+</w:t>
            </w:r>
            <w:r>
              <w:rPr>
                <w:rFonts w:hint="eastAsia" w:ascii="Arial" w:hAnsi="Arial" w:cs="Arial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Arial" w:hAnsi="Arial" w:cs="Arial"/>
                <w:vertAlign w:val="baseline"/>
              </w:rPr>
              <w:t>DWI model</w:t>
            </w:r>
          </w:p>
        </w:tc>
        <w:tc>
          <w:tcPr>
            <w:tcW w:w="1580" w:type="dxa"/>
            <w:tcBorders>
              <w:left w:val="nil"/>
              <w:right w:val="nil"/>
            </w:tcBorders>
          </w:tcPr>
          <w:p>
            <w:pPr>
              <w:rPr>
                <w:rFonts w:hint="default" w:ascii="Arial" w:hAnsi="Arial" w:cs="Arial"/>
                <w:vertAlign w:val="baseline"/>
              </w:rPr>
            </w:pPr>
            <w:r>
              <w:rPr>
                <w:rFonts w:hint="default" w:ascii="Arial" w:hAnsi="Arial" w:cs="Arial"/>
                <w:vertAlign w:val="baseline"/>
              </w:rPr>
              <w:t>DWI</w:t>
            </w:r>
            <w:r>
              <w:rPr>
                <w:rFonts w:hint="eastAsia" w:ascii="Arial" w:hAnsi="Arial" w:cs="Arial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Arial" w:hAnsi="Arial" w:cs="Arial"/>
                <w:vertAlign w:val="baseline"/>
              </w:rPr>
              <w:t>+</w:t>
            </w:r>
            <w:r>
              <w:rPr>
                <w:rFonts w:hint="eastAsia" w:ascii="Arial" w:hAnsi="Arial" w:cs="Arial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Arial" w:hAnsi="Arial" w:cs="Arial"/>
                <w:vertAlign w:val="baseline"/>
              </w:rPr>
              <w:t>T1-CE model</w:t>
            </w:r>
          </w:p>
        </w:tc>
        <w:tc>
          <w:tcPr>
            <w:tcW w:w="1610" w:type="dxa"/>
            <w:tcBorders>
              <w:left w:val="nil"/>
              <w:right w:val="nil"/>
            </w:tcBorders>
          </w:tcPr>
          <w:p>
            <w:pPr>
              <w:rPr>
                <w:rFonts w:hint="default" w:ascii="Arial" w:hAnsi="Arial" w:cs="Arial"/>
                <w:vertAlign w:val="baseline"/>
              </w:rPr>
            </w:pPr>
            <w:r>
              <w:rPr>
                <w:rFonts w:hint="default" w:ascii="Arial" w:hAnsi="Arial" w:cs="Arial"/>
                <w:vertAlign w:val="baseline"/>
              </w:rPr>
              <w:t>ADC</w:t>
            </w:r>
            <w:r>
              <w:rPr>
                <w:rFonts w:hint="eastAsia" w:ascii="Arial" w:hAnsi="Arial" w:cs="Arial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Arial" w:hAnsi="Arial" w:cs="Arial"/>
                <w:vertAlign w:val="baseline"/>
              </w:rPr>
              <w:t>+</w:t>
            </w:r>
            <w:r>
              <w:rPr>
                <w:rFonts w:hint="eastAsia" w:ascii="Arial" w:hAnsi="Arial" w:cs="Arial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Arial" w:hAnsi="Arial" w:cs="Arial"/>
                <w:vertAlign w:val="baseline"/>
              </w:rPr>
              <w:t>T1-CE model</w:t>
            </w:r>
          </w:p>
        </w:tc>
        <w:tc>
          <w:tcPr>
            <w:tcW w:w="1590" w:type="dxa"/>
            <w:tcBorders>
              <w:left w:val="nil"/>
              <w:right w:val="nil"/>
            </w:tcBorders>
          </w:tcPr>
          <w:p>
            <w:pPr>
              <w:rPr>
                <w:rFonts w:hint="default" w:ascii="Arial" w:hAnsi="Arial" w:cs="Arial"/>
                <w:vertAlign w:val="baseline"/>
              </w:rPr>
            </w:pPr>
            <w:r>
              <w:rPr>
                <w:rFonts w:hint="default" w:ascii="Arial" w:hAnsi="Arial" w:cs="Arial"/>
                <w:vertAlign w:val="baseline"/>
              </w:rPr>
              <w:t>ADC model</w:t>
            </w:r>
          </w:p>
        </w:tc>
        <w:tc>
          <w:tcPr>
            <w:tcW w:w="1710" w:type="dxa"/>
            <w:tcBorders>
              <w:left w:val="nil"/>
              <w:right w:val="nil"/>
            </w:tcBorders>
          </w:tcPr>
          <w:p>
            <w:pPr>
              <w:rPr>
                <w:rFonts w:hint="default" w:ascii="Arial" w:hAnsi="Arial" w:cs="Arial"/>
                <w:vertAlign w:val="baseline"/>
              </w:rPr>
            </w:pPr>
            <w:r>
              <w:rPr>
                <w:rFonts w:hint="default" w:ascii="Arial" w:hAnsi="Arial" w:cs="Arial"/>
                <w:vertAlign w:val="baseline"/>
              </w:rPr>
              <w:t>T1-CE model</w:t>
            </w:r>
          </w:p>
        </w:tc>
        <w:tc>
          <w:tcPr>
            <w:tcW w:w="1830" w:type="dxa"/>
            <w:tcBorders>
              <w:left w:val="nil"/>
              <w:right w:val="nil"/>
            </w:tcBorders>
          </w:tcPr>
          <w:p>
            <w:pPr>
              <w:rPr>
                <w:rFonts w:hint="default" w:ascii="Arial" w:hAnsi="Arial" w:cs="Arial"/>
                <w:vertAlign w:val="baseline"/>
              </w:rPr>
            </w:pPr>
            <w:r>
              <w:rPr>
                <w:rFonts w:hint="default" w:ascii="Arial" w:hAnsi="Arial" w:cs="Arial"/>
                <w:vertAlign w:val="baseline"/>
              </w:rPr>
              <w:t>DWI model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503" w:hRule="atLeast"/>
        </w:trPr>
        <w:tc>
          <w:tcPr>
            <w:tcW w:w="1317" w:type="dxa"/>
            <w:tcBorders>
              <w:left w:val="nil"/>
              <w:bottom w:val="nil"/>
              <w:right w:val="nil"/>
            </w:tcBorders>
          </w:tcPr>
          <w:p>
            <w:pPr>
              <w:rPr>
                <w:rFonts w:hint="default" w:ascii="Arial" w:hAnsi="Arial" w:cs="Arial"/>
                <w:vertAlign w:val="baseline"/>
              </w:rPr>
            </w:pPr>
            <w:r>
              <w:rPr>
                <w:rFonts w:hint="default" w:ascii="Arial" w:hAnsi="Arial" w:cs="Arial"/>
                <w:vertAlign w:val="baseline"/>
              </w:rPr>
              <w:t xml:space="preserve">Training set </w:t>
            </w:r>
          </w:p>
        </w:tc>
        <w:tc>
          <w:tcPr>
            <w:tcW w:w="1330" w:type="dxa"/>
            <w:tcBorders>
              <w:left w:val="nil"/>
              <w:bottom w:val="nil"/>
              <w:right w:val="nil"/>
            </w:tcBorders>
          </w:tcPr>
          <w:p>
            <w:pPr>
              <w:rPr>
                <w:rFonts w:hint="default" w:ascii="Arial" w:hAnsi="Arial" w:cs="Arial"/>
                <w:vertAlign w:val="baseline"/>
              </w:rPr>
            </w:pPr>
            <w:r>
              <w:rPr>
                <w:rFonts w:hint="default" w:ascii="Arial" w:hAnsi="Arial" w:cs="Arial"/>
                <w:vertAlign w:val="baseline"/>
              </w:rPr>
              <w:t>AUC</w:t>
            </w:r>
          </w:p>
        </w:tc>
        <w:tc>
          <w:tcPr>
            <w:tcW w:w="1600" w:type="dxa"/>
            <w:tcBorders>
              <w:left w:val="nil"/>
              <w:bottom w:val="nil"/>
              <w:right w:val="nil"/>
            </w:tcBorders>
          </w:tcPr>
          <w:p>
            <w:pPr>
              <w:rPr>
                <w:rFonts w:hint="default" w:ascii="Arial" w:hAnsi="Arial" w:cs="Arial" w:eastAsiaTheme="minorEastAsia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vertAlign w:val="baseline"/>
                <w:lang w:val="en-US" w:eastAsia="zh-CN"/>
              </w:rPr>
              <w:t>0.902</w:t>
            </w:r>
          </w:p>
        </w:tc>
        <w:tc>
          <w:tcPr>
            <w:tcW w:w="1530" w:type="dxa"/>
            <w:tcBorders>
              <w:left w:val="nil"/>
              <w:bottom w:val="nil"/>
              <w:right w:val="nil"/>
            </w:tcBorders>
          </w:tcPr>
          <w:p>
            <w:pPr>
              <w:rPr>
                <w:rFonts w:hint="default" w:ascii="Arial" w:hAnsi="Arial" w:cs="Arial" w:eastAsiaTheme="minorEastAsia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vertAlign w:val="baseline"/>
                <w:lang w:val="en-US" w:eastAsia="zh-CN"/>
              </w:rPr>
              <w:t>0.830</w:t>
            </w:r>
          </w:p>
        </w:tc>
        <w:tc>
          <w:tcPr>
            <w:tcW w:w="1580" w:type="dxa"/>
            <w:tcBorders>
              <w:left w:val="nil"/>
              <w:bottom w:val="nil"/>
              <w:right w:val="nil"/>
            </w:tcBorders>
          </w:tcPr>
          <w:p>
            <w:pPr>
              <w:rPr>
                <w:rFonts w:hint="default" w:ascii="Arial" w:hAnsi="Arial" w:cs="Arial" w:eastAsiaTheme="minorEastAsia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vertAlign w:val="baseline"/>
                <w:lang w:val="en-US" w:eastAsia="zh-CN"/>
              </w:rPr>
              <w:t>0.879</w:t>
            </w:r>
          </w:p>
        </w:tc>
        <w:tc>
          <w:tcPr>
            <w:tcW w:w="1610" w:type="dxa"/>
            <w:tcBorders>
              <w:left w:val="nil"/>
              <w:bottom w:val="nil"/>
              <w:right w:val="nil"/>
            </w:tcBorders>
          </w:tcPr>
          <w:p>
            <w:pPr>
              <w:rPr>
                <w:rFonts w:hint="default" w:ascii="Arial" w:hAnsi="Arial" w:cs="Arial" w:eastAsiaTheme="minorEastAsia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vertAlign w:val="baseline"/>
                <w:lang w:val="en-US" w:eastAsia="zh-CN"/>
              </w:rPr>
              <w:t>0.862</w:t>
            </w:r>
          </w:p>
        </w:tc>
        <w:tc>
          <w:tcPr>
            <w:tcW w:w="1590" w:type="dxa"/>
            <w:tcBorders>
              <w:left w:val="nil"/>
              <w:bottom w:val="nil"/>
              <w:right w:val="nil"/>
            </w:tcBorders>
          </w:tcPr>
          <w:p>
            <w:pPr>
              <w:rPr>
                <w:rFonts w:hint="default" w:ascii="Arial" w:hAnsi="Arial" w:cs="Arial" w:eastAsiaTheme="minorEastAsia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vertAlign w:val="baseline"/>
                <w:lang w:val="en-US" w:eastAsia="zh-CN"/>
              </w:rPr>
              <w:t>0.976</w:t>
            </w:r>
          </w:p>
        </w:tc>
        <w:tc>
          <w:tcPr>
            <w:tcW w:w="1710" w:type="dxa"/>
            <w:tcBorders>
              <w:left w:val="nil"/>
              <w:bottom w:val="nil"/>
              <w:right w:val="nil"/>
            </w:tcBorders>
          </w:tcPr>
          <w:p>
            <w:pPr>
              <w:rPr>
                <w:rFonts w:hint="default" w:ascii="Arial" w:hAnsi="Arial" w:cs="Arial" w:eastAsiaTheme="minorEastAsia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vertAlign w:val="baseline"/>
                <w:lang w:val="en-US" w:eastAsia="zh-CN"/>
              </w:rPr>
              <w:t>0.753</w:t>
            </w:r>
          </w:p>
        </w:tc>
        <w:tc>
          <w:tcPr>
            <w:tcW w:w="1830" w:type="dxa"/>
            <w:tcBorders>
              <w:left w:val="nil"/>
              <w:bottom w:val="nil"/>
              <w:right w:val="nil"/>
            </w:tcBorders>
          </w:tcPr>
          <w:p>
            <w:pPr>
              <w:rPr>
                <w:rFonts w:hint="default" w:ascii="Arial" w:hAnsi="Arial" w:cs="Arial" w:eastAsiaTheme="minorEastAsia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vertAlign w:val="baseline"/>
                <w:lang w:val="en-US" w:eastAsia="zh-CN"/>
              </w:rPr>
              <w:t>0.973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503" w:hRule="atLeast"/>
        </w:trPr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Arial" w:hAnsi="Arial" w:cs="Arial"/>
                <w:vertAlign w:val="baseli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Arial" w:hAnsi="Arial" w:cs="Arial"/>
                <w:vertAlign w:val="baseline"/>
              </w:rPr>
            </w:pPr>
            <w:r>
              <w:rPr>
                <w:rFonts w:hint="default" w:ascii="Arial" w:hAnsi="Arial" w:cs="Arial"/>
                <w:vertAlign w:val="baseline"/>
              </w:rPr>
              <w:t>AUC_95%CI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Arial" w:hAnsi="Arial" w:cs="Arial"/>
                <w:vertAlign w:val="baseline"/>
              </w:rPr>
            </w:pPr>
            <w:r>
              <w:rPr>
                <w:rFonts w:hint="default" w:ascii="Arial" w:hAnsi="Arial" w:cs="Arial"/>
                <w:vertAlign w:val="baseline"/>
              </w:rPr>
              <w:t>[0.853-0.952]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Arial" w:hAnsi="Arial" w:cs="Arial"/>
                <w:vertAlign w:val="baseline"/>
              </w:rPr>
            </w:pPr>
            <w:r>
              <w:rPr>
                <w:rFonts w:hint="default" w:ascii="Arial" w:hAnsi="Arial" w:cs="Arial"/>
                <w:vertAlign w:val="baseline"/>
              </w:rPr>
              <w:t>[0.761-0.899]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Arial" w:hAnsi="Arial" w:cs="Arial"/>
                <w:vertAlign w:val="baseline"/>
              </w:rPr>
            </w:pPr>
            <w:r>
              <w:rPr>
                <w:rFonts w:hint="default" w:ascii="Arial" w:hAnsi="Arial" w:cs="Arial"/>
                <w:vertAlign w:val="baseline"/>
              </w:rPr>
              <w:t>[0.825-0.934]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Arial" w:hAnsi="Arial" w:cs="Arial"/>
                <w:vertAlign w:val="baseline"/>
              </w:rPr>
            </w:pPr>
            <w:r>
              <w:rPr>
                <w:rFonts w:hint="default" w:ascii="Arial" w:hAnsi="Arial" w:cs="Arial"/>
                <w:vertAlign w:val="baseline"/>
              </w:rPr>
              <w:t>[0.802-0.922]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Arial" w:hAnsi="Arial" w:cs="Arial"/>
                <w:vertAlign w:val="baseline"/>
              </w:rPr>
            </w:pPr>
            <w:r>
              <w:rPr>
                <w:rFonts w:hint="default" w:ascii="Arial" w:hAnsi="Arial" w:cs="Arial"/>
                <w:vertAlign w:val="baseline"/>
              </w:rPr>
              <w:t>[0.957-0.995]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Arial" w:hAnsi="Arial" w:cs="Arial"/>
                <w:vertAlign w:val="baseline"/>
              </w:rPr>
            </w:pPr>
            <w:r>
              <w:rPr>
                <w:rFonts w:hint="default" w:ascii="Arial" w:hAnsi="Arial" w:cs="Arial"/>
                <w:vertAlign w:val="baseline"/>
              </w:rPr>
              <w:t>[0.667-0.838]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Arial" w:hAnsi="Arial" w:cs="Arial"/>
                <w:vertAlign w:val="baseline"/>
              </w:rPr>
            </w:pPr>
            <w:r>
              <w:rPr>
                <w:rFonts w:hint="default" w:ascii="Arial" w:hAnsi="Arial" w:cs="Arial"/>
                <w:vertAlign w:val="baseline"/>
              </w:rPr>
              <w:t>[0.946-0.999]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503" w:hRule="atLeast"/>
        </w:trPr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Arial" w:hAnsi="Arial" w:cs="Arial"/>
                <w:vertAlign w:val="baseli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Arial" w:hAnsi="Arial" w:cs="Arial"/>
                <w:vertAlign w:val="baseline"/>
              </w:rPr>
            </w:pPr>
            <w:r>
              <w:rPr>
                <w:rFonts w:hint="default" w:ascii="Arial" w:hAnsi="Arial" w:cs="Arial"/>
                <w:vertAlign w:val="baseline"/>
              </w:rPr>
              <w:t>Accuracy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Arial" w:hAnsi="Arial" w:cs="Arial" w:eastAsiaTheme="minorEastAsia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vertAlign w:val="baseline"/>
                <w:lang w:val="en-US" w:eastAsia="zh-CN"/>
              </w:rPr>
              <w:t>0.813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Arial" w:hAnsi="Arial" w:cs="Arial" w:eastAsiaTheme="minorEastAsia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vertAlign w:val="baseline"/>
                <w:lang w:val="en-US" w:eastAsia="zh-CN"/>
              </w:rPr>
              <w:t>0.708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Arial" w:hAnsi="Arial" w:cs="Arial" w:eastAsiaTheme="minorEastAsia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vertAlign w:val="baseline"/>
                <w:lang w:val="en-US" w:eastAsia="zh-CN"/>
              </w:rPr>
              <w:t>0.771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Arial" w:hAnsi="Arial" w:cs="Arial" w:eastAsiaTheme="minorEastAsia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vertAlign w:val="baseline"/>
                <w:lang w:val="en-US" w:eastAsia="zh-CN"/>
              </w:rPr>
              <w:t>0.757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Arial" w:hAnsi="Arial" w:cs="Arial" w:eastAsiaTheme="minorEastAsia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vertAlign w:val="baseline"/>
                <w:lang w:val="en-US" w:eastAsia="zh-CN"/>
              </w:rPr>
              <w:t>0.917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Arial" w:hAnsi="Arial" w:cs="Arial" w:eastAsiaTheme="minorEastAsia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vertAlign w:val="baseline"/>
                <w:lang w:val="en-US" w:eastAsia="zh-CN"/>
              </w:rPr>
              <w:t>0.604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Arial" w:hAnsi="Arial" w:cs="Arial" w:eastAsiaTheme="minorEastAsia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vertAlign w:val="baseline"/>
                <w:lang w:val="en-US" w:eastAsia="zh-CN"/>
              </w:rPr>
              <w:t>0.882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503" w:hRule="atLeast"/>
        </w:trPr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Arial" w:hAnsi="Arial" w:cs="Arial"/>
                <w:vertAlign w:val="baseli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Arial" w:hAnsi="Arial" w:cs="Arial"/>
                <w:vertAlign w:val="baseline"/>
              </w:rPr>
            </w:pPr>
            <w:r>
              <w:rPr>
                <w:rFonts w:hint="default" w:ascii="Arial" w:hAnsi="Arial" w:cs="Arial"/>
                <w:vertAlign w:val="baseline"/>
              </w:rPr>
              <w:t>Sensitivity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Arial" w:hAnsi="Arial" w:cs="Arial" w:eastAsiaTheme="minorEastAsia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vertAlign w:val="baseline"/>
                <w:lang w:val="en-US" w:eastAsia="zh-CN"/>
              </w:rPr>
              <w:t>0.797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Arial" w:hAnsi="Arial" w:cs="Arial" w:eastAsiaTheme="minorEastAsia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vertAlign w:val="baseline"/>
                <w:lang w:val="en-US" w:eastAsia="zh-CN"/>
              </w:rPr>
              <w:t>0.655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Arial" w:hAnsi="Arial" w:cs="Arial" w:eastAsiaTheme="minorEastAsia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vertAlign w:val="baseline"/>
                <w:lang w:val="en-US" w:eastAsia="zh-CN"/>
              </w:rPr>
              <w:t>0.752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Arial" w:hAnsi="Arial" w:cs="Arial" w:eastAsiaTheme="minorEastAsia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vertAlign w:val="baseline"/>
                <w:lang w:val="en-US" w:eastAsia="zh-CN"/>
              </w:rPr>
              <w:t>0.735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Arial" w:hAnsi="Arial" w:cs="Arial" w:eastAsiaTheme="minorEastAsia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vertAlign w:val="baseline"/>
                <w:lang w:val="en-US" w:eastAsia="zh-CN"/>
              </w:rPr>
              <w:t>0.903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Arial" w:hAnsi="Arial" w:cs="Arial" w:eastAsiaTheme="minorEastAsia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vertAlign w:val="baseline"/>
                <w:lang w:val="en-US" w:eastAsia="zh-CN"/>
              </w:rPr>
              <w:t>0.531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Arial" w:hAnsi="Arial" w:cs="Arial" w:eastAsiaTheme="minorEastAsia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vertAlign w:val="baseline"/>
                <w:lang w:val="en-US" w:eastAsia="zh-CN"/>
              </w:rPr>
              <w:t>0.850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503" w:hRule="atLeast"/>
        </w:trPr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Arial" w:hAnsi="Arial" w:cs="Arial"/>
                <w:vertAlign w:val="baseli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Arial" w:hAnsi="Arial" w:cs="Arial"/>
                <w:vertAlign w:val="baseline"/>
              </w:rPr>
            </w:pPr>
            <w:r>
              <w:rPr>
                <w:rFonts w:hint="default" w:ascii="Arial" w:hAnsi="Arial" w:cs="Arial"/>
                <w:vertAlign w:val="baseline"/>
              </w:rPr>
              <w:t>Specificity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Arial" w:hAnsi="Arial" w:cs="Arial" w:eastAsiaTheme="minorEastAsia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vertAlign w:val="baseline"/>
                <w:lang w:val="en-US" w:eastAsia="zh-CN"/>
              </w:rPr>
              <w:t>0.871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Arial" w:hAnsi="Arial" w:cs="Arial" w:eastAsiaTheme="minorEastAsia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vertAlign w:val="baseline"/>
                <w:lang w:val="en-US" w:eastAsia="zh-CN"/>
              </w:rPr>
              <w:t>0.903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Arial" w:hAnsi="Arial" w:cs="Arial" w:eastAsiaTheme="minorEastAsia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vertAlign w:val="baseline"/>
                <w:lang w:val="en-US" w:eastAsia="zh-CN"/>
              </w:rPr>
              <w:t>0.839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Arial" w:hAnsi="Arial" w:cs="Arial" w:eastAsiaTheme="minorEastAsia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vertAlign w:val="baseline"/>
                <w:lang w:val="en-US" w:eastAsia="zh-CN"/>
              </w:rPr>
              <w:t>0.839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Arial" w:hAnsi="Arial" w:cs="Arial" w:eastAsiaTheme="minorEastAsia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vertAlign w:val="baseline"/>
                <w:lang w:val="en-US" w:eastAsia="zh-CN"/>
              </w:rPr>
              <w:t>0.968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Arial" w:hAnsi="Arial" w:cs="Arial" w:eastAsiaTheme="minorEastAsia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vertAlign w:val="baseline"/>
                <w:lang w:val="en-US" w:eastAsia="zh-CN"/>
              </w:rPr>
              <w:t>0.871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Arial" w:hAnsi="Arial" w:cs="Arial" w:eastAsiaTheme="minorEastAsia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vertAlign w:val="baseline"/>
                <w:lang w:val="en-US" w:eastAsia="zh-CN"/>
              </w:rPr>
              <w:t>1.000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503" w:hRule="atLeast"/>
        </w:trPr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Arial" w:hAnsi="Arial" w:cs="Arial"/>
                <w:vertAlign w:val="baseline"/>
              </w:rPr>
            </w:pPr>
            <w:r>
              <w:rPr>
                <w:rFonts w:hint="default" w:ascii="Arial" w:hAnsi="Arial" w:cs="Arial"/>
                <w:vertAlign w:val="baseline"/>
              </w:rPr>
              <w:t>Testing set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Arial" w:hAnsi="Arial" w:cs="Arial"/>
                <w:vertAlign w:val="baseline"/>
              </w:rPr>
            </w:pPr>
            <w:r>
              <w:rPr>
                <w:rFonts w:hint="default" w:ascii="Arial" w:hAnsi="Arial" w:cs="Arial"/>
                <w:vertAlign w:val="baseline"/>
              </w:rPr>
              <w:t>AUC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Arial" w:hAnsi="Arial" w:cs="Arial" w:eastAsiaTheme="minorEastAsia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vertAlign w:val="baseline"/>
                <w:lang w:val="en-US" w:eastAsia="zh-CN"/>
              </w:rPr>
              <w:t>0.854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Arial" w:hAnsi="Arial" w:cs="Arial" w:eastAsiaTheme="minorEastAsia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vertAlign w:val="baseline"/>
                <w:lang w:val="en-US" w:eastAsia="zh-CN"/>
              </w:rPr>
              <w:t>0.760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Arial" w:hAnsi="Arial" w:cs="Arial" w:eastAsiaTheme="minorEastAsia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vertAlign w:val="baseline"/>
                <w:lang w:val="en-US" w:eastAsia="zh-CN"/>
              </w:rPr>
              <w:t>0.725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Arial" w:hAnsi="Arial" w:cs="Arial" w:eastAsiaTheme="minorEastAsia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vertAlign w:val="baseline"/>
                <w:lang w:val="en-US" w:eastAsia="zh-CN"/>
              </w:rPr>
              <w:t>0.831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Arial" w:hAnsi="Arial" w:cs="Arial" w:eastAsiaTheme="minorEastAsia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vertAlign w:val="baseline"/>
                <w:lang w:val="en-US" w:eastAsia="zh-CN"/>
              </w:rPr>
              <w:t>0.671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Arial" w:hAnsi="Arial" w:cs="Arial" w:eastAsiaTheme="minorEastAsia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vertAlign w:val="baseline"/>
                <w:lang w:val="en-US" w:eastAsia="zh-CN"/>
              </w:rPr>
              <w:t>0.746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Arial" w:hAnsi="Arial" w:cs="Arial" w:eastAsiaTheme="minorEastAsia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vertAlign w:val="baseline"/>
                <w:lang w:val="en-US" w:eastAsia="zh-CN"/>
              </w:rPr>
              <w:t>0.641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503" w:hRule="atLeast"/>
        </w:trPr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Arial" w:hAnsi="Arial" w:cs="Arial"/>
                <w:vertAlign w:val="baseli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Arial" w:hAnsi="Arial" w:cs="Arial"/>
                <w:vertAlign w:val="baseline"/>
              </w:rPr>
            </w:pPr>
            <w:r>
              <w:rPr>
                <w:rFonts w:hint="default" w:ascii="Arial" w:hAnsi="Arial" w:cs="Arial"/>
                <w:vertAlign w:val="baseline"/>
              </w:rPr>
              <w:t>AUC_95%CI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Arial" w:hAnsi="Arial" w:cs="Arial"/>
                <w:vertAlign w:val="baseline"/>
              </w:rPr>
            </w:pPr>
            <w:r>
              <w:rPr>
                <w:rFonts w:hint="default" w:ascii="Arial" w:hAnsi="Arial" w:cs="Arial"/>
                <w:vertAlign w:val="baseline"/>
              </w:rPr>
              <w:t>[0.756-0.953]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Arial" w:hAnsi="Arial" w:cs="Arial"/>
                <w:vertAlign w:val="baseline"/>
              </w:rPr>
            </w:pPr>
            <w:r>
              <w:rPr>
                <w:rFonts w:hint="default" w:ascii="Arial" w:hAnsi="Arial" w:cs="Arial"/>
                <w:vertAlign w:val="baseline"/>
              </w:rPr>
              <w:t>[0.599-0.920]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Arial" w:hAnsi="Arial" w:cs="Arial"/>
                <w:vertAlign w:val="baseline"/>
              </w:rPr>
            </w:pPr>
            <w:r>
              <w:rPr>
                <w:rFonts w:hint="default" w:ascii="Arial" w:hAnsi="Arial" w:cs="Arial"/>
                <w:vertAlign w:val="baseline"/>
              </w:rPr>
              <w:t>[0.554-0.897]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Arial" w:hAnsi="Arial" w:cs="Arial"/>
                <w:vertAlign w:val="baseline"/>
              </w:rPr>
            </w:pPr>
            <w:r>
              <w:rPr>
                <w:rFonts w:hint="default" w:ascii="Arial" w:hAnsi="Arial" w:cs="Arial"/>
                <w:vertAlign w:val="baseline"/>
              </w:rPr>
              <w:t>[0.717-0.944]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Arial" w:hAnsi="Arial" w:cs="Arial"/>
                <w:vertAlign w:val="baseline"/>
              </w:rPr>
            </w:pPr>
            <w:r>
              <w:rPr>
                <w:rFonts w:hint="default" w:ascii="Arial" w:hAnsi="Arial" w:cs="Arial"/>
                <w:vertAlign w:val="baseline"/>
              </w:rPr>
              <w:t>[0.511-0.832]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Arial" w:hAnsi="Arial" w:cs="Arial"/>
                <w:vertAlign w:val="baseline"/>
              </w:rPr>
            </w:pPr>
            <w:r>
              <w:rPr>
                <w:rFonts w:hint="default" w:ascii="Arial" w:hAnsi="Arial" w:cs="Arial"/>
                <w:vertAlign w:val="baseline"/>
              </w:rPr>
              <w:t>[0.617-0.874]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Arial" w:hAnsi="Arial" w:cs="Arial"/>
                <w:vertAlign w:val="baseline"/>
              </w:rPr>
            </w:pPr>
            <w:r>
              <w:rPr>
                <w:rFonts w:hint="default" w:ascii="Arial" w:hAnsi="Arial" w:cs="Arial"/>
                <w:vertAlign w:val="baseline"/>
              </w:rPr>
              <w:t>[0.475-0.807]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503" w:hRule="atLeast"/>
        </w:trPr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Arial" w:hAnsi="Arial" w:cs="Arial"/>
                <w:vertAlign w:val="baseli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Arial" w:hAnsi="Arial" w:cs="Arial"/>
                <w:vertAlign w:val="baseline"/>
              </w:rPr>
            </w:pPr>
            <w:r>
              <w:rPr>
                <w:rFonts w:hint="default" w:ascii="Arial" w:hAnsi="Arial" w:cs="Arial"/>
                <w:vertAlign w:val="baseline"/>
              </w:rPr>
              <w:t>Accuracy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Arial" w:hAnsi="Arial" w:cs="Arial" w:eastAsiaTheme="minorEastAsia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vertAlign w:val="baseline"/>
                <w:lang w:val="en-US" w:eastAsia="zh-CN"/>
              </w:rPr>
              <w:t>0.790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Arial" w:hAnsi="Arial" w:cs="Arial" w:eastAsiaTheme="minorEastAsia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vertAlign w:val="baseline"/>
                <w:lang w:val="en-US" w:eastAsia="zh-CN"/>
              </w:rPr>
              <w:t>0.758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Arial" w:hAnsi="Arial" w:cs="Arial" w:eastAsiaTheme="minorEastAsia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vertAlign w:val="baseline"/>
                <w:lang w:val="en-US" w:eastAsia="zh-CN"/>
              </w:rPr>
              <w:t>0.677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Arial" w:hAnsi="Arial" w:cs="Arial" w:eastAsiaTheme="minorEastAsia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vertAlign w:val="baseline"/>
                <w:lang w:val="en-US" w:eastAsia="zh-CN"/>
              </w:rPr>
              <w:t>0.742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Arial" w:hAnsi="Arial" w:cs="Arial" w:eastAsiaTheme="minorEastAsia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vertAlign w:val="baseline"/>
                <w:lang w:val="en-US" w:eastAsia="zh-CN"/>
              </w:rPr>
              <w:t>0.710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Arial" w:hAnsi="Arial" w:cs="Arial" w:eastAsiaTheme="minorEastAsia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vertAlign w:val="baseline"/>
                <w:lang w:val="en-US" w:eastAsia="zh-CN"/>
              </w:rPr>
              <w:t>0.677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Arial" w:hAnsi="Arial" w:cs="Arial" w:eastAsiaTheme="minorEastAsia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vertAlign w:val="baseline"/>
                <w:lang w:val="en-US" w:eastAsia="zh-CN"/>
              </w:rPr>
              <w:t>0.645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503" w:hRule="atLeast"/>
        </w:trPr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Arial" w:hAnsi="Arial" w:cs="Arial"/>
                <w:vertAlign w:val="baseli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Arial" w:hAnsi="Arial" w:cs="Arial"/>
                <w:vertAlign w:val="baseline"/>
              </w:rPr>
            </w:pPr>
            <w:r>
              <w:rPr>
                <w:rFonts w:hint="default" w:ascii="Arial" w:hAnsi="Arial" w:cs="Arial"/>
                <w:vertAlign w:val="baseline"/>
              </w:rPr>
              <w:t>Sensitivity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Arial" w:hAnsi="Arial" w:cs="Arial" w:eastAsiaTheme="minorEastAsia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vertAlign w:val="baseline"/>
                <w:lang w:val="en-US" w:eastAsia="zh-CN"/>
              </w:rPr>
              <w:t>0.857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Arial" w:hAnsi="Arial" w:cs="Arial" w:eastAsiaTheme="minorEastAsia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vertAlign w:val="baseline"/>
                <w:lang w:val="en-US" w:eastAsia="zh-CN"/>
              </w:rPr>
              <w:t>0.776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Arial" w:hAnsi="Arial" w:cs="Arial" w:eastAsiaTheme="minorEastAsia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vertAlign w:val="baseline"/>
                <w:lang w:val="en-US" w:eastAsia="zh-CN"/>
              </w:rPr>
              <w:t>0.674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Arial" w:hAnsi="Arial" w:cs="Arial" w:eastAsiaTheme="minorEastAsia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vertAlign w:val="baseline"/>
                <w:lang w:val="en-US" w:eastAsia="zh-CN"/>
              </w:rPr>
              <w:t>0.755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Arial" w:hAnsi="Arial" w:cs="Arial" w:eastAsiaTheme="minorEastAsia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vertAlign w:val="baseline"/>
                <w:lang w:val="en-US" w:eastAsia="zh-CN"/>
              </w:rPr>
              <w:t>0.755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Arial" w:hAnsi="Arial" w:cs="Arial" w:eastAsiaTheme="minorEastAsia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vertAlign w:val="baseline"/>
                <w:lang w:val="en-US" w:eastAsia="zh-CN"/>
              </w:rPr>
              <w:t>0.674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Arial" w:hAnsi="Arial" w:cs="Arial" w:eastAsiaTheme="minorEastAsia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vertAlign w:val="baseline"/>
                <w:lang w:val="en-US" w:eastAsia="zh-CN"/>
              </w:rPr>
              <w:t>0.674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518" w:hRule="atLeast"/>
        </w:trPr>
        <w:tc>
          <w:tcPr>
            <w:tcW w:w="1317" w:type="dxa"/>
            <w:tcBorders>
              <w:top w:val="nil"/>
              <w:left w:val="nil"/>
              <w:right w:val="nil"/>
            </w:tcBorders>
          </w:tcPr>
          <w:p>
            <w:pPr>
              <w:rPr>
                <w:rFonts w:hint="default" w:ascii="Arial" w:hAnsi="Arial" w:cs="Arial"/>
                <w:vertAlign w:val="baseline"/>
              </w:rPr>
            </w:pPr>
          </w:p>
        </w:tc>
        <w:tc>
          <w:tcPr>
            <w:tcW w:w="1330" w:type="dxa"/>
            <w:tcBorders>
              <w:top w:val="nil"/>
              <w:left w:val="nil"/>
              <w:right w:val="nil"/>
            </w:tcBorders>
          </w:tcPr>
          <w:p>
            <w:pPr>
              <w:rPr>
                <w:rFonts w:hint="default" w:ascii="Arial" w:hAnsi="Arial" w:cs="Arial"/>
                <w:vertAlign w:val="baseline"/>
              </w:rPr>
            </w:pPr>
            <w:r>
              <w:rPr>
                <w:rFonts w:hint="default" w:ascii="Arial" w:hAnsi="Arial" w:cs="Arial"/>
                <w:vertAlign w:val="baseline"/>
              </w:rPr>
              <w:t>Specificity</w:t>
            </w:r>
          </w:p>
        </w:tc>
        <w:tc>
          <w:tcPr>
            <w:tcW w:w="1600" w:type="dxa"/>
            <w:tcBorders>
              <w:top w:val="nil"/>
              <w:left w:val="nil"/>
              <w:right w:val="nil"/>
            </w:tcBorders>
          </w:tcPr>
          <w:p>
            <w:pPr>
              <w:rPr>
                <w:rFonts w:hint="default" w:ascii="Arial" w:hAnsi="Arial" w:cs="Arial" w:eastAsiaTheme="minorEastAsia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vertAlign w:val="baseline"/>
                <w:lang w:val="en-US" w:eastAsia="zh-CN"/>
              </w:rPr>
              <w:t>0.539</w:t>
            </w:r>
          </w:p>
        </w:tc>
        <w:tc>
          <w:tcPr>
            <w:tcW w:w="1530" w:type="dxa"/>
            <w:tcBorders>
              <w:top w:val="nil"/>
              <w:left w:val="nil"/>
              <w:right w:val="nil"/>
            </w:tcBorders>
          </w:tcPr>
          <w:p>
            <w:pPr>
              <w:rPr>
                <w:rFonts w:hint="default" w:ascii="Arial" w:hAnsi="Arial" w:cs="Arial" w:eastAsiaTheme="minorEastAsia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vertAlign w:val="baseline"/>
                <w:lang w:val="en-US" w:eastAsia="zh-CN"/>
              </w:rPr>
              <w:t>0.692</w:t>
            </w:r>
          </w:p>
        </w:tc>
        <w:tc>
          <w:tcPr>
            <w:tcW w:w="1580" w:type="dxa"/>
            <w:tcBorders>
              <w:top w:val="nil"/>
              <w:left w:val="nil"/>
              <w:right w:val="nil"/>
            </w:tcBorders>
          </w:tcPr>
          <w:p>
            <w:pPr>
              <w:rPr>
                <w:rFonts w:hint="default" w:ascii="Arial" w:hAnsi="Arial" w:cs="Arial" w:eastAsiaTheme="minorEastAsia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vertAlign w:val="baseline"/>
                <w:lang w:val="en-US" w:eastAsia="zh-CN"/>
              </w:rPr>
              <w:t>0.692</w:t>
            </w:r>
          </w:p>
        </w:tc>
        <w:tc>
          <w:tcPr>
            <w:tcW w:w="1610" w:type="dxa"/>
            <w:tcBorders>
              <w:top w:val="nil"/>
              <w:left w:val="nil"/>
              <w:right w:val="nil"/>
            </w:tcBorders>
          </w:tcPr>
          <w:p>
            <w:pPr>
              <w:rPr>
                <w:rFonts w:hint="default" w:ascii="Arial" w:hAnsi="Arial" w:cs="Arial" w:eastAsiaTheme="minorEastAsia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vertAlign w:val="baseline"/>
                <w:lang w:val="en-US" w:eastAsia="zh-CN"/>
              </w:rPr>
              <w:t>0.692</w:t>
            </w:r>
          </w:p>
        </w:tc>
        <w:tc>
          <w:tcPr>
            <w:tcW w:w="1590" w:type="dxa"/>
            <w:tcBorders>
              <w:top w:val="nil"/>
              <w:left w:val="nil"/>
              <w:right w:val="nil"/>
            </w:tcBorders>
          </w:tcPr>
          <w:p>
            <w:pPr>
              <w:rPr>
                <w:rFonts w:hint="default" w:ascii="Arial" w:hAnsi="Arial" w:cs="Arial" w:eastAsiaTheme="minorEastAsia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vertAlign w:val="baseline"/>
                <w:lang w:val="en-US" w:eastAsia="zh-CN"/>
              </w:rPr>
              <w:t>0.539</w:t>
            </w:r>
          </w:p>
        </w:tc>
        <w:tc>
          <w:tcPr>
            <w:tcW w:w="1710" w:type="dxa"/>
            <w:tcBorders>
              <w:top w:val="nil"/>
              <w:left w:val="nil"/>
              <w:right w:val="nil"/>
            </w:tcBorders>
          </w:tcPr>
          <w:p>
            <w:pPr>
              <w:rPr>
                <w:rFonts w:hint="default" w:ascii="Arial" w:hAnsi="Arial" w:cs="Arial" w:eastAsiaTheme="minorEastAsia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vertAlign w:val="baseline"/>
                <w:lang w:val="en-US" w:eastAsia="zh-CN"/>
              </w:rPr>
              <w:t>0.692</w:t>
            </w:r>
          </w:p>
        </w:tc>
        <w:tc>
          <w:tcPr>
            <w:tcW w:w="1830" w:type="dxa"/>
            <w:tcBorders>
              <w:top w:val="nil"/>
              <w:left w:val="nil"/>
              <w:right w:val="nil"/>
            </w:tcBorders>
          </w:tcPr>
          <w:p>
            <w:pPr>
              <w:rPr>
                <w:rFonts w:hint="default" w:ascii="Arial" w:hAnsi="Arial" w:cs="Arial" w:eastAsiaTheme="minorEastAsia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vertAlign w:val="baseline"/>
                <w:lang w:val="en-US" w:eastAsia="zh-CN"/>
              </w:rPr>
              <w:t>0.539</w:t>
            </w:r>
            <w:bookmarkStart w:id="0" w:name="_GoBack"/>
            <w:bookmarkEnd w:id="0"/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kyZDY4YmVlYjFiMDhiNDRiNjU1M2MwNGQ3ZDQ3YjYifQ=="/>
  </w:docVars>
  <w:rsids>
    <w:rsidRoot w:val="00000000"/>
    <w:rsid w:val="10262ED6"/>
    <w:rsid w:val="162A0092"/>
    <w:rsid w:val="34CE0523"/>
    <w:rsid w:val="593F72ED"/>
    <w:rsid w:val="59FB55DF"/>
    <w:rsid w:val="67114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</Words>
  <Characters>156</Characters>
  <Lines>0</Lines>
  <Paragraphs>0</Paragraphs>
  <TotalTime>25</TotalTime>
  <ScaleCrop>false</ScaleCrop>
  <LinksUpToDate>false</LinksUpToDate>
  <CharactersWithSpaces>162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2022-11-20T10:57:00Z</dcterms:created>
  <dc:creator>吴思雨</dc:creator>
  <cp:lastModifiedBy>吴思雨</cp:lastModifiedBy>
  <dcterms:modified xsi:type="dcterms:W3CDTF">2023-04-06T07:13:23Z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BEA54E2D5D5E4D6FADC069C23CD1D026</vt:lpwstr>
  </property>
</Properties>
</file>