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0"/>
          <w:szCs w:val="20"/>
        </w:rPr>
      </w:pPr>
      <w:r>
        <w:rPr>
          <w:rFonts w:hint="cs"/>
          <w:b/>
          <w:bCs/>
          <w:sz w:val="20"/>
          <w:szCs w:val="20"/>
        </w:rPr>
        <w:t>Supplementary Information</w:t>
      </w:r>
    </w:p>
    <w:p>
      <w:pPr>
        <w:rPr>
          <w:sz w:val="20"/>
          <w:szCs w:val="20"/>
        </w:rPr>
      </w:pPr>
    </w:p>
    <w:p>
      <w:pPr>
        <w:spacing w:line="276" w:lineRule="auto"/>
        <w:rPr>
          <w:sz w:val="20"/>
          <w:szCs w:val="20"/>
        </w:rPr>
      </w:pPr>
      <w:r>
        <w:rPr>
          <w:rFonts w:hint="cs"/>
          <w:b/>
          <w:bCs/>
          <w:sz w:val="20"/>
          <w:szCs w:val="20"/>
        </w:rPr>
        <w:t>SI 1</w:t>
      </w:r>
      <w:r>
        <w:rPr>
          <w:rFonts w:hint="cs"/>
          <w:sz w:val="20"/>
          <w:szCs w:val="20"/>
          <w:lang w:val="de-DE"/>
        </w:rPr>
        <w:t xml:space="preserve"> </w:t>
      </w:r>
      <w:r>
        <w:rPr>
          <w:rFonts w:hint="cs"/>
          <w:sz w:val="20"/>
          <w:szCs w:val="20"/>
        </w:rPr>
        <w:t>Main inclusion and exclusion criteria</w:t>
      </w:r>
    </w:p>
    <w:p>
      <w:pPr>
        <w:spacing w:line="276" w:lineRule="auto"/>
        <w:rPr>
          <w:sz w:val="20"/>
          <w:szCs w:val="20"/>
        </w:rPr>
      </w:pPr>
    </w:p>
    <w:p>
      <w:pPr>
        <w:spacing w:line="240" w:lineRule="auto"/>
        <w:rPr>
          <w:sz w:val="20"/>
          <w:szCs w:val="20"/>
        </w:rPr>
      </w:pPr>
      <w:r>
        <w:rPr>
          <w:rFonts w:hint="cs"/>
          <w:sz w:val="20"/>
          <w:szCs w:val="20"/>
        </w:rPr>
        <w:t>Inclusion criteria:</w:t>
      </w:r>
    </w:p>
    <w:p>
      <w:pPr>
        <w:spacing w:line="276" w:lineRule="auto"/>
        <w:jc w:val="both"/>
        <w:rPr>
          <w:sz w:val="20"/>
          <w:szCs w:val="20"/>
        </w:rPr>
      </w:pPr>
      <w:r>
        <w:rPr>
          <w:rFonts w:hint="cs"/>
          <w:sz w:val="20"/>
          <w:szCs w:val="20"/>
        </w:rPr>
        <w:t xml:space="preserve">Volunteers met all of the following inclusion criteria to be enrolled in this study: 1) Fully understand the purpose, identification, method, and possible adverse reactions of the study; voluntarily serve as </w:t>
      </w:r>
      <w:r>
        <w:rPr>
          <w:rFonts w:hint="eastAsia" w:eastAsia="宋体"/>
          <w:sz w:val="20"/>
          <w:szCs w:val="20"/>
          <w:lang w:val="en-US" w:eastAsia="zh-CN"/>
        </w:rPr>
        <w:t>subjects</w:t>
      </w:r>
      <w:r>
        <w:rPr>
          <w:rFonts w:hint="cs"/>
          <w:sz w:val="20"/>
          <w:szCs w:val="20"/>
        </w:rPr>
        <w:t>; sign an informed consent personally before the start of any research procedure; and guarantee to participate in the study personally throughout the research; 2) Male and female aged 18–45 years (including 18 and 45 years), with an appropriate sex ratio; 3) Male weight ≥50.0 kg, female weight ≥45.0 kg; body mass index (BMI) in the range of 18.5 to 26.0 kg/m</w:t>
      </w:r>
      <w:r>
        <w:rPr>
          <w:rFonts w:hint="cs"/>
          <w:sz w:val="20"/>
          <w:szCs w:val="20"/>
          <w:vertAlign w:val="superscript"/>
        </w:rPr>
        <w:t xml:space="preserve">2 </w:t>
      </w:r>
      <w:r>
        <w:rPr>
          <w:rFonts w:hint="cs"/>
          <w:sz w:val="20"/>
          <w:szCs w:val="20"/>
        </w:rPr>
        <w:t>(including the critical value); 4) Vital signs examination, physical examination, clinical laboratory examination (blood routine, urine routine, blood biochemistry, blood transfusion four items, coagulation function, blood pregnancy test (female), alcohol breath test, drug abuse screening, 12-lead electrocardiogram, chest X-ray examination results show no abnormalities or abnormalities are not clinically significant; 5) No plan to become pregnant during the screening period and the next 3 months and voluntarily take effective contraceptive arrangements and have no sperm or egg donation plan; 6) Be able to communicate well with researchers and understand and comply with the requirements of the study.</w:t>
      </w:r>
    </w:p>
    <w:p>
      <w:pPr>
        <w:spacing w:line="276" w:lineRule="auto"/>
        <w:rPr>
          <w:sz w:val="20"/>
          <w:szCs w:val="20"/>
        </w:rPr>
      </w:pPr>
    </w:p>
    <w:p>
      <w:pPr>
        <w:widowControl w:val="0"/>
        <w:spacing w:line="276" w:lineRule="auto"/>
        <w:jc w:val="both"/>
        <w:rPr>
          <w:sz w:val="20"/>
          <w:szCs w:val="20"/>
        </w:rPr>
      </w:pPr>
      <w:r>
        <w:rPr>
          <w:sz w:val="20"/>
          <w:szCs w:val="20"/>
        </w:rPr>
        <w:t>Exclusion criteria</w:t>
      </w:r>
      <w:r>
        <w:rPr>
          <w:rFonts w:hint="cs"/>
          <w:sz w:val="20"/>
          <w:szCs w:val="20"/>
        </w:rPr>
        <w:t>:</w:t>
      </w:r>
    </w:p>
    <w:p>
      <w:pPr>
        <w:spacing w:line="276" w:lineRule="auto"/>
        <w:jc w:val="both"/>
        <w:rPr>
          <w:sz w:val="20"/>
          <w:szCs w:val="20"/>
        </w:rPr>
      </w:pPr>
      <w:r>
        <w:rPr>
          <w:sz w:val="20"/>
          <w:szCs w:val="20"/>
        </w:rPr>
        <w:t>Any of the</w:t>
      </w:r>
      <w:r>
        <w:rPr>
          <w:rFonts w:hint="cs"/>
          <w:sz w:val="20"/>
          <w:szCs w:val="20"/>
        </w:rPr>
        <w:t xml:space="preserve"> following conditions </w:t>
      </w:r>
      <w:r>
        <w:rPr>
          <w:sz w:val="20"/>
          <w:szCs w:val="20"/>
        </w:rPr>
        <w:t>lead to exclusion</w:t>
      </w:r>
      <w:r>
        <w:rPr>
          <w:rFonts w:hint="cs"/>
          <w:sz w:val="20"/>
          <w:szCs w:val="20"/>
        </w:rPr>
        <w:t xml:space="preserve">: 1) </w:t>
      </w:r>
      <w:r>
        <w:rPr>
          <w:sz w:val="20"/>
          <w:szCs w:val="20"/>
        </w:rPr>
        <w:t>a k</w:t>
      </w:r>
      <w:r>
        <w:rPr>
          <w:rFonts w:hint="cs"/>
          <w:sz w:val="20"/>
          <w:szCs w:val="20"/>
        </w:rPr>
        <w:t xml:space="preserve">nown </w:t>
      </w:r>
      <w:r>
        <w:rPr>
          <w:sz w:val="20"/>
          <w:szCs w:val="20"/>
        </w:rPr>
        <w:t>allergy</w:t>
      </w:r>
      <w:r>
        <w:rPr>
          <w:rFonts w:hint="cs"/>
          <w:sz w:val="20"/>
          <w:szCs w:val="20"/>
        </w:rPr>
        <w:t xml:space="preserve"> to any drug or food</w:t>
      </w:r>
      <w:r>
        <w:rPr>
          <w:sz w:val="20"/>
          <w:szCs w:val="20"/>
        </w:rPr>
        <w:t xml:space="preserve">, </w:t>
      </w:r>
      <w:r>
        <w:rPr>
          <w:rFonts w:hint="cs"/>
          <w:sz w:val="20"/>
          <w:szCs w:val="20"/>
        </w:rPr>
        <w:t xml:space="preserve">a history of specific allergic reactions (such as asthma, rubella, </w:t>
      </w:r>
      <w:r>
        <w:rPr>
          <w:rFonts w:hint="cs" w:eastAsia="宋体"/>
          <w:sz w:val="20"/>
          <w:szCs w:val="20"/>
        </w:rPr>
        <w:t>and eczematous dermatitis)</w:t>
      </w:r>
      <w:r>
        <w:rPr>
          <w:rFonts w:eastAsia="宋体"/>
          <w:sz w:val="20"/>
          <w:szCs w:val="20"/>
        </w:rPr>
        <w:t>,</w:t>
      </w:r>
      <w:r>
        <w:rPr>
          <w:rFonts w:hint="cs" w:eastAsia="宋体"/>
          <w:sz w:val="20"/>
          <w:szCs w:val="20"/>
        </w:rPr>
        <w:t xml:space="preserve"> or a severe allergic system judged by the investigator to have clinical significance; 2) </w:t>
      </w:r>
      <w:r>
        <w:rPr>
          <w:rFonts w:hint="cs"/>
          <w:sz w:val="20"/>
          <w:szCs w:val="20"/>
        </w:rPr>
        <w:t>a history of chronic disease of the circulatory, digestive, urinary, respiratory, nervous, immune, secretory, mental</w:t>
      </w:r>
      <w:r>
        <w:rPr>
          <w:rFonts w:hint="cs" w:eastAsia="宋体"/>
          <w:sz w:val="20"/>
          <w:szCs w:val="20"/>
        </w:rPr>
        <w:t>, or metabolic system</w:t>
      </w:r>
      <w:r>
        <w:rPr>
          <w:rFonts w:eastAsia="宋体"/>
          <w:sz w:val="20"/>
          <w:szCs w:val="20"/>
        </w:rPr>
        <w:t>s</w:t>
      </w:r>
      <w:r>
        <w:rPr>
          <w:rFonts w:hint="cs" w:eastAsia="宋体"/>
          <w:sz w:val="20"/>
          <w:szCs w:val="20"/>
        </w:rPr>
        <w:t>, or any other disease that may interfere with the results of the study</w:t>
      </w:r>
      <w:r>
        <w:rPr>
          <w:rFonts w:hint="cs"/>
          <w:sz w:val="20"/>
          <w:szCs w:val="20"/>
        </w:rPr>
        <w:t xml:space="preserve"> or that may pose a safety risk due to the use of the investigational drug, or a history of surgery within </w:t>
      </w:r>
      <w:r>
        <w:rPr>
          <w:sz w:val="20"/>
          <w:szCs w:val="20"/>
        </w:rPr>
        <w:t>the past three</w:t>
      </w:r>
      <w:r>
        <w:rPr>
          <w:rFonts w:hint="cs"/>
          <w:sz w:val="20"/>
          <w:szCs w:val="20"/>
        </w:rPr>
        <w:t xml:space="preserve"> months</w:t>
      </w:r>
      <w:r>
        <w:rPr>
          <w:sz w:val="20"/>
          <w:szCs w:val="20"/>
        </w:rPr>
        <w:t>; 3) p</w:t>
      </w:r>
      <w:r>
        <w:rPr>
          <w:rFonts w:hint="cs"/>
          <w:sz w:val="20"/>
          <w:szCs w:val="20"/>
        </w:rPr>
        <w:t xml:space="preserve">oor vascular puncture conditions, inability to tolerate venipuncture, and a history of fainting </w:t>
      </w:r>
      <w:r>
        <w:rPr>
          <w:sz w:val="20"/>
          <w:szCs w:val="20"/>
        </w:rPr>
        <w:t xml:space="preserve">from </w:t>
      </w:r>
      <w:r>
        <w:rPr>
          <w:rFonts w:hint="cs"/>
          <w:sz w:val="20"/>
          <w:szCs w:val="20"/>
        </w:rPr>
        <w:t>needle</w:t>
      </w:r>
      <w:r>
        <w:rPr>
          <w:sz w:val="20"/>
          <w:szCs w:val="20"/>
        </w:rPr>
        <w:t>s</w:t>
      </w:r>
      <w:r>
        <w:rPr>
          <w:rFonts w:hint="cs"/>
          <w:sz w:val="20"/>
          <w:szCs w:val="20"/>
        </w:rPr>
        <w:t xml:space="preserve"> </w:t>
      </w:r>
      <w:r>
        <w:rPr>
          <w:sz w:val="20"/>
          <w:szCs w:val="20"/>
        </w:rPr>
        <w:t>or</w:t>
      </w:r>
      <w:r>
        <w:rPr>
          <w:rFonts w:hint="cs"/>
          <w:sz w:val="20"/>
          <w:szCs w:val="20"/>
        </w:rPr>
        <w:t xml:space="preserve"> blood</w:t>
      </w:r>
      <w:r>
        <w:rPr>
          <w:sz w:val="20"/>
          <w:szCs w:val="20"/>
        </w:rPr>
        <w:t xml:space="preserve">; 4) </w:t>
      </w:r>
      <w:r>
        <w:rPr>
          <w:rFonts w:hint="cs"/>
          <w:sz w:val="20"/>
          <w:szCs w:val="20"/>
        </w:rPr>
        <w:t xml:space="preserve">a history of drug </w:t>
      </w:r>
      <w:r>
        <w:rPr>
          <w:sz w:val="20"/>
          <w:szCs w:val="20"/>
        </w:rPr>
        <w:t xml:space="preserve">use or </w:t>
      </w:r>
      <w:r>
        <w:rPr>
          <w:rFonts w:hint="cs"/>
          <w:sz w:val="20"/>
          <w:szCs w:val="20"/>
        </w:rPr>
        <w:t xml:space="preserve">abuse in the six months prior to screening, including repeated, heavy use of narcotic drugs and psychotropic substances, or urine addictive drugs morphine, methamphetamine (methamphetamine), ketamine, dimethylene dioxyamphetamine (ecstasy), tetrahydrocannabinol (cannabis) screening study any one or more results are positive; 5) participated </w:t>
      </w:r>
      <w:r>
        <w:rPr>
          <w:sz w:val="20"/>
          <w:szCs w:val="20"/>
        </w:rPr>
        <w:t xml:space="preserve">in </w:t>
      </w:r>
      <w:r>
        <w:rPr>
          <w:rFonts w:hint="cs"/>
          <w:sz w:val="20"/>
          <w:szCs w:val="20"/>
        </w:rPr>
        <w:t xml:space="preserve">or are participating in other drug clinical </w:t>
      </w:r>
      <w:r>
        <w:rPr>
          <w:rFonts w:hint="eastAsia" w:eastAsia="宋体"/>
          <w:sz w:val="20"/>
          <w:szCs w:val="20"/>
          <w:lang w:eastAsia="zh-CN"/>
        </w:rPr>
        <w:t>researches</w:t>
      </w:r>
      <w:r>
        <w:rPr>
          <w:rFonts w:hint="cs"/>
          <w:sz w:val="20"/>
          <w:szCs w:val="20"/>
        </w:rPr>
        <w:t xml:space="preserve"> within </w:t>
      </w:r>
      <w:r>
        <w:rPr>
          <w:sz w:val="20"/>
          <w:szCs w:val="20"/>
        </w:rPr>
        <w:t>three</w:t>
      </w:r>
      <w:r>
        <w:rPr>
          <w:rFonts w:hint="cs"/>
          <w:sz w:val="20"/>
          <w:szCs w:val="20"/>
        </w:rPr>
        <w:t xml:space="preserve"> months prior to screening; 6) donated blood</w:t>
      </w:r>
      <w:r>
        <w:rPr>
          <w:sz w:val="20"/>
          <w:szCs w:val="20"/>
        </w:rPr>
        <w:t>,</w:t>
      </w:r>
      <w:r>
        <w:rPr>
          <w:rFonts w:hint="cs"/>
          <w:sz w:val="20"/>
          <w:szCs w:val="20"/>
        </w:rPr>
        <w:t xml:space="preserve"> including component blood or large blood loss (≥400</w:t>
      </w:r>
      <w:r>
        <w:rPr>
          <w:sz w:val="20"/>
          <w:szCs w:val="20"/>
        </w:rPr>
        <w:t xml:space="preserve"> </w:t>
      </w:r>
      <w:r>
        <w:rPr>
          <w:rFonts w:hint="cs"/>
          <w:sz w:val="20"/>
          <w:szCs w:val="20"/>
        </w:rPr>
        <w:t xml:space="preserve">mL) (excluding blood loss during female menstrual period) within </w:t>
      </w:r>
      <w:r>
        <w:rPr>
          <w:sz w:val="20"/>
          <w:szCs w:val="20"/>
        </w:rPr>
        <w:t>three</w:t>
      </w:r>
      <w:r>
        <w:rPr>
          <w:rFonts w:hint="cs"/>
          <w:sz w:val="20"/>
          <w:szCs w:val="20"/>
        </w:rPr>
        <w:t xml:space="preserve"> months </w:t>
      </w:r>
      <w:r>
        <w:rPr>
          <w:sz w:val="20"/>
          <w:szCs w:val="20"/>
        </w:rPr>
        <w:t>of</w:t>
      </w:r>
      <w:r>
        <w:rPr>
          <w:rFonts w:hint="cs"/>
          <w:sz w:val="20"/>
          <w:szCs w:val="20"/>
        </w:rPr>
        <w:t xml:space="preserve"> screening, received </w:t>
      </w:r>
      <w:r>
        <w:rPr>
          <w:sz w:val="20"/>
          <w:szCs w:val="20"/>
        </w:rPr>
        <w:t xml:space="preserve">a </w:t>
      </w:r>
      <w:r>
        <w:rPr>
          <w:rFonts w:hint="cs"/>
          <w:sz w:val="20"/>
          <w:szCs w:val="20"/>
        </w:rPr>
        <w:t xml:space="preserve">blood transfusion or used blood products, or intend to donate blood (including blood components) during or within 3 months after the end of the study; 7) pregnant, breastfeeding, or the woman </w:t>
      </w:r>
      <w:r>
        <w:rPr>
          <w:sz w:val="20"/>
          <w:szCs w:val="20"/>
        </w:rPr>
        <w:t>had</w:t>
      </w:r>
      <w:r>
        <w:rPr>
          <w:rFonts w:hint="cs"/>
          <w:sz w:val="20"/>
          <w:szCs w:val="20"/>
        </w:rPr>
        <w:t xml:space="preserve"> unprotected sex or a positive blood pregnancy test within 14 days before the planned drug administration; 8) </w:t>
      </w:r>
      <w:r>
        <w:rPr>
          <w:sz w:val="20"/>
          <w:szCs w:val="20"/>
        </w:rPr>
        <w:t xml:space="preserve">use of </w:t>
      </w:r>
      <w:r>
        <w:rPr>
          <w:rFonts w:hint="cs"/>
          <w:sz w:val="20"/>
          <w:szCs w:val="20"/>
        </w:rPr>
        <w:t xml:space="preserve">prescription drugs, over-the-counter drugs, </w:t>
      </w:r>
      <w:r>
        <w:rPr>
          <w:sz w:val="20"/>
          <w:szCs w:val="20"/>
        </w:rPr>
        <w:t xml:space="preserve">or </w:t>
      </w:r>
      <w:r>
        <w:rPr>
          <w:rFonts w:hint="cs"/>
          <w:sz w:val="20"/>
          <w:szCs w:val="20"/>
        </w:rPr>
        <w:t xml:space="preserve">Chinese herbs and vitamins within 14 days before screening; 9) </w:t>
      </w:r>
      <w:r>
        <w:rPr>
          <w:sz w:val="20"/>
          <w:szCs w:val="20"/>
        </w:rPr>
        <w:t>use</w:t>
      </w:r>
      <w:r>
        <w:rPr>
          <w:rFonts w:hint="cs"/>
          <w:sz w:val="20"/>
          <w:szCs w:val="20"/>
        </w:rPr>
        <w:t xml:space="preserve"> of inhibitors and inducers of the liver metabolic enzyme CYP3A4, or drugs that have drug interactions with dexamethasone (e.g.</w:t>
      </w:r>
      <w:r>
        <w:rPr>
          <w:sz w:val="20"/>
          <w:szCs w:val="20"/>
        </w:rPr>
        <w:t>,</w:t>
      </w:r>
      <w:r>
        <w:rPr>
          <w:rFonts w:hint="cs"/>
          <w:sz w:val="20"/>
          <w:szCs w:val="20"/>
        </w:rPr>
        <w:t xml:space="preserve"> Barbiturate derivatives, salicylic acid derivatives, anticoagulants, oral hypoglycemic agents, insulin preparations, diuretics (except potassium-conserving diuretics), cyclosporine, HIV protease inhibitors, macrolide antibiotics</w:t>
      </w:r>
      <w:r>
        <w:rPr>
          <w:sz w:val="20"/>
          <w:szCs w:val="20"/>
        </w:rPr>
        <w:t>,</w:t>
      </w:r>
      <w:r>
        <w:rPr>
          <w:rFonts w:hint="cs"/>
          <w:sz w:val="20"/>
          <w:szCs w:val="20"/>
        </w:rPr>
        <w:t xml:space="preserve"> and non-depolarizing muscle relaxants) within 28 days before screening; 10) received inactivated vaccine within </w:t>
      </w:r>
      <w:r>
        <w:rPr>
          <w:sz w:val="20"/>
          <w:szCs w:val="20"/>
        </w:rPr>
        <w:t>one</w:t>
      </w:r>
      <w:r>
        <w:rPr>
          <w:rFonts w:hint="cs"/>
          <w:sz w:val="20"/>
          <w:szCs w:val="20"/>
        </w:rPr>
        <w:t xml:space="preserve"> month before screening or planned to receive inactivated vaccine within </w:t>
      </w:r>
      <w:r>
        <w:rPr>
          <w:sz w:val="20"/>
          <w:szCs w:val="20"/>
        </w:rPr>
        <w:t>one</w:t>
      </w:r>
      <w:r>
        <w:rPr>
          <w:rFonts w:hint="cs"/>
          <w:sz w:val="20"/>
          <w:szCs w:val="20"/>
        </w:rPr>
        <w:t xml:space="preserve"> month after the end of the study</w:t>
      </w:r>
      <w:r>
        <w:rPr>
          <w:sz w:val="20"/>
          <w:szCs w:val="20"/>
        </w:rPr>
        <w:t xml:space="preserve"> or</w:t>
      </w:r>
      <w:r>
        <w:rPr>
          <w:rFonts w:hint="cs"/>
          <w:sz w:val="20"/>
          <w:szCs w:val="20"/>
        </w:rPr>
        <w:t xml:space="preserve"> received vaccines other than inactivated vaccines</w:t>
      </w:r>
      <w:r>
        <w:rPr>
          <w:sz w:val="20"/>
          <w:szCs w:val="20"/>
        </w:rPr>
        <w:t xml:space="preserve">, </w:t>
      </w:r>
      <w:r>
        <w:rPr>
          <w:rFonts w:hint="cs"/>
          <w:sz w:val="20"/>
          <w:szCs w:val="20"/>
        </w:rPr>
        <w:t>including but not limited to live attenuated vaccines, adenovirus vector vaccines, subunit recombinant vaccines</w:t>
      </w:r>
      <w:r>
        <w:rPr>
          <w:sz w:val="20"/>
          <w:szCs w:val="20"/>
        </w:rPr>
        <w:t>,</w:t>
      </w:r>
      <w:r>
        <w:rPr>
          <w:rFonts w:hint="cs"/>
          <w:sz w:val="20"/>
          <w:szCs w:val="20"/>
        </w:rPr>
        <w:t xml:space="preserve"> and genetic vaccines</w:t>
      </w:r>
      <w:r>
        <w:rPr>
          <w:sz w:val="20"/>
          <w:szCs w:val="20"/>
        </w:rPr>
        <w:t>,</w:t>
      </w:r>
      <w:r>
        <w:rPr>
          <w:rFonts w:hint="cs"/>
          <w:sz w:val="20"/>
          <w:szCs w:val="20"/>
        </w:rPr>
        <w:t xml:space="preserve"> within </w:t>
      </w:r>
      <w:r>
        <w:rPr>
          <w:sz w:val="20"/>
          <w:szCs w:val="20"/>
        </w:rPr>
        <w:t>three</w:t>
      </w:r>
      <w:r>
        <w:rPr>
          <w:rFonts w:hint="cs"/>
          <w:sz w:val="20"/>
          <w:szCs w:val="20"/>
        </w:rPr>
        <w:t xml:space="preserve"> months before screening, or plan to receive vaccines other than inactivated vaccines within </w:t>
      </w:r>
      <w:r>
        <w:rPr>
          <w:sz w:val="20"/>
          <w:szCs w:val="20"/>
        </w:rPr>
        <w:t>three</w:t>
      </w:r>
      <w:r>
        <w:rPr>
          <w:rFonts w:hint="cs"/>
          <w:sz w:val="20"/>
          <w:szCs w:val="20"/>
        </w:rPr>
        <w:t xml:space="preserve"> months after study completion; 11) </w:t>
      </w:r>
      <w:r>
        <w:rPr>
          <w:sz w:val="20"/>
          <w:szCs w:val="20"/>
        </w:rPr>
        <w:t>s</w:t>
      </w:r>
      <w:r>
        <w:rPr>
          <w:rFonts w:hint="cs"/>
          <w:sz w:val="20"/>
          <w:szCs w:val="20"/>
        </w:rPr>
        <w:t>mokers who smoke</w:t>
      </w:r>
      <w:r>
        <w:rPr>
          <w:sz w:val="20"/>
          <w:szCs w:val="20"/>
        </w:rPr>
        <w:t xml:space="preserve"> </w:t>
      </w:r>
      <w:r>
        <w:rPr>
          <w:rFonts w:hint="cs"/>
          <w:sz w:val="20"/>
          <w:szCs w:val="20"/>
        </w:rPr>
        <w:t xml:space="preserve">more than </w:t>
      </w:r>
      <w:r>
        <w:rPr>
          <w:sz w:val="20"/>
          <w:szCs w:val="20"/>
        </w:rPr>
        <w:t>five</w:t>
      </w:r>
      <w:r>
        <w:rPr>
          <w:rFonts w:hint="cs"/>
          <w:sz w:val="20"/>
          <w:szCs w:val="20"/>
        </w:rPr>
        <w:t xml:space="preserve"> cigarettes per day within </w:t>
      </w:r>
      <w:r>
        <w:rPr>
          <w:sz w:val="20"/>
          <w:szCs w:val="20"/>
        </w:rPr>
        <w:t>three</w:t>
      </w:r>
      <w:r>
        <w:rPr>
          <w:rFonts w:hint="cs"/>
          <w:sz w:val="20"/>
          <w:szCs w:val="20"/>
        </w:rPr>
        <w:t xml:space="preserve"> months prior to screening, or </w:t>
      </w:r>
      <w:r>
        <w:rPr>
          <w:sz w:val="20"/>
          <w:szCs w:val="20"/>
        </w:rPr>
        <w:t>those who</w:t>
      </w:r>
      <w:r>
        <w:rPr>
          <w:rFonts w:hint="cs"/>
          <w:sz w:val="20"/>
          <w:szCs w:val="20"/>
        </w:rPr>
        <w:t xml:space="preserve"> could not stop using tobacco products during the study period; 12) </w:t>
      </w:r>
      <w:r>
        <w:rPr>
          <w:sz w:val="20"/>
          <w:szCs w:val="20"/>
        </w:rPr>
        <w:t>a</w:t>
      </w:r>
      <w:r>
        <w:rPr>
          <w:rFonts w:hint="cs"/>
          <w:sz w:val="20"/>
          <w:szCs w:val="20"/>
        </w:rPr>
        <w:t xml:space="preserve">lcohol intake averaged more than </w:t>
      </w:r>
      <w:r>
        <w:rPr>
          <w:sz w:val="20"/>
          <w:szCs w:val="20"/>
        </w:rPr>
        <w:t>two</w:t>
      </w:r>
      <w:r>
        <w:rPr>
          <w:rFonts w:hint="cs"/>
          <w:sz w:val="20"/>
          <w:szCs w:val="20"/>
        </w:rPr>
        <w:t xml:space="preserve"> units per day (1 unit =360 ml beer, 150 ml red wine, or 45</w:t>
      </w:r>
      <w:r>
        <w:rPr>
          <w:sz w:val="20"/>
          <w:szCs w:val="20"/>
        </w:rPr>
        <w:t xml:space="preserve"> </w:t>
      </w:r>
      <w:r>
        <w:rPr>
          <w:rFonts w:hint="cs"/>
          <w:sz w:val="20"/>
          <w:szCs w:val="20"/>
        </w:rPr>
        <w:t xml:space="preserve">mL distilled spirits) in the </w:t>
      </w:r>
      <w:r>
        <w:rPr>
          <w:sz w:val="20"/>
          <w:szCs w:val="20"/>
        </w:rPr>
        <w:t>three</w:t>
      </w:r>
      <w:r>
        <w:rPr>
          <w:rFonts w:hint="cs"/>
          <w:sz w:val="20"/>
          <w:szCs w:val="20"/>
        </w:rPr>
        <w:t xml:space="preserve"> months prior to screening, or tested positive for alcohol, or did not agree to avoid alcohol consumption during the study period; 13) </w:t>
      </w:r>
      <w:r>
        <w:rPr>
          <w:sz w:val="20"/>
          <w:szCs w:val="20"/>
        </w:rPr>
        <w:t>e</w:t>
      </w:r>
      <w:r>
        <w:rPr>
          <w:rFonts w:hint="cs"/>
          <w:sz w:val="20"/>
          <w:szCs w:val="20"/>
        </w:rPr>
        <w:t>xcessive consumption of strong tea, coffee</w:t>
      </w:r>
      <w:r>
        <w:rPr>
          <w:sz w:val="20"/>
          <w:szCs w:val="20"/>
        </w:rPr>
        <w:t>,</w:t>
      </w:r>
      <w:r>
        <w:rPr>
          <w:rFonts w:hint="cs"/>
          <w:sz w:val="20"/>
          <w:szCs w:val="20"/>
        </w:rPr>
        <w:t xml:space="preserve"> and</w:t>
      </w:r>
      <w:r>
        <w:rPr>
          <w:sz w:val="20"/>
          <w:szCs w:val="20"/>
        </w:rPr>
        <w:t xml:space="preserve"> other</w:t>
      </w:r>
      <w:r>
        <w:rPr>
          <w:rFonts w:hint="cs"/>
          <w:sz w:val="20"/>
          <w:szCs w:val="20"/>
        </w:rPr>
        <w:t xml:space="preserve"> caffeinated beverages (more than </w:t>
      </w:r>
      <w:r>
        <w:rPr>
          <w:sz w:val="20"/>
          <w:szCs w:val="20"/>
        </w:rPr>
        <w:t>eight</w:t>
      </w:r>
      <w:r>
        <w:rPr>
          <w:rFonts w:hint="cs"/>
          <w:sz w:val="20"/>
          <w:szCs w:val="20"/>
        </w:rPr>
        <w:t xml:space="preserve"> cups, 1 cup =250</w:t>
      </w:r>
      <w:r>
        <w:rPr>
          <w:sz w:val="20"/>
          <w:szCs w:val="20"/>
        </w:rPr>
        <w:t xml:space="preserve"> </w:t>
      </w:r>
      <w:r>
        <w:rPr>
          <w:rFonts w:hint="cs"/>
          <w:sz w:val="20"/>
          <w:szCs w:val="20"/>
        </w:rPr>
        <w:t>mL</w:t>
      </w:r>
      <w:r>
        <w:rPr>
          <w:sz w:val="20"/>
          <w:szCs w:val="20"/>
        </w:rPr>
        <w:t>, daily</w:t>
      </w:r>
      <w:r>
        <w:rPr>
          <w:rFonts w:hint="cs"/>
          <w:sz w:val="20"/>
          <w:szCs w:val="20"/>
        </w:rPr>
        <w:t xml:space="preserve">) </w:t>
      </w:r>
      <w:r>
        <w:rPr>
          <w:sz w:val="20"/>
          <w:szCs w:val="20"/>
        </w:rPr>
        <w:t xml:space="preserve">within </w:t>
      </w:r>
      <w:r>
        <w:rPr>
          <w:rFonts w:hint="cs"/>
          <w:sz w:val="20"/>
          <w:szCs w:val="20"/>
        </w:rPr>
        <w:t xml:space="preserve">3 months prior to screening; 14) </w:t>
      </w:r>
      <w:r>
        <w:rPr>
          <w:sz w:val="20"/>
          <w:szCs w:val="20"/>
        </w:rPr>
        <w:t xml:space="preserve">ingested </w:t>
      </w:r>
      <w:r>
        <w:rPr>
          <w:rFonts w:hint="cs"/>
          <w:sz w:val="20"/>
          <w:szCs w:val="20"/>
        </w:rPr>
        <w:t>strong tea, chocolate, coffee</w:t>
      </w:r>
      <w:r>
        <w:rPr>
          <w:sz w:val="20"/>
          <w:szCs w:val="20"/>
        </w:rPr>
        <w:t>,</w:t>
      </w:r>
      <w:r>
        <w:rPr>
          <w:rFonts w:hint="cs"/>
          <w:sz w:val="20"/>
          <w:szCs w:val="20"/>
        </w:rPr>
        <w:t xml:space="preserve"> or food or drink containing caffeine, alcohol, xanthine (such as anchovy, sardines, ox liver, ox kidney, etc.), or grapefruit (juice) within 48 hours before administration; 15) </w:t>
      </w:r>
      <w:r>
        <w:rPr>
          <w:sz w:val="20"/>
          <w:szCs w:val="20"/>
        </w:rPr>
        <w:t>h</w:t>
      </w:r>
      <w:r>
        <w:rPr>
          <w:rFonts w:hint="cs"/>
          <w:sz w:val="20"/>
          <w:szCs w:val="20"/>
        </w:rPr>
        <w:t xml:space="preserve">ave special dietary requirements, </w:t>
      </w:r>
      <w:r>
        <w:rPr>
          <w:sz w:val="20"/>
          <w:szCs w:val="20"/>
        </w:rPr>
        <w:t>cannot</w:t>
      </w:r>
      <w:r>
        <w:rPr>
          <w:rFonts w:hint="cs"/>
          <w:sz w:val="20"/>
          <w:szCs w:val="20"/>
        </w:rPr>
        <w:t xml:space="preserve"> accept a unified diet (such as </w:t>
      </w:r>
      <w:r>
        <w:rPr>
          <w:sz w:val="20"/>
          <w:szCs w:val="20"/>
        </w:rPr>
        <w:t>cannot</w:t>
      </w:r>
      <w:r>
        <w:rPr>
          <w:rFonts w:hint="cs"/>
          <w:sz w:val="20"/>
          <w:szCs w:val="20"/>
        </w:rPr>
        <w:t xml:space="preserve"> tolerate milk, eggs, butter, bacon</w:t>
      </w:r>
      <w:r>
        <w:rPr>
          <w:sz w:val="20"/>
          <w:szCs w:val="20"/>
        </w:rPr>
        <w:t>,</w:t>
      </w:r>
      <w:r>
        <w:rPr>
          <w:rFonts w:hint="cs"/>
          <w:sz w:val="20"/>
          <w:szCs w:val="20"/>
        </w:rPr>
        <w:t xml:space="preserve"> and other foods); 16) </w:t>
      </w:r>
      <w:r>
        <w:rPr>
          <w:sz w:val="20"/>
          <w:szCs w:val="20"/>
        </w:rPr>
        <w:t>upon</w:t>
      </w:r>
      <w:r>
        <w:rPr>
          <w:rFonts w:hint="cs"/>
          <w:sz w:val="20"/>
          <w:szCs w:val="20"/>
        </w:rPr>
        <w:t xml:space="preserve"> physical examination and vital signs examination </w:t>
      </w:r>
      <w:r>
        <w:rPr>
          <w:sz w:val="20"/>
          <w:szCs w:val="20"/>
        </w:rPr>
        <w:t>were</w:t>
      </w:r>
      <w:r>
        <w:rPr>
          <w:rFonts w:hint="cs"/>
          <w:sz w:val="20"/>
          <w:szCs w:val="20"/>
        </w:rPr>
        <w:t xml:space="preserve"> abnormal and judged by the clinician to be clinically significant, the vital signs reference value range (including boundary value): </w:t>
      </w:r>
      <w:r>
        <w:rPr>
          <w:sz w:val="20"/>
          <w:szCs w:val="20"/>
        </w:rPr>
        <w:t>s</w:t>
      </w:r>
      <w:r>
        <w:rPr>
          <w:rFonts w:hint="cs"/>
          <w:sz w:val="20"/>
          <w:szCs w:val="20"/>
        </w:rPr>
        <w:t>ystolic blood pressure was 90</w:t>
      </w:r>
      <w:r>
        <w:rPr>
          <w:sz w:val="20"/>
          <w:szCs w:val="20"/>
        </w:rPr>
        <w:t>–</w:t>
      </w:r>
      <w:r>
        <w:rPr>
          <w:rFonts w:hint="cs"/>
          <w:sz w:val="20"/>
          <w:szCs w:val="20"/>
        </w:rPr>
        <w:t>139mmHg, diastolic blood pressure was 60</w:t>
      </w:r>
      <w:r>
        <w:rPr>
          <w:sz w:val="20"/>
          <w:szCs w:val="20"/>
        </w:rPr>
        <w:t>–</w:t>
      </w:r>
      <w:r>
        <w:rPr>
          <w:rFonts w:hint="cs"/>
          <w:sz w:val="20"/>
          <w:szCs w:val="20"/>
        </w:rPr>
        <w:t>89mmHg, pulse was 60</w:t>
      </w:r>
      <w:r>
        <w:rPr>
          <w:sz w:val="20"/>
          <w:szCs w:val="20"/>
        </w:rPr>
        <w:t>–</w:t>
      </w:r>
      <w:r>
        <w:rPr>
          <w:rFonts w:hint="cs"/>
          <w:sz w:val="20"/>
          <w:szCs w:val="20"/>
        </w:rPr>
        <w:t xml:space="preserve">100 </w:t>
      </w:r>
      <w:r>
        <w:rPr>
          <w:sz w:val="20"/>
          <w:szCs w:val="20"/>
        </w:rPr>
        <w:t>beats</w:t>
      </w:r>
      <w:r>
        <w:rPr>
          <w:rFonts w:hint="cs"/>
          <w:sz w:val="20"/>
          <w:szCs w:val="20"/>
        </w:rPr>
        <w:t>/min, and body temperature was 35.8</w:t>
      </w:r>
      <w:r>
        <w:rPr>
          <w:sz w:val="20"/>
          <w:szCs w:val="20"/>
        </w:rPr>
        <w:t>–</w:t>
      </w:r>
      <w:r>
        <w:rPr>
          <w:rFonts w:hint="cs"/>
          <w:sz w:val="20"/>
          <w:szCs w:val="20"/>
        </w:rPr>
        <w:t>37.3 ℃, as determined by the researchers. 17) Laboratory examination</w:t>
      </w:r>
      <w:r>
        <w:rPr>
          <w:sz w:val="20"/>
          <w:szCs w:val="20"/>
        </w:rPr>
        <w:t xml:space="preserve"> (</w:t>
      </w:r>
      <w:r>
        <w:rPr>
          <w:rFonts w:hint="cs"/>
          <w:sz w:val="20"/>
          <w:szCs w:val="20"/>
        </w:rPr>
        <w:t>12-lead electrocardiogram examination, chest X-ray</w:t>
      </w:r>
      <w:r>
        <w:rPr>
          <w:sz w:val="20"/>
          <w:szCs w:val="20"/>
        </w:rPr>
        <w:t xml:space="preserve">) </w:t>
      </w:r>
      <w:r>
        <w:rPr>
          <w:rFonts w:hint="cs"/>
          <w:sz w:val="20"/>
          <w:szCs w:val="20"/>
        </w:rPr>
        <w:t xml:space="preserve">judged by clinicians </w:t>
      </w:r>
      <w:r>
        <w:rPr>
          <w:sz w:val="20"/>
          <w:szCs w:val="20"/>
        </w:rPr>
        <w:t xml:space="preserve">to </w:t>
      </w:r>
      <w:r>
        <w:rPr>
          <w:rFonts w:hint="cs"/>
          <w:sz w:val="20"/>
          <w:szCs w:val="20"/>
        </w:rPr>
        <w:t>have clinical significance; 18)</w:t>
      </w:r>
      <w:r>
        <w:rPr>
          <w:sz w:val="20"/>
          <w:szCs w:val="20"/>
        </w:rPr>
        <w:t xml:space="preserve"> tested positive for</w:t>
      </w:r>
      <w:r>
        <w:rPr>
          <w:rFonts w:hint="cs"/>
          <w:sz w:val="20"/>
          <w:szCs w:val="20"/>
        </w:rPr>
        <w:t xml:space="preserve"> </w:t>
      </w:r>
      <w:r>
        <w:rPr>
          <w:sz w:val="20"/>
          <w:szCs w:val="20"/>
        </w:rPr>
        <w:t>h</w:t>
      </w:r>
      <w:r>
        <w:rPr>
          <w:rFonts w:hint="cs"/>
          <w:sz w:val="20"/>
          <w:szCs w:val="20"/>
        </w:rPr>
        <w:t xml:space="preserve">uman immunodeficiency virus (HIV) antibody, hepatitis B virus surface antigen (HBsAg) or hepatitis C virus (HCV) antibody, </w:t>
      </w:r>
      <w:r>
        <w:rPr>
          <w:sz w:val="20"/>
          <w:szCs w:val="20"/>
        </w:rPr>
        <w:t xml:space="preserve">or </w:t>
      </w:r>
      <w:r>
        <w:rPr>
          <w:rFonts w:hint="cs"/>
          <w:sz w:val="20"/>
          <w:szCs w:val="20"/>
        </w:rPr>
        <w:t xml:space="preserve">treponema pallidum antibody (Anti-TP); 19) </w:t>
      </w:r>
      <w:r>
        <w:rPr>
          <w:sz w:val="20"/>
          <w:szCs w:val="20"/>
        </w:rPr>
        <w:t>a</w:t>
      </w:r>
      <w:r>
        <w:rPr>
          <w:rFonts w:hint="cs"/>
          <w:sz w:val="20"/>
          <w:szCs w:val="20"/>
        </w:rPr>
        <w:t xml:space="preserve">cute disease occurred during the pre-study screening stage or before the study; 20) </w:t>
      </w:r>
      <w:r>
        <w:rPr>
          <w:sz w:val="20"/>
          <w:szCs w:val="20"/>
        </w:rPr>
        <w:t>a</w:t>
      </w:r>
      <w:r>
        <w:rPr>
          <w:rFonts w:hint="cs"/>
          <w:sz w:val="20"/>
          <w:szCs w:val="20"/>
        </w:rPr>
        <w:t>thletes and other subjects determined by the investigator to be unsuitable for participation in this clinical study.</w:t>
      </w:r>
    </w:p>
    <w:p>
      <w:pPr>
        <w:spacing w:line="276" w:lineRule="auto"/>
        <w:rPr>
          <w:sz w:val="20"/>
          <w:szCs w:val="20"/>
          <w:highlight w:val="yellow"/>
        </w:rPr>
      </w:pPr>
    </w:p>
    <w:p>
      <w:pPr>
        <w:spacing w:line="276" w:lineRule="auto"/>
        <w:rPr>
          <w:sz w:val="20"/>
          <w:szCs w:val="20"/>
        </w:rPr>
      </w:pPr>
    </w:p>
    <w:p>
      <w:pPr>
        <w:spacing w:line="276" w:lineRule="auto"/>
        <w:rPr>
          <w:rFonts w:eastAsia="宋体"/>
          <w:spacing w:val="-2"/>
          <w:sz w:val="20"/>
          <w:szCs w:val="20"/>
        </w:rPr>
      </w:pPr>
      <w:r>
        <w:rPr>
          <w:rFonts w:hint="cs"/>
          <w:b/>
          <w:bCs/>
          <w:sz w:val="20"/>
          <w:szCs w:val="20"/>
        </w:rPr>
        <w:t>SI 2</w:t>
      </w:r>
      <w:r>
        <w:rPr>
          <w:rFonts w:hint="cs"/>
          <w:sz w:val="20"/>
          <w:szCs w:val="20"/>
          <w:lang w:val="de-DE"/>
        </w:rPr>
        <w:t xml:space="preserve"> </w:t>
      </w:r>
      <w:r>
        <w:rPr>
          <w:rFonts w:hint="cs"/>
          <w:sz w:val="20"/>
          <w:szCs w:val="20"/>
        </w:rPr>
        <w:t>D</w:t>
      </w:r>
      <w:r>
        <w:rPr>
          <w:rFonts w:hint="cs"/>
          <w:sz w:val="20"/>
          <w:szCs w:val="20"/>
          <w:lang w:val="de-DE"/>
        </w:rPr>
        <w:t>efinition</w:t>
      </w:r>
      <w:r>
        <w:rPr>
          <w:rFonts w:hint="cs"/>
          <w:sz w:val="20"/>
          <w:szCs w:val="20"/>
        </w:rPr>
        <w:t xml:space="preserve"> of data set</w:t>
      </w:r>
    </w:p>
    <w:tbl>
      <w:tblPr>
        <w:tblStyle w:val="37"/>
        <w:tblW w:w="4999" w:type="pct"/>
        <w:tblInd w:w="0" w:type="dxa"/>
        <w:tblBorders>
          <w:top w:val="single" w:color="000000" w:sz="2" w:space="0"/>
          <w:left w:val="none" w:color="auto" w:sz="0" w:space="0"/>
          <w:bottom w:val="single" w:color="000000" w:sz="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323"/>
        <w:gridCol w:w="5224"/>
        <w:gridCol w:w="1477"/>
      </w:tblGrid>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trPr>
        <w:tc>
          <w:tcPr>
            <w:tcW w:w="1287" w:type="pct"/>
            <w:tcBorders>
              <w:bottom w:val="single" w:color="000000" w:sz="2" w:space="0"/>
              <w:tl2br w:val="nil"/>
              <w:tr2bl w:val="nil"/>
            </w:tcBorders>
            <w:vAlign w:val="center"/>
          </w:tcPr>
          <w:p>
            <w:pPr>
              <w:pStyle w:val="36"/>
              <w:spacing w:before="125" w:line="276" w:lineRule="auto"/>
              <w:jc w:val="center"/>
              <w:rPr>
                <w:rFonts w:hint="default" w:ascii="Times New Roman" w:hAnsi="Times New Roman"/>
                <w:sz w:val="17"/>
                <w:szCs w:val="17"/>
              </w:rPr>
            </w:pPr>
            <w:r>
              <w:rPr>
                <w:rFonts w:hint="cs" w:ascii="Times New Roman" w:hAnsi="Times New Roman"/>
                <w:spacing w:val="-2"/>
                <w:sz w:val="17"/>
                <w:szCs w:val="17"/>
              </w:rPr>
              <w:t>Data set name</w:t>
            </w:r>
          </w:p>
        </w:tc>
        <w:tc>
          <w:tcPr>
            <w:tcW w:w="2894" w:type="pct"/>
            <w:tcBorders>
              <w:bottom w:val="single" w:color="000000" w:sz="2" w:space="0"/>
              <w:tl2br w:val="nil"/>
              <w:tr2bl w:val="nil"/>
            </w:tcBorders>
            <w:vAlign w:val="center"/>
          </w:tcPr>
          <w:p>
            <w:pPr>
              <w:pStyle w:val="36"/>
              <w:spacing w:before="125" w:line="276" w:lineRule="auto"/>
              <w:jc w:val="center"/>
              <w:rPr>
                <w:rFonts w:hint="default" w:ascii="Times New Roman" w:hAnsi="Times New Roman"/>
                <w:sz w:val="17"/>
                <w:szCs w:val="17"/>
              </w:rPr>
            </w:pPr>
            <w:r>
              <w:rPr>
                <w:rFonts w:hint="cs" w:ascii="Times New Roman" w:hAnsi="Times New Roman"/>
                <w:sz w:val="17"/>
                <w:szCs w:val="17"/>
              </w:rPr>
              <w:t>Definition</w:t>
            </w:r>
          </w:p>
        </w:tc>
        <w:tc>
          <w:tcPr>
            <w:tcW w:w="818" w:type="pct"/>
            <w:tcBorders>
              <w:bottom w:val="single" w:color="000000" w:sz="2" w:space="0"/>
              <w:tl2br w:val="nil"/>
              <w:tr2bl w:val="nil"/>
            </w:tcBorders>
            <w:vAlign w:val="center"/>
          </w:tcPr>
          <w:p>
            <w:pPr>
              <w:pStyle w:val="36"/>
              <w:spacing w:before="125" w:line="276" w:lineRule="auto"/>
              <w:jc w:val="center"/>
              <w:rPr>
                <w:rFonts w:hint="default" w:ascii="Times New Roman" w:hAnsi="Times New Roman"/>
                <w:sz w:val="17"/>
                <w:szCs w:val="17"/>
              </w:rPr>
            </w:pPr>
            <w:r>
              <w:rPr>
                <w:rFonts w:hint="cs" w:ascii="Times New Roman" w:hAnsi="Times New Roman"/>
                <w:spacing w:val="-2"/>
                <w:sz w:val="17"/>
                <w:szCs w:val="17"/>
              </w:rPr>
              <w:t>Number of subjects</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447" w:hRule="atLeast"/>
        </w:trPr>
        <w:tc>
          <w:tcPr>
            <w:tcW w:w="1287" w:type="pct"/>
            <w:tcBorders>
              <w:top w:val="single" w:color="000000" w:sz="2" w:space="0"/>
              <w:tl2br w:val="nil"/>
              <w:tr2bl w:val="nil"/>
            </w:tcBorders>
            <w:vAlign w:val="center"/>
          </w:tcPr>
          <w:p>
            <w:pPr>
              <w:pStyle w:val="36"/>
              <w:spacing w:before="122" w:line="276" w:lineRule="auto"/>
              <w:jc w:val="center"/>
              <w:rPr>
                <w:rFonts w:hint="default" w:ascii="Times New Roman" w:hAnsi="Times New Roman"/>
                <w:sz w:val="17"/>
                <w:szCs w:val="17"/>
              </w:rPr>
            </w:pPr>
            <w:r>
              <w:rPr>
                <w:rFonts w:hint="cs" w:ascii="Times New Roman" w:hAnsi="Times New Roman"/>
                <w:spacing w:val="-3"/>
                <w:sz w:val="17"/>
                <w:szCs w:val="17"/>
              </w:rPr>
              <w:t>Total analysis set（FAS）</w:t>
            </w:r>
          </w:p>
        </w:tc>
        <w:tc>
          <w:tcPr>
            <w:tcW w:w="2894" w:type="pct"/>
            <w:tcBorders>
              <w:top w:val="single" w:color="000000" w:sz="2" w:space="0"/>
              <w:tl2br w:val="nil"/>
              <w:tr2bl w:val="nil"/>
            </w:tcBorders>
            <w:vAlign w:val="center"/>
          </w:tcPr>
          <w:p>
            <w:pPr>
              <w:pStyle w:val="36"/>
              <w:spacing w:before="121" w:line="276" w:lineRule="auto"/>
              <w:ind w:left="112"/>
              <w:jc w:val="both"/>
              <w:rPr>
                <w:rFonts w:hint="default" w:ascii="Times New Roman" w:hAnsi="Times New Roman"/>
                <w:sz w:val="17"/>
                <w:szCs w:val="17"/>
              </w:rPr>
            </w:pPr>
            <w:r>
              <w:rPr>
                <w:rFonts w:hint="default" w:ascii="Times New Roman" w:hAnsi="Times New Roman"/>
                <w:spacing w:val="-1"/>
                <w:sz w:val="17"/>
                <w:szCs w:val="17"/>
              </w:rPr>
              <w:t>A</w:t>
            </w:r>
            <w:r>
              <w:rPr>
                <w:rFonts w:hint="cs" w:ascii="Times New Roman" w:hAnsi="Times New Roman"/>
                <w:spacing w:val="-1"/>
                <w:sz w:val="17"/>
                <w:szCs w:val="17"/>
              </w:rPr>
              <w:t>ll randomized subjects.</w:t>
            </w:r>
          </w:p>
        </w:tc>
        <w:tc>
          <w:tcPr>
            <w:tcW w:w="818" w:type="pct"/>
            <w:tcBorders>
              <w:top w:val="single" w:color="000000" w:sz="2" w:space="0"/>
              <w:tl2br w:val="nil"/>
              <w:tr2bl w:val="nil"/>
            </w:tcBorders>
            <w:vAlign w:val="center"/>
          </w:tcPr>
          <w:p>
            <w:pPr>
              <w:spacing w:before="158" w:line="276" w:lineRule="auto"/>
              <w:jc w:val="center"/>
              <w:rPr>
                <w:rFonts w:eastAsia="宋体"/>
                <w:color w:val="auto"/>
                <w:sz w:val="17"/>
                <w:szCs w:val="17"/>
              </w:rPr>
            </w:pPr>
            <w:r>
              <w:rPr>
                <w:rFonts w:hint="cs" w:eastAsia="宋体"/>
                <w:color w:val="auto"/>
                <w:spacing w:val="-1"/>
                <w:sz w:val="17"/>
                <w:szCs w:val="17"/>
              </w:rPr>
              <w:t>24</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663" w:hRule="atLeast"/>
        </w:trPr>
        <w:tc>
          <w:tcPr>
            <w:tcW w:w="1287" w:type="pct"/>
            <w:tcBorders>
              <w:tl2br w:val="nil"/>
              <w:tr2bl w:val="nil"/>
            </w:tcBorders>
            <w:vAlign w:val="center"/>
          </w:tcPr>
          <w:p>
            <w:pPr>
              <w:pStyle w:val="36"/>
              <w:spacing w:before="162" w:line="276" w:lineRule="auto"/>
              <w:jc w:val="center"/>
              <w:rPr>
                <w:rFonts w:hint="default" w:ascii="Times New Roman" w:hAnsi="Times New Roman"/>
                <w:sz w:val="17"/>
                <w:szCs w:val="17"/>
              </w:rPr>
            </w:pPr>
            <w:r>
              <w:rPr>
                <w:rFonts w:hint="cs" w:ascii="Times New Roman" w:hAnsi="Times New Roman"/>
                <w:spacing w:val="-2"/>
                <w:sz w:val="17"/>
                <w:szCs w:val="17"/>
              </w:rPr>
              <w:t>Security set（SS）</w:t>
            </w:r>
          </w:p>
        </w:tc>
        <w:tc>
          <w:tcPr>
            <w:tcW w:w="2894" w:type="pct"/>
            <w:tcBorders>
              <w:tl2br w:val="nil"/>
              <w:tr2bl w:val="nil"/>
            </w:tcBorders>
            <w:vAlign w:val="center"/>
          </w:tcPr>
          <w:p>
            <w:pPr>
              <w:pStyle w:val="36"/>
              <w:spacing w:before="26" w:line="276" w:lineRule="auto"/>
              <w:ind w:left="112" w:right="375"/>
              <w:jc w:val="both"/>
              <w:rPr>
                <w:rFonts w:hint="default" w:ascii="Times New Roman" w:hAnsi="Times New Roman"/>
                <w:sz w:val="17"/>
                <w:szCs w:val="17"/>
              </w:rPr>
            </w:pPr>
            <w:r>
              <w:rPr>
                <w:rFonts w:hint="cs" w:ascii="Times New Roman" w:hAnsi="Times New Roman"/>
                <w:spacing w:val="-4"/>
                <w:sz w:val="17"/>
                <w:szCs w:val="17"/>
              </w:rPr>
              <w:t>All participants who were randomized and had received at least one investigational drug with a documented safety marker.</w:t>
            </w:r>
          </w:p>
        </w:tc>
        <w:tc>
          <w:tcPr>
            <w:tcW w:w="818" w:type="pct"/>
            <w:tcBorders>
              <w:tl2br w:val="nil"/>
              <w:tr2bl w:val="nil"/>
            </w:tcBorders>
            <w:vAlign w:val="center"/>
          </w:tcPr>
          <w:p>
            <w:pPr>
              <w:spacing w:before="199" w:line="276" w:lineRule="auto"/>
              <w:jc w:val="center"/>
              <w:rPr>
                <w:rFonts w:eastAsia="宋体"/>
                <w:color w:val="auto"/>
                <w:sz w:val="17"/>
                <w:szCs w:val="17"/>
              </w:rPr>
            </w:pPr>
            <w:r>
              <w:rPr>
                <w:rFonts w:hint="cs" w:eastAsia="宋体"/>
                <w:color w:val="auto"/>
                <w:spacing w:val="-1"/>
                <w:sz w:val="17"/>
                <w:szCs w:val="17"/>
              </w:rPr>
              <w:t>24</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665" w:hRule="atLeast"/>
        </w:trPr>
        <w:tc>
          <w:tcPr>
            <w:tcW w:w="1287" w:type="pct"/>
            <w:tcBorders>
              <w:tl2br w:val="nil"/>
              <w:tr2bl w:val="nil"/>
            </w:tcBorders>
            <w:vAlign w:val="center"/>
          </w:tcPr>
          <w:p>
            <w:pPr>
              <w:pStyle w:val="36"/>
              <w:spacing w:before="168" w:line="276" w:lineRule="auto"/>
              <w:jc w:val="center"/>
              <w:rPr>
                <w:rFonts w:hint="default" w:ascii="Times New Roman" w:hAnsi="Times New Roman"/>
                <w:sz w:val="17"/>
                <w:szCs w:val="17"/>
              </w:rPr>
            </w:pPr>
            <w:r>
              <w:rPr>
                <w:rFonts w:hint="cs" w:ascii="Times New Roman" w:hAnsi="Times New Roman"/>
                <w:spacing w:val="-2"/>
                <w:sz w:val="17"/>
                <w:szCs w:val="17"/>
              </w:rPr>
              <w:t>PK concentration set（PKCS）</w:t>
            </w:r>
          </w:p>
        </w:tc>
        <w:tc>
          <w:tcPr>
            <w:tcW w:w="2894" w:type="pct"/>
            <w:tcBorders>
              <w:tl2br w:val="nil"/>
              <w:tr2bl w:val="nil"/>
            </w:tcBorders>
            <w:vAlign w:val="center"/>
          </w:tcPr>
          <w:p>
            <w:pPr>
              <w:pStyle w:val="36"/>
              <w:spacing w:before="33" w:line="276" w:lineRule="auto"/>
              <w:ind w:left="113" w:right="375" w:hanging="1"/>
              <w:jc w:val="both"/>
              <w:rPr>
                <w:rFonts w:hint="default" w:ascii="Times New Roman" w:hAnsi="Times New Roman"/>
                <w:sz w:val="17"/>
                <w:szCs w:val="17"/>
              </w:rPr>
            </w:pPr>
            <w:r>
              <w:rPr>
                <w:rFonts w:hint="default" w:ascii="Times New Roman" w:hAnsi="Times New Roman"/>
                <w:sz w:val="17"/>
                <w:szCs w:val="17"/>
              </w:rPr>
              <w:t>P</w:t>
            </w:r>
            <w:r>
              <w:rPr>
                <w:rFonts w:hint="cs" w:ascii="Times New Roman" w:hAnsi="Times New Roman"/>
                <w:sz w:val="17"/>
                <w:szCs w:val="17"/>
              </w:rPr>
              <w:t>articipants who received at least one investigational drug and at least one post-administration active detectable ingredient concentration data during the trial.</w:t>
            </w:r>
          </w:p>
        </w:tc>
        <w:tc>
          <w:tcPr>
            <w:tcW w:w="818" w:type="pct"/>
            <w:tcBorders>
              <w:tl2br w:val="nil"/>
              <w:tr2bl w:val="nil"/>
            </w:tcBorders>
            <w:vAlign w:val="center"/>
          </w:tcPr>
          <w:p>
            <w:pPr>
              <w:spacing w:before="205" w:line="276" w:lineRule="auto"/>
              <w:jc w:val="center"/>
              <w:rPr>
                <w:rFonts w:eastAsia="宋体"/>
                <w:color w:val="auto"/>
                <w:sz w:val="17"/>
                <w:szCs w:val="17"/>
              </w:rPr>
            </w:pPr>
            <w:r>
              <w:rPr>
                <w:rFonts w:hint="cs" w:eastAsia="宋体"/>
                <w:color w:val="auto"/>
                <w:spacing w:val="-1"/>
                <w:sz w:val="17"/>
                <w:szCs w:val="17"/>
              </w:rPr>
              <w:t>24</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663" w:hRule="atLeast"/>
        </w:trPr>
        <w:tc>
          <w:tcPr>
            <w:tcW w:w="1287" w:type="pct"/>
            <w:tcBorders>
              <w:tl2br w:val="nil"/>
              <w:tr2bl w:val="nil"/>
            </w:tcBorders>
            <w:vAlign w:val="center"/>
          </w:tcPr>
          <w:p>
            <w:pPr>
              <w:pStyle w:val="36"/>
              <w:spacing w:before="166" w:line="276" w:lineRule="auto"/>
              <w:jc w:val="center"/>
              <w:rPr>
                <w:rFonts w:hint="default" w:ascii="Times New Roman" w:hAnsi="Times New Roman"/>
                <w:sz w:val="17"/>
                <w:szCs w:val="17"/>
              </w:rPr>
            </w:pPr>
            <w:r>
              <w:rPr>
                <w:rFonts w:hint="cs" w:ascii="Times New Roman" w:hAnsi="Times New Roman"/>
                <w:spacing w:val="-1"/>
                <w:sz w:val="17"/>
                <w:szCs w:val="17"/>
              </w:rPr>
              <w:t>PK parameter set（PKPS）</w:t>
            </w:r>
          </w:p>
        </w:tc>
        <w:tc>
          <w:tcPr>
            <w:tcW w:w="2894" w:type="pct"/>
            <w:tcBorders>
              <w:tl2br w:val="nil"/>
              <w:tr2bl w:val="nil"/>
            </w:tcBorders>
            <w:vAlign w:val="center"/>
          </w:tcPr>
          <w:p>
            <w:pPr>
              <w:pStyle w:val="36"/>
              <w:spacing w:before="31" w:line="276" w:lineRule="auto"/>
              <w:ind w:left="115" w:right="375" w:hanging="3"/>
              <w:jc w:val="both"/>
              <w:rPr>
                <w:rFonts w:hint="default" w:ascii="Times New Roman" w:hAnsi="Times New Roman"/>
                <w:sz w:val="17"/>
                <w:szCs w:val="17"/>
              </w:rPr>
            </w:pPr>
            <w:r>
              <w:rPr>
                <w:rFonts w:hint="default" w:ascii="Times New Roman" w:hAnsi="Times New Roman"/>
                <w:sz w:val="17"/>
                <w:szCs w:val="17"/>
              </w:rPr>
              <w:t>D</w:t>
            </w:r>
            <w:r>
              <w:rPr>
                <w:rFonts w:hint="cs" w:ascii="Times New Roman" w:hAnsi="Times New Roman"/>
                <w:sz w:val="17"/>
                <w:szCs w:val="17"/>
              </w:rPr>
              <w:t>atasets of pharmacokinetic parameters obtained from subjects who received at least one investigational drug.</w:t>
            </w:r>
          </w:p>
        </w:tc>
        <w:tc>
          <w:tcPr>
            <w:tcW w:w="818" w:type="pct"/>
            <w:tcBorders>
              <w:tl2br w:val="nil"/>
              <w:tr2bl w:val="nil"/>
            </w:tcBorders>
            <w:vAlign w:val="center"/>
          </w:tcPr>
          <w:p>
            <w:pPr>
              <w:spacing w:before="203" w:line="276" w:lineRule="auto"/>
              <w:jc w:val="center"/>
              <w:rPr>
                <w:rFonts w:eastAsia="宋体"/>
                <w:color w:val="auto"/>
                <w:sz w:val="17"/>
                <w:szCs w:val="17"/>
              </w:rPr>
            </w:pPr>
            <w:r>
              <w:rPr>
                <w:rFonts w:hint="cs" w:eastAsia="宋体"/>
                <w:color w:val="auto"/>
                <w:spacing w:val="-1"/>
                <w:sz w:val="17"/>
                <w:szCs w:val="17"/>
              </w:rPr>
              <w:t>24</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572" w:hRule="atLeast"/>
        </w:trPr>
        <w:tc>
          <w:tcPr>
            <w:tcW w:w="1287" w:type="pct"/>
            <w:tcBorders>
              <w:tl2br w:val="nil"/>
              <w:tr2bl w:val="nil"/>
            </w:tcBorders>
            <w:vAlign w:val="center"/>
          </w:tcPr>
          <w:p>
            <w:pPr>
              <w:spacing w:line="276" w:lineRule="auto"/>
              <w:jc w:val="center"/>
              <w:rPr>
                <w:rFonts w:eastAsia="宋体"/>
                <w:color w:val="auto"/>
                <w:sz w:val="17"/>
                <w:szCs w:val="17"/>
              </w:rPr>
            </w:pPr>
          </w:p>
          <w:p>
            <w:pPr>
              <w:spacing w:line="276" w:lineRule="auto"/>
              <w:jc w:val="center"/>
              <w:rPr>
                <w:rFonts w:eastAsia="宋体"/>
                <w:color w:val="auto"/>
                <w:sz w:val="17"/>
                <w:szCs w:val="17"/>
              </w:rPr>
            </w:pPr>
          </w:p>
          <w:p>
            <w:pPr>
              <w:spacing w:line="276" w:lineRule="auto"/>
              <w:jc w:val="center"/>
              <w:rPr>
                <w:rFonts w:eastAsia="宋体"/>
                <w:color w:val="auto"/>
                <w:sz w:val="17"/>
                <w:szCs w:val="17"/>
              </w:rPr>
            </w:pPr>
          </w:p>
          <w:p>
            <w:pPr>
              <w:pStyle w:val="36"/>
              <w:spacing w:before="68" w:line="276" w:lineRule="auto"/>
              <w:jc w:val="center"/>
              <w:rPr>
                <w:rFonts w:hint="default" w:ascii="Times New Roman" w:hAnsi="Times New Roman"/>
                <w:sz w:val="17"/>
                <w:szCs w:val="17"/>
              </w:rPr>
            </w:pPr>
            <w:r>
              <w:rPr>
                <w:rFonts w:hint="cs" w:ascii="Times New Roman" w:hAnsi="Times New Roman"/>
                <w:spacing w:val="-2"/>
                <w:sz w:val="17"/>
                <w:szCs w:val="17"/>
              </w:rPr>
              <w:t>BE set（BES）</w:t>
            </w:r>
          </w:p>
        </w:tc>
        <w:tc>
          <w:tcPr>
            <w:tcW w:w="2894" w:type="pct"/>
            <w:tcBorders>
              <w:tl2br w:val="nil"/>
              <w:tr2bl w:val="nil"/>
            </w:tcBorders>
            <w:vAlign w:val="center"/>
          </w:tcPr>
          <w:p>
            <w:pPr>
              <w:pStyle w:val="36"/>
              <w:spacing w:before="22" w:line="276" w:lineRule="auto"/>
              <w:ind w:left="113" w:right="312" w:hanging="1"/>
              <w:jc w:val="both"/>
              <w:rPr>
                <w:rFonts w:hint="default" w:ascii="Times New Roman" w:hAnsi="Times New Roman"/>
                <w:sz w:val="17"/>
                <w:szCs w:val="17"/>
              </w:rPr>
            </w:pPr>
            <w:r>
              <w:rPr>
                <w:rFonts w:hint="cs" w:ascii="Times New Roman" w:hAnsi="Times New Roman"/>
                <w:sz w:val="17"/>
                <w:szCs w:val="17"/>
              </w:rPr>
              <w:t xml:space="preserve">Statistical analysis sets including at least one cycle with at least one evaluable pharmacokinetic parameter. After </w:t>
            </w:r>
            <w:r>
              <w:rPr>
                <w:rFonts w:hint="default" w:ascii="Times New Roman" w:hAnsi="Times New Roman"/>
                <w:sz w:val="17"/>
                <w:szCs w:val="17"/>
              </w:rPr>
              <w:t>a</w:t>
            </w:r>
            <w:r>
              <w:rPr>
                <w:rFonts w:hint="cs" w:ascii="Times New Roman" w:hAnsi="Times New Roman"/>
                <w:sz w:val="17"/>
                <w:szCs w:val="17"/>
              </w:rPr>
              <w:t xml:space="preserve"> subject takes</w:t>
            </w:r>
            <w:r>
              <w:rPr>
                <w:rFonts w:hint="default" w:ascii="Times New Roman" w:hAnsi="Times New Roman"/>
                <w:sz w:val="17"/>
                <w:szCs w:val="17"/>
              </w:rPr>
              <w:t xml:space="preserve"> the</w:t>
            </w:r>
            <w:r>
              <w:rPr>
                <w:rFonts w:hint="cs" w:ascii="Times New Roman" w:hAnsi="Times New Roman"/>
                <w:sz w:val="17"/>
                <w:szCs w:val="17"/>
              </w:rPr>
              <w:t xml:space="preserve"> drugs, the pharmacokinetic data of the subject in the corresponding period should not be included in BES under the following circumstances: a) strict and serious violation of the protocol, the PK parameter results are affected, or the parameters cannot be estimated. b) Predosing concentrations of volunteers &gt; C</w:t>
            </w:r>
            <w:r>
              <w:rPr>
                <w:rFonts w:hint="cs" w:ascii="Times New Roman" w:hAnsi="Times New Roman"/>
                <w:sz w:val="17"/>
                <w:szCs w:val="17"/>
                <w:vertAlign w:val="subscript"/>
              </w:rPr>
              <w:t>max</w:t>
            </w:r>
            <w:r>
              <w:rPr>
                <w:rFonts w:hint="cs" w:ascii="Times New Roman" w:hAnsi="Times New Roman"/>
                <w:sz w:val="17"/>
                <w:szCs w:val="17"/>
              </w:rPr>
              <w:t xml:space="preserve">. c) Concurrent dosing  during the trial </w:t>
            </w:r>
            <w:r>
              <w:rPr>
                <w:rFonts w:hint="default" w:ascii="Times New Roman" w:hAnsi="Times New Roman"/>
                <w:sz w:val="17"/>
                <w:szCs w:val="17"/>
              </w:rPr>
              <w:t>effecting</w:t>
            </w:r>
            <w:r>
              <w:rPr>
                <w:rFonts w:hint="cs" w:ascii="Times New Roman" w:hAnsi="Times New Roman"/>
                <w:sz w:val="17"/>
                <w:szCs w:val="17"/>
              </w:rPr>
              <w:t xml:space="preserve"> PK parameters. d) Vomiting while taking </w:t>
            </w:r>
            <w:r>
              <w:rPr>
                <w:rFonts w:hint="default" w:ascii="Times New Roman" w:hAnsi="Times New Roman"/>
                <w:sz w:val="17"/>
                <w:szCs w:val="17"/>
              </w:rPr>
              <w:t>twice</w:t>
            </w:r>
            <w:r>
              <w:rPr>
                <w:rFonts w:hint="cs" w:ascii="Times New Roman" w:hAnsi="Times New Roman"/>
                <w:sz w:val="17"/>
                <w:szCs w:val="17"/>
              </w:rPr>
              <w:t xml:space="preserve"> the study drug median T</w:t>
            </w:r>
            <w:r>
              <w:rPr>
                <w:rFonts w:hint="cs" w:ascii="Times New Roman" w:hAnsi="Times New Roman"/>
                <w:sz w:val="17"/>
                <w:szCs w:val="17"/>
                <w:vertAlign w:val="subscript"/>
              </w:rPr>
              <w:t>max</w:t>
            </w:r>
            <w:r>
              <w:rPr>
                <w:rFonts w:hint="cs" w:ascii="Times New Roman" w:hAnsi="Times New Roman"/>
                <w:sz w:val="17"/>
                <w:szCs w:val="17"/>
              </w:rPr>
              <w:t>. e) Data on the corresponding period for subjects whose first sample was C</w:t>
            </w:r>
            <w:r>
              <w:rPr>
                <w:rFonts w:hint="cs" w:ascii="Times New Roman" w:hAnsi="Times New Roman"/>
                <w:sz w:val="17"/>
                <w:szCs w:val="17"/>
                <w:vertAlign w:val="subscript"/>
              </w:rPr>
              <w:t>max</w:t>
            </w:r>
            <w:r>
              <w:rPr>
                <w:rFonts w:hint="cs" w:ascii="Times New Roman" w:hAnsi="Times New Roman"/>
                <w:sz w:val="17"/>
                <w:szCs w:val="17"/>
              </w:rPr>
              <w:t xml:space="preserve"> and whose early (5</w:t>
            </w:r>
            <w:r>
              <w:rPr>
                <w:rFonts w:hint="default" w:ascii="Times New Roman" w:hAnsi="Times New Roman"/>
                <w:sz w:val="17"/>
                <w:szCs w:val="17"/>
              </w:rPr>
              <w:t>–</w:t>
            </w:r>
            <w:r>
              <w:rPr>
                <w:rFonts w:hint="cs" w:ascii="Times New Roman" w:hAnsi="Times New Roman"/>
                <w:sz w:val="17"/>
                <w:szCs w:val="17"/>
              </w:rPr>
              <w:t>15 minutes after dosing) blood sample was not collected.</w:t>
            </w:r>
          </w:p>
        </w:tc>
        <w:tc>
          <w:tcPr>
            <w:tcW w:w="818" w:type="pct"/>
            <w:tcBorders>
              <w:tl2br w:val="nil"/>
              <w:tr2bl w:val="nil"/>
            </w:tcBorders>
            <w:vAlign w:val="center"/>
          </w:tcPr>
          <w:p>
            <w:pPr>
              <w:spacing w:line="276" w:lineRule="auto"/>
              <w:jc w:val="center"/>
              <w:rPr>
                <w:rFonts w:eastAsia="宋体"/>
                <w:color w:val="auto"/>
                <w:sz w:val="17"/>
                <w:szCs w:val="17"/>
              </w:rPr>
            </w:pPr>
          </w:p>
          <w:p>
            <w:pPr>
              <w:spacing w:line="276" w:lineRule="auto"/>
              <w:jc w:val="center"/>
              <w:rPr>
                <w:rFonts w:eastAsia="宋体"/>
                <w:color w:val="auto"/>
                <w:sz w:val="17"/>
                <w:szCs w:val="17"/>
              </w:rPr>
            </w:pPr>
          </w:p>
          <w:p>
            <w:pPr>
              <w:spacing w:line="276" w:lineRule="auto"/>
              <w:jc w:val="center"/>
              <w:rPr>
                <w:rFonts w:eastAsia="宋体"/>
                <w:color w:val="auto"/>
                <w:sz w:val="17"/>
                <w:szCs w:val="17"/>
              </w:rPr>
            </w:pPr>
          </w:p>
          <w:p>
            <w:pPr>
              <w:spacing w:before="60" w:line="276" w:lineRule="auto"/>
              <w:jc w:val="center"/>
              <w:rPr>
                <w:rFonts w:eastAsia="宋体"/>
                <w:color w:val="auto"/>
                <w:sz w:val="17"/>
                <w:szCs w:val="17"/>
              </w:rPr>
            </w:pPr>
            <w:r>
              <w:rPr>
                <w:rFonts w:hint="cs" w:eastAsia="宋体"/>
                <w:color w:val="auto"/>
                <w:spacing w:val="-1"/>
                <w:sz w:val="17"/>
                <w:szCs w:val="17"/>
              </w:rPr>
              <w:t>24</w:t>
            </w:r>
          </w:p>
        </w:tc>
      </w:tr>
    </w:tbl>
    <w:p>
      <w:pPr>
        <w:spacing w:line="276" w:lineRule="auto"/>
        <w:rPr>
          <w:sz w:val="17"/>
          <w:szCs w:val="17"/>
        </w:rPr>
      </w:pPr>
      <w:r>
        <w:rPr>
          <w:rFonts w:hint="cs"/>
          <w:sz w:val="17"/>
          <w:szCs w:val="17"/>
        </w:rPr>
        <w:t>PK,</w:t>
      </w:r>
      <w:r>
        <w:rPr>
          <w:rFonts w:hint="cs" w:eastAsia="宋体"/>
          <w:sz w:val="17"/>
          <w:szCs w:val="17"/>
        </w:rPr>
        <w:t xml:space="preserve"> </w:t>
      </w:r>
      <w:r>
        <w:rPr>
          <w:rFonts w:hint="cs"/>
          <w:sz w:val="17"/>
          <w:szCs w:val="17"/>
        </w:rPr>
        <w:t>pharmacokinetic</w:t>
      </w:r>
      <w:r>
        <w:rPr>
          <w:rFonts w:hint="cs" w:eastAsia="宋体"/>
          <w:sz w:val="17"/>
          <w:szCs w:val="17"/>
        </w:rPr>
        <w:t>s</w:t>
      </w:r>
      <w:r>
        <w:rPr>
          <w:rFonts w:hint="cs"/>
          <w:sz w:val="17"/>
          <w:szCs w:val="17"/>
        </w:rPr>
        <w:t>; C</w:t>
      </w:r>
      <w:r>
        <w:rPr>
          <w:rFonts w:hint="cs"/>
          <w:sz w:val="17"/>
          <w:szCs w:val="17"/>
          <w:vertAlign w:val="subscript"/>
        </w:rPr>
        <w:t>max</w:t>
      </w:r>
      <w:r>
        <w:rPr>
          <w:rFonts w:hint="cs"/>
          <w:sz w:val="17"/>
          <w:szCs w:val="17"/>
        </w:rPr>
        <w:t>, maximum blood concentration; T</w:t>
      </w:r>
      <w:r>
        <w:rPr>
          <w:rFonts w:hint="cs"/>
          <w:sz w:val="17"/>
          <w:szCs w:val="17"/>
          <w:vertAlign w:val="subscript"/>
        </w:rPr>
        <w:t>max</w:t>
      </w:r>
      <w:r>
        <w:rPr>
          <w:rFonts w:hint="cs"/>
          <w:sz w:val="17"/>
          <w:szCs w:val="17"/>
        </w:rPr>
        <w:t>, time to reach maximum blood concentration.</w:t>
      </w:r>
      <w:bookmarkStart w:id="7" w:name="_GoBack"/>
      <w:bookmarkEnd w:id="7"/>
    </w:p>
    <w:p>
      <w:pPr>
        <w:spacing w:line="276" w:lineRule="auto"/>
        <w:rPr>
          <w:sz w:val="20"/>
          <w:szCs w:val="20"/>
        </w:rPr>
      </w:pPr>
    </w:p>
    <w:p>
      <w:pPr>
        <w:spacing w:line="276" w:lineRule="auto"/>
        <w:rPr>
          <w:sz w:val="20"/>
          <w:szCs w:val="20"/>
        </w:rPr>
      </w:pPr>
    </w:p>
    <w:p>
      <w:pPr>
        <w:spacing w:line="276" w:lineRule="auto"/>
        <w:rPr>
          <w:sz w:val="20"/>
          <w:szCs w:val="20"/>
        </w:rPr>
      </w:pPr>
      <w:r>
        <w:rPr>
          <w:rFonts w:hint="cs"/>
          <w:b/>
          <w:bCs/>
          <w:sz w:val="20"/>
          <w:szCs w:val="20"/>
        </w:rPr>
        <w:t>SI 3</w:t>
      </w:r>
      <w:r>
        <w:rPr>
          <w:rFonts w:hint="cs"/>
          <w:sz w:val="20"/>
          <w:szCs w:val="20"/>
          <w:lang w:val="de-DE"/>
        </w:rPr>
        <w:t xml:space="preserve"> Volunteer</w:t>
      </w:r>
      <w:bookmarkStart w:id="0" w:name="OLE_LINK1"/>
      <w:r>
        <w:rPr>
          <w:rFonts w:hint="cs"/>
          <w:sz w:val="20"/>
          <w:szCs w:val="20"/>
          <w:lang w:val="de-DE"/>
        </w:rPr>
        <w:t xml:space="preserve"> characteristics</w:t>
      </w:r>
      <w:bookmarkEnd w:id="0"/>
    </w:p>
    <w:p>
      <w:pPr>
        <w:spacing w:line="276" w:lineRule="auto"/>
        <w:jc w:val="both"/>
        <w:rPr>
          <w:rFonts w:eastAsia="宋体"/>
          <w:sz w:val="20"/>
          <w:szCs w:val="20"/>
        </w:rPr>
      </w:pPr>
      <w:r>
        <w:rPr>
          <w:rFonts w:hint="cs"/>
          <w:sz w:val="20"/>
          <w:szCs w:val="20"/>
        </w:rPr>
        <w:t>A total of 24 volunteers were recruited</w:t>
      </w:r>
      <w:r>
        <w:rPr>
          <w:rFonts w:hint="cs" w:eastAsia="宋体"/>
          <w:sz w:val="20"/>
          <w:szCs w:val="20"/>
        </w:rPr>
        <w:t xml:space="preserve"> for the study. Age</w:t>
      </w:r>
      <w:r>
        <w:rPr>
          <w:rFonts w:hint="cs"/>
          <w:sz w:val="20"/>
          <w:szCs w:val="20"/>
        </w:rPr>
        <w:t>, sex, ethnicity, height, weight</w:t>
      </w:r>
      <w:r>
        <w:rPr>
          <w:rFonts w:hint="cs" w:eastAsia="宋体"/>
          <w:sz w:val="20"/>
          <w:szCs w:val="20"/>
        </w:rPr>
        <w:t>, and BMI were statistically analyzed</w:t>
      </w:r>
      <w:r>
        <w:rPr>
          <w:rFonts w:hint="cs"/>
          <w:sz w:val="20"/>
          <w:szCs w:val="20"/>
        </w:rPr>
        <w:t>.</w:t>
      </w:r>
    </w:p>
    <w:tbl>
      <w:tblPr>
        <w:tblStyle w:val="37"/>
        <w:tblW w:w="5016" w:type="pct"/>
        <w:tblInd w:w="0" w:type="dxa"/>
        <w:tblBorders>
          <w:top w:val="single" w:color="000000" w:sz="2" w:space="0"/>
          <w:left w:val="none" w:color="auto" w:sz="0" w:space="0"/>
          <w:bottom w:val="single" w:color="000000" w:sz="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406"/>
        <w:gridCol w:w="2206"/>
        <w:gridCol w:w="2206"/>
        <w:gridCol w:w="2237"/>
      </w:tblGrid>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bottom w:val="single" w:color="000000" w:sz="2" w:space="0"/>
              <w:tl2br w:val="nil"/>
              <w:tr2bl w:val="nil"/>
            </w:tcBorders>
            <w:vAlign w:val="center"/>
          </w:tcPr>
          <w:p>
            <w:pPr>
              <w:spacing w:line="276" w:lineRule="auto"/>
              <w:jc w:val="center"/>
              <w:rPr>
                <w:rFonts w:eastAsia="宋体"/>
                <w:color w:val="auto"/>
                <w:sz w:val="17"/>
                <w:szCs w:val="17"/>
              </w:rPr>
            </w:pPr>
            <w:bookmarkStart w:id="1" w:name="_Hlk167608998"/>
            <w:r>
              <w:rPr>
                <w:rFonts w:hint="cs"/>
                <w:sz w:val="17"/>
                <w:szCs w:val="17"/>
                <w:lang w:val="de-DE"/>
              </w:rPr>
              <w:t xml:space="preserve"> </w:t>
            </w:r>
            <w:r>
              <w:rPr>
                <w:rFonts w:hint="eastAsia" w:eastAsia="宋体"/>
                <w:sz w:val="17"/>
                <w:szCs w:val="17"/>
                <w:lang w:eastAsia="zh-CN"/>
              </w:rPr>
              <w:t>C</w:t>
            </w:r>
            <w:r>
              <w:rPr>
                <w:rFonts w:hint="cs"/>
                <w:sz w:val="17"/>
                <w:szCs w:val="17"/>
                <w:lang w:val="de-DE"/>
              </w:rPr>
              <w:t>haracteristics</w:t>
            </w:r>
          </w:p>
        </w:tc>
        <w:tc>
          <w:tcPr>
            <w:tcW w:w="1218" w:type="pct"/>
            <w:tcBorders>
              <w:bottom w:val="single" w:color="000000" w:sz="2" w:space="0"/>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1"/>
                <w:position w:val="16"/>
                <w:sz w:val="17"/>
                <w:szCs w:val="17"/>
              </w:rPr>
              <w:t>T-R group</w:t>
            </w:r>
          </w:p>
          <w:p>
            <w:pPr>
              <w:spacing w:line="276" w:lineRule="auto"/>
              <w:jc w:val="center"/>
              <w:rPr>
                <w:rFonts w:eastAsia="宋体"/>
                <w:color w:val="auto"/>
                <w:sz w:val="17"/>
                <w:szCs w:val="17"/>
              </w:rPr>
            </w:pPr>
            <w:r>
              <w:rPr>
                <w:rFonts w:hint="cs" w:eastAsia="宋体"/>
                <w:color w:val="auto"/>
                <w:spacing w:val="1"/>
                <w:sz w:val="17"/>
                <w:szCs w:val="17"/>
              </w:rPr>
              <w:t>N=12</w:t>
            </w:r>
          </w:p>
        </w:tc>
        <w:tc>
          <w:tcPr>
            <w:tcW w:w="1218" w:type="pct"/>
            <w:tcBorders>
              <w:bottom w:val="single" w:color="000000" w:sz="2" w:space="0"/>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1"/>
                <w:position w:val="16"/>
                <w:sz w:val="17"/>
                <w:szCs w:val="17"/>
              </w:rPr>
              <w:t>R-T group</w:t>
            </w:r>
          </w:p>
          <w:p>
            <w:pPr>
              <w:spacing w:line="276" w:lineRule="auto"/>
              <w:jc w:val="center"/>
              <w:rPr>
                <w:rFonts w:eastAsia="宋体"/>
                <w:color w:val="auto"/>
                <w:sz w:val="17"/>
                <w:szCs w:val="17"/>
              </w:rPr>
            </w:pPr>
            <w:r>
              <w:rPr>
                <w:rFonts w:hint="cs" w:eastAsia="宋体"/>
                <w:color w:val="auto"/>
                <w:spacing w:val="1"/>
                <w:sz w:val="17"/>
                <w:szCs w:val="17"/>
              </w:rPr>
              <w:t>N=12</w:t>
            </w:r>
          </w:p>
        </w:tc>
        <w:tc>
          <w:tcPr>
            <w:tcW w:w="1234" w:type="pct"/>
            <w:tcBorders>
              <w:bottom w:val="single" w:color="000000" w:sz="2" w:space="0"/>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2"/>
                <w:position w:val="16"/>
                <w:sz w:val="17"/>
                <w:szCs w:val="17"/>
              </w:rPr>
              <w:t>Total</w:t>
            </w:r>
          </w:p>
          <w:p>
            <w:pPr>
              <w:spacing w:line="276" w:lineRule="auto"/>
              <w:jc w:val="center"/>
              <w:rPr>
                <w:rFonts w:eastAsia="宋体"/>
                <w:color w:val="auto"/>
                <w:sz w:val="17"/>
                <w:szCs w:val="17"/>
              </w:rPr>
            </w:pPr>
            <w:r>
              <w:rPr>
                <w:rFonts w:hint="cs" w:eastAsia="宋体"/>
                <w:color w:val="auto"/>
                <w:spacing w:val="1"/>
                <w:sz w:val="17"/>
                <w:szCs w:val="17"/>
              </w:rPr>
              <w:t>N=24</w:t>
            </w:r>
          </w:p>
        </w:tc>
      </w:tr>
      <w:bookmarkEnd w:id="1"/>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5000" w:type="pct"/>
            <w:gridSpan w:val="4"/>
            <w:tcBorders>
              <w:top w:val="single" w:color="000000" w:sz="2" w:space="0"/>
              <w:tl2br w:val="nil"/>
              <w:tr2bl w:val="nil"/>
            </w:tcBorders>
            <w:vAlign w:val="center"/>
          </w:tcPr>
          <w:p>
            <w:pPr>
              <w:pStyle w:val="36"/>
              <w:spacing w:before="190" w:line="276" w:lineRule="auto"/>
              <w:ind w:left="18"/>
              <w:jc w:val="both"/>
              <w:rPr>
                <w:rFonts w:hint="default" w:ascii="Times New Roman" w:hAnsi="Times New Roman"/>
                <w:sz w:val="17"/>
                <w:szCs w:val="17"/>
              </w:rPr>
            </w:pPr>
            <w:r>
              <w:rPr>
                <w:rFonts w:hint="cs" w:ascii="Times New Roman" w:hAnsi="Times New Roman"/>
                <w:spacing w:val="-4"/>
                <w:sz w:val="17"/>
                <w:szCs w:val="17"/>
              </w:rPr>
              <w:t>Age（years）</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bottom w:val="nil"/>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color w:val="2A2B2E"/>
                <w:sz w:val="17"/>
                <w:szCs w:val="17"/>
                <w:shd w:val="clear" w:color="auto" w:fill="FFFFFF"/>
              </w:rPr>
              <w:t>C</w:t>
            </w:r>
            <w:r>
              <w:rPr>
                <w:rFonts w:hint="cs" w:ascii="Times New Roman" w:hAnsi="Times New Roman" w:eastAsia="Segoe UI"/>
                <w:color w:val="2A2B2E"/>
                <w:sz w:val="17"/>
                <w:szCs w:val="17"/>
                <w:shd w:val="clear" w:color="auto" w:fill="FFFFFF"/>
              </w:rPr>
              <w:t>ases</w:t>
            </w:r>
            <w:r>
              <w:rPr>
                <w:rFonts w:hint="cs" w:ascii="Times New Roman" w:hAnsi="Times New Roman"/>
                <w:spacing w:val="-42"/>
                <w:sz w:val="17"/>
                <w:szCs w:val="17"/>
              </w:rPr>
              <w:t xml:space="preserve"> </w:t>
            </w:r>
            <w:r>
              <w:rPr>
                <w:rFonts w:hint="cs" w:ascii="Times New Roman" w:hAnsi="Times New Roman"/>
                <w:spacing w:val="-3"/>
                <w:sz w:val="17"/>
                <w:szCs w:val="17"/>
              </w:rPr>
              <w:t>(%)</w:t>
            </w:r>
          </w:p>
        </w:tc>
        <w:tc>
          <w:tcPr>
            <w:tcW w:w="1218" w:type="pct"/>
            <w:tcBorders>
              <w:bottom w:val="nil"/>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18" w:type="pct"/>
            <w:tcBorders>
              <w:bottom w:val="nil"/>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34" w:type="pct"/>
            <w:tcBorders>
              <w:bottom w:val="nil"/>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2"/>
                <w:sz w:val="17"/>
                <w:szCs w:val="17"/>
              </w:rPr>
              <w:t>24</w:t>
            </w:r>
            <w:r>
              <w:rPr>
                <w:rFonts w:hint="cs" w:eastAsia="宋体"/>
                <w:color w:val="auto"/>
                <w:spacing w:val="14"/>
                <w:w w:val="101"/>
                <w:sz w:val="17"/>
                <w:szCs w:val="17"/>
              </w:rPr>
              <w:t xml:space="preserve"> </w:t>
            </w:r>
            <w:r>
              <w:rPr>
                <w:rFonts w:hint="cs" w:eastAsia="宋体"/>
                <w:color w:val="auto"/>
                <w:spacing w:val="-2"/>
                <w:sz w:val="17"/>
                <w:szCs w:val="17"/>
              </w:rPr>
              <w:t>(100.0)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bottom w:val="nil"/>
              <w:tl2br w:val="nil"/>
              <w:tr2bl w:val="nil"/>
            </w:tcBorders>
            <w:vAlign w:val="center"/>
          </w:tcPr>
          <w:p>
            <w:pPr>
              <w:pStyle w:val="36"/>
              <w:spacing w:before="187" w:line="276" w:lineRule="auto"/>
              <w:jc w:val="center"/>
              <w:rPr>
                <w:rFonts w:hint="default" w:ascii="Times New Roman" w:hAnsi="Times New Roman"/>
                <w:sz w:val="17"/>
                <w:szCs w:val="17"/>
              </w:rPr>
            </w:pPr>
            <w:r>
              <w:rPr>
                <w:rFonts w:hint="cs" w:ascii="Times New Roman" w:hAnsi="Times New Roman"/>
                <w:sz w:val="17"/>
                <w:szCs w:val="17"/>
              </w:rPr>
              <w:t>Mean (standard deviation)</w:t>
            </w:r>
          </w:p>
        </w:tc>
        <w:tc>
          <w:tcPr>
            <w:tcW w:w="1218" w:type="pct"/>
            <w:tcBorders>
              <w:top w:val="nil"/>
              <w:bottom w:val="nil"/>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2"/>
                <w:sz w:val="17"/>
                <w:szCs w:val="17"/>
              </w:rPr>
              <w:t>32.3</w:t>
            </w:r>
            <w:r>
              <w:rPr>
                <w:rFonts w:hint="cs" w:eastAsia="宋体"/>
                <w:color w:val="auto"/>
                <w:spacing w:val="12"/>
                <w:sz w:val="17"/>
                <w:szCs w:val="17"/>
              </w:rPr>
              <w:t xml:space="preserve"> </w:t>
            </w:r>
            <w:r>
              <w:rPr>
                <w:rFonts w:hint="cs" w:eastAsia="宋体"/>
                <w:color w:val="auto"/>
                <w:spacing w:val="-2"/>
                <w:sz w:val="17"/>
                <w:szCs w:val="17"/>
              </w:rPr>
              <w:t>(7.30)</w:t>
            </w:r>
          </w:p>
        </w:tc>
        <w:tc>
          <w:tcPr>
            <w:tcW w:w="1218" w:type="pct"/>
            <w:tcBorders>
              <w:top w:val="nil"/>
              <w:bottom w:val="nil"/>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2"/>
                <w:sz w:val="17"/>
                <w:szCs w:val="17"/>
              </w:rPr>
              <w:t>27.8</w:t>
            </w:r>
            <w:r>
              <w:rPr>
                <w:rFonts w:hint="cs" w:eastAsia="宋体"/>
                <w:color w:val="auto"/>
                <w:spacing w:val="17"/>
                <w:sz w:val="17"/>
                <w:szCs w:val="17"/>
              </w:rPr>
              <w:t xml:space="preserve"> </w:t>
            </w:r>
            <w:r>
              <w:rPr>
                <w:rFonts w:hint="cs" w:eastAsia="宋体"/>
                <w:color w:val="auto"/>
                <w:spacing w:val="-2"/>
                <w:sz w:val="17"/>
                <w:szCs w:val="17"/>
              </w:rPr>
              <w:t>(4.86)</w:t>
            </w:r>
          </w:p>
        </w:tc>
        <w:tc>
          <w:tcPr>
            <w:tcW w:w="1234" w:type="pct"/>
            <w:tcBorders>
              <w:top w:val="nil"/>
              <w:bottom w:val="nil"/>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2"/>
                <w:sz w:val="17"/>
                <w:szCs w:val="17"/>
              </w:rPr>
              <w:t>30.0</w:t>
            </w:r>
            <w:r>
              <w:rPr>
                <w:rFonts w:hint="cs" w:eastAsia="宋体"/>
                <w:color w:val="auto"/>
                <w:spacing w:val="12"/>
                <w:sz w:val="17"/>
                <w:szCs w:val="17"/>
              </w:rPr>
              <w:t xml:space="preserve"> </w:t>
            </w:r>
            <w:r>
              <w:rPr>
                <w:rFonts w:hint="cs" w:eastAsia="宋体"/>
                <w:color w:val="auto"/>
                <w:spacing w:val="-2"/>
                <w:sz w:val="17"/>
                <w:szCs w:val="17"/>
              </w:rPr>
              <w:t>(6.50)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bottom w:val="nil"/>
              <w:tl2br w:val="nil"/>
              <w:tr2bl w:val="nil"/>
            </w:tcBorders>
            <w:vAlign w:val="center"/>
          </w:tcPr>
          <w:p>
            <w:pPr>
              <w:pStyle w:val="36"/>
              <w:spacing w:before="188" w:line="276" w:lineRule="auto"/>
              <w:jc w:val="center"/>
              <w:rPr>
                <w:rFonts w:hint="default" w:ascii="Times New Roman" w:hAnsi="Times New Roman"/>
                <w:sz w:val="17"/>
                <w:szCs w:val="17"/>
              </w:rPr>
            </w:pPr>
            <w:r>
              <w:rPr>
                <w:rFonts w:hint="cs" w:ascii="Times New Roman" w:hAnsi="Times New Roman"/>
                <w:sz w:val="17"/>
                <w:szCs w:val="17"/>
              </w:rPr>
              <w:t>Median</w:t>
            </w:r>
          </w:p>
        </w:tc>
        <w:tc>
          <w:tcPr>
            <w:tcW w:w="1218" w:type="pct"/>
            <w:tcBorders>
              <w:top w:val="nil"/>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2"/>
                <w:sz w:val="17"/>
                <w:szCs w:val="17"/>
              </w:rPr>
              <w:t>31.0</w:t>
            </w:r>
          </w:p>
        </w:tc>
        <w:tc>
          <w:tcPr>
            <w:tcW w:w="1218" w:type="pct"/>
            <w:tcBorders>
              <w:top w:val="nil"/>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1"/>
                <w:sz w:val="17"/>
                <w:szCs w:val="17"/>
              </w:rPr>
              <w:t>28.0</w:t>
            </w:r>
          </w:p>
        </w:tc>
        <w:tc>
          <w:tcPr>
            <w:tcW w:w="1234" w:type="pct"/>
            <w:tcBorders>
              <w:top w:val="nil"/>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1"/>
                <w:sz w:val="17"/>
                <w:szCs w:val="17"/>
              </w:rPr>
              <w:t>29.5</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bottom w:val="nil"/>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spacing w:val="-14"/>
                <w:sz w:val="17"/>
                <w:szCs w:val="17"/>
              </w:rPr>
              <w:t>Minimum, maximum</w:t>
            </w:r>
          </w:p>
        </w:tc>
        <w:tc>
          <w:tcPr>
            <w:tcW w:w="1218" w:type="pct"/>
            <w:tcBorders>
              <w:top w:val="nil"/>
              <w:bottom w:val="nil"/>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1"/>
                <w:sz w:val="17"/>
                <w:szCs w:val="17"/>
              </w:rPr>
              <w:t>23, 44</w:t>
            </w:r>
          </w:p>
        </w:tc>
        <w:tc>
          <w:tcPr>
            <w:tcW w:w="1218" w:type="pct"/>
            <w:tcBorders>
              <w:top w:val="nil"/>
              <w:bottom w:val="nil"/>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2"/>
                <w:sz w:val="17"/>
                <w:szCs w:val="17"/>
              </w:rPr>
              <w:t>22,</w:t>
            </w:r>
            <w:r>
              <w:rPr>
                <w:rFonts w:hint="cs" w:eastAsia="宋体"/>
                <w:color w:val="auto"/>
                <w:spacing w:val="11"/>
                <w:sz w:val="17"/>
                <w:szCs w:val="17"/>
              </w:rPr>
              <w:t xml:space="preserve"> </w:t>
            </w:r>
            <w:r>
              <w:rPr>
                <w:rFonts w:hint="cs" w:eastAsia="宋体"/>
                <w:color w:val="auto"/>
                <w:spacing w:val="-2"/>
                <w:sz w:val="17"/>
                <w:szCs w:val="17"/>
              </w:rPr>
              <w:t>37</w:t>
            </w:r>
          </w:p>
        </w:tc>
        <w:tc>
          <w:tcPr>
            <w:tcW w:w="1234" w:type="pct"/>
            <w:tcBorders>
              <w:top w:val="nil"/>
              <w:bottom w:val="nil"/>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1"/>
                <w:sz w:val="17"/>
                <w:szCs w:val="17"/>
              </w:rPr>
              <w:t>22, 44</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5000" w:type="pct"/>
            <w:gridSpan w:val="4"/>
            <w:tcBorders>
              <w:top w:val="nil"/>
              <w:bottom w:val="nil"/>
              <w:tl2br w:val="nil"/>
              <w:tr2bl w:val="nil"/>
            </w:tcBorders>
            <w:vAlign w:val="center"/>
          </w:tcPr>
          <w:p>
            <w:pPr>
              <w:pStyle w:val="36"/>
              <w:spacing w:before="185" w:line="276" w:lineRule="auto"/>
              <w:ind w:left="18"/>
              <w:jc w:val="both"/>
              <w:rPr>
                <w:rFonts w:hint="default" w:ascii="Times New Roman" w:hAnsi="Times New Roman"/>
                <w:sz w:val="17"/>
                <w:szCs w:val="17"/>
              </w:rPr>
            </w:pPr>
            <w:r>
              <w:rPr>
                <w:rFonts w:hint="cs" w:ascii="Times New Roman" w:hAnsi="Times New Roman"/>
                <w:spacing w:val="-2"/>
                <w:sz w:val="17"/>
                <w:szCs w:val="17"/>
              </w:rPr>
              <w:t>Age group</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bottom w:val="single" w:color="auto" w:sz="4" w:space="0"/>
              <w:tl2br w:val="nil"/>
              <w:tr2bl w:val="nil"/>
            </w:tcBorders>
            <w:vAlign w:val="center"/>
          </w:tcPr>
          <w:p>
            <w:pPr>
              <w:spacing w:before="210" w:line="276" w:lineRule="auto"/>
              <w:jc w:val="center"/>
              <w:rPr>
                <w:rFonts w:eastAsia="宋体"/>
                <w:color w:val="auto"/>
                <w:sz w:val="17"/>
                <w:szCs w:val="17"/>
              </w:rPr>
            </w:pPr>
            <w:r>
              <w:rPr>
                <w:rFonts w:hint="cs" w:eastAsia="宋体"/>
                <w:color w:val="auto"/>
                <w:spacing w:val="-5"/>
                <w:sz w:val="17"/>
                <w:szCs w:val="17"/>
              </w:rPr>
              <w:t>18-25</w:t>
            </w:r>
          </w:p>
        </w:tc>
        <w:tc>
          <w:tcPr>
            <w:tcW w:w="1218" w:type="pct"/>
            <w:tcBorders>
              <w:top w:val="nil"/>
              <w:bottom w:val="single" w:color="auto" w:sz="4" w:space="0"/>
              <w:tl2br w:val="nil"/>
              <w:tr2bl w:val="nil"/>
            </w:tcBorders>
            <w:vAlign w:val="center"/>
          </w:tcPr>
          <w:p>
            <w:pPr>
              <w:spacing w:before="207" w:line="276" w:lineRule="auto"/>
              <w:jc w:val="center"/>
              <w:rPr>
                <w:rFonts w:eastAsia="宋体"/>
                <w:color w:val="auto"/>
                <w:sz w:val="17"/>
                <w:szCs w:val="17"/>
              </w:rPr>
            </w:pPr>
            <w:r>
              <w:rPr>
                <w:rFonts w:hint="cs" w:eastAsia="宋体"/>
                <w:color w:val="auto"/>
                <w:spacing w:val="-6"/>
                <w:sz w:val="17"/>
                <w:szCs w:val="17"/>
              </w:rPr>
              <w:t>2</w:t>
            </w:r>
            <w:r>
              <w:rPr>
                <w:rFonts w:hint="cs" w:eastAsia="宋体"/>
                <w:color w:val="auto"/>
                <w:spacing w:val="13"/>
                <w:w w:val="101"/>
                <w:sz w:val="17"/>
                <w:szCs w:val="17"/>
              </w:rPr>
              <w:t xml:space="preserve"> </w:t>
            </w:r>
            <w:r>
              <w:rPr>
                <w:rFonts w:hint="cs" w:eastAsia="宋体"/>
                <w:color w:val="auto"/>
                <w:spacing w:val="-6"/>
                <w:sz w:val="17"/>
                <w:szCs w:val="17"/>
              </w:rPr>
              <w:t>(</w:t>
            </w:r>
            <w:r>
              <w:rPr>
                <w:rFonts w:hint="cs" w:eastAsia="宋体"/>
                <w:color w:val="auto"/>
                <w:spacing w:val="24"/>
                <w:w w:val="101"/>
                <w:sz w:val="17"/>
                <w:szCs w:val="17"/>
              </w:rPr>
              <w:t xml:space="preserve"> </w:t>
            </w:r>
            <w:r>
              <w:rPr>
                <w:rFonts w:hint="cs" w:eastAsia="宋体"/>
                <w:color w:val="auto"/>
                <w:spacing w:val="-6"/>
                <w:sz w:val="17"/>
                <w:szCs w:val="17"/>
              </w:rPr>
              <w:t>16.7)</w:t>
            </w:r>
          </w:p>
        </w:tc>
        <w:tc>
          <w:tcPr>
            <w:tcW w:w="1218" w:type="pct"/>
            <w:tcBorders>
              <w:top w:val="nil"/>
              <w:bottom w:val="single" w:color="auto" w:sz="4" w:space="0"/>
              <w:tl2br w:val="nil"/>
              <w:tr2bl w:val="nil"/>
            </w:tcBorders>
            <w:vAlign w:val="center"/>
          </w:tcPr>
          <w:p>
            <w:pPr>
              <w:spacing w:before="207" w:line="276" w:lineRule="auto"/>
              <w:jc w:val="center"/>
              <w:rPr>
                <w:rFonts w:eastAsia="宋体"/>
                <w:color w:val="auto"/>
                <w:sz w:val="17"/>
                <w:szCs w:val="17"/>
              </w:rPr>
            </w:pPr>
            <w:r>
              <w:rPr>
                <w:rFonts w:hint="cs" w:eastAsia="宋体"/>
                <w:color w:val="auto"/>
                <w:spacing w:val="-3"/>
                <w:sz w:val="17"/>
                <w:szCs w:val="17"/>
              </w:rPr>
              <w:t>5</w:t>
            </w:r>
            <w:r>
              <w:rPr>
                <w:rFonts w:hint="cs" w:eastAsia="宋体"/>
                <w:color w:val="auto"/>
                <w:spacing w:val="14"/>
                <w:w w:val="101"/>
                <w:sz w:val="17"/>
                <w:szCs w:val="17"/>
              </w:rPr>
              <w:t xml:space="preserve"> </w:t>
            </w:r>
            <w:r>
              <w:rPr>
                <w:rFonts w:hint="cs" w:eastAsia="宋体"/>
                <w:color w:val="auto"/>
                <w:spacing w:val="-3"/>
                <w:sz w:val="17"/>
                <w:szCs w:val="17"/>
              </w:rPr>
              <w:t>( 41.7)</w:t>
            </w:r>
          </w:p>
        </w:tc>
        <w:tc>
          <w:tcPr>
            <w:tcW w:w="1234" w:type="pct"/>
            <w:tcBorders>
              <w:top w:val="nil"/>
              <w:bottom w:val="single" w:color="auto" w:sz="4" w:space="0"/>
              <w:tl2br w:val="nil"/>
              <w:tr2bl w:val="nil"/>
            </w:tcBorders>
            <w:vAlign w:val="center"/>
          </w:tcPr>
          <w:p>
            <w:pPr>
              <w:spacing w:before="207" w:line="276" w:lineRule="auto"/>
              <w:jc w:val="center"/>
              <w:rPr>
                <w:rFonts w:eastAsia="宋体"/>
                <w:color w:val="auto"/>
                <w:sz w:val="17"/>
                <w:szCs w:val="17"/>
              </w:rPr>
            </w:pPr>
            <w:r>
              <w:rPr>
                <w:rFonts w:hint="cs" w:eastAsia="宋体"/>
                <w:color w:val="auto"/>
                <w:spacing w:val="-2"/>
                <w:sz w:val="17"/>
                <w:szCs w:val="17"/>
              </w:rPr>
              <w:t>7</w:t>
            </w:r>
            <w:r>
              <w:rPr>
                <w:rFonts w:hint="cs" w:eastAsia="宋体"/>
                <w:color w:val="auto"/>
                <w:spacing w:val="8"/>
                <w:sz w:val="17"/>
                <w:szCs w:val="17"/>
              </w:rPr>
              <w:t xml:space="preserve"> </w:t>
            </w:r>
            <w:r>
              <w:rPr>
                <w:rFonts w:hint="cs" w:eastAsia="宋体"/>
                <w:color w:val="auto"/>
                <w:spacing w:val="-2"/>
                <w:sz w:val="17"/>
                <w:szCs w:val="17"/>
              </w:rPr>
              <w:t>( 29.2)</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337" w:hRule="atLeast"/>
        </w:trPr>
        <w:tc>
          <w:tcPr>
            <w:tcW w:w="1329" w:type="pct"/>
            <w:tcBorders>
              <w:top w:val="single" w:color="auto" w:sz="4" w:space="0"/>
              <w:bottom w:val="single" w:color="auto" w:sz="4" w:space="0"/>
              <w:tl2br w:val="nil"/>
              <w:tr2bl w:val="nil"/>
            </w:tcBorders>
            <w:vAlign w:val="center"/>
          </w:tcPr>
          <w:p>
            <w:pPr>
              <w:spacing w:before="212" w:line="276" w:lineRule="auto"/>
              <w:jc w:val="center"/>
              <w:rPr>
                <w:rFonts w:hint="cs" w:eastAsia="宋体"/>
                <w:color w:val="auto"/>
                <w:spacing w:val="-1"/>
                <w:sz w:val="17"/>
                <w:szCs w:val="17"/>
              </w:rPr>
            </w:pPr>
            <w:r>
              <w:rPr>
                <w:rFonts w:hint="cs"/>
                <w:sz w:val="17"/>
                <w:szCs w:val="17"/>
                <w:lang w:val="de-DE"/>
              </w:rPr>
              <w:t xml:space="preserve"> </w:t>
            </w:r>
            <w:r>
              <w:rPr>
                <w:rFonts w:hint="eastAsia" w:eastAsia="宋体"/>
                <w:sz w:val="17"/>
                <w:szCs w:val="17"/>
                <w:lang w:eastAsia="zh-CN"/>
              </w:rPr>
              <w:t>C</w:t>
            </w:r>
            <w:r>
              <w:rPr>
                <w:rFonts w:hint="cs"/>
                <w:sz w:val="17"/>
                <w:szCs w:val="17"/>
                <w:lang w:val="de-DE"/>
              </w:rPr>
              <w:t>haracteristics</w:t>
            </w:r>
          </w:p>
        </w:tc>
        <w:tc>
          <w:tcPr>
            <w:tcW w:w="1218" w:type="pct"/>
            <w:tcBorders>
              <w:top w:val="single" w:color="auto" w:sz="4" w:space="0"/>
              <w:bottom w:val="single" w:color="auto" w:sz="4" w:space="0"/>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1"/>
                <w:position w:val="16"/>
                <w:sz w:val="17"/>
                <w:szCs w:val="17"/>
              </w:rPr>
              <w:t>T-R group</w:t>
            </w:r>
          </w:p>
          <w:p>
            <w:pPr>
              <w:spacing w:before="209" w:line="276" w:lineRule="auto"/>
              <w:jc w:val="center"/>
              <w:rPr>
                <w:rFonts w:hint="cs" w:eastAsia="宋体"/>
                <w:color w:val="auto"/>
                <w:spacing w:val="-4"/>
                <w:sz w:val="17"/>
                <w:szCs w:val="17"/>
              </w:rPr>
            </w:pPr>
            <w:r>
              <w:rPr>
                <w:rFonts w:hint="cs" w:eastAsia="宋体"/>
                <w:color w:val="auto"/>
                <w:spacing w:val="1"/>
                <w:sz w:val="17"/>
                <w:szCs w:val="17"/>
              </w:rPr>
              <w:t>N=12</w:t>
            </w:r>
          </w:p>
        </w:tc>
        <w:tc>
          <w:tcPr>
            <w:tcW w:w="1218" w:type="pct"/>
            <w:tcBorders>
              <w:top w:val="single" w:color="auto" w:sz="4" w:space="0"/>
              <w:bottom w:val="single" w:color="auto" w:sz="4" w:space="0"/>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1"/>
                <w:position w:val="16"/>
                <w:sz w:val="17"/>
                <w:szCs w:val="17"/>
              </w:rPr>
              <w:t>R-T group</w:t>
            </w:r>
          </w:p>
          <w:p>
            <w:pPr>
              <w:spacing w:before="209" w:line="276" w:lineRule="auto"/>
              <w:jc w:val="center"/>
              <w:rPr>
                <w:rFonts w:hint="cs" w:eastAsia="宋体"/>
                <w:color w:val="auto"/>
                <w:spacing w:val="-4"/>
                <w:sz w:val="17"/>
                <w:szCs w:val="17"/>
              </w:rPr>
            </w:pPr>
            <w:r>
              <w:rPr>
                <w:rFonts w:hint="cs" w:eastAsia="宋体"/>
                <w:color w:val="auto"/>
                <w:spacing w:val="1"/>
                <w:sz w:val="17"/>
                <w:szCs w:val="17"/>
              </w:rPr>
              <w:t>N=12</w:t>
            </w:r>
          </w:p>
        </w:tc>
        <w:tc>
          <w:tcPr>
            <w:tcW w:w="1234" w:type="pct"/>
            <w:tcBorders>
              <w:top w:val="single" w:color="auto" w:sz="4" w:space="0"/>
              <w:bottom w:val="single" w:color="auto" w:sz="4" w:space="0"/>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2"/>
                <w:position w:val="16"/>
                <w:sz w:val="17"/>
                <w:szCs w:val="17"/>
              </w:rPr>
              <w:t>Total</w:t>
            </w:r>
          </w:p>
          <w:p>
            <w:pPr>
              <w:spacing w:before="209" w:line="276" w:lineRule="auto"/>
              <w:jc w:val="center"/>
              <w:rPr>
                <w:rFonts w:hint="cs" w:eastAsia="宋体"/>
                <w:color w:val="auto"/>
                <w:spacing w:val="-6"/>
                <w:sz w:val="17"/>
                <w:szCs w:val="17"/>
              </w:rPr>
            </w:pPr>
            <w:r>
              <w:rPr>
                <w:rFonts w:hint="cs" w:eastAsia="宋体"/>
                <w:color w:val="auto"/>
                <w:spacing w:val="1"/>
                <w:sz w:val="17"/>
                <w:szCs w:val="17"/>
              </w:rPr>
              <w:t>N=24</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single" w:color="auto" w:sz="4" w:space="0"/>
              <w:tl2br w:val="nil"/>
              <w:tr2bl w:val="nil"/>
            </w:tcBorders>
            <w:vAlign w:val="center"/>
          </w:tcPr>
          <w:p>
            <w:pPr>
              <w:spacing w:before="212" w:line="276" w:lineRule="auto"/>
              <w:jc w:val="center"/>
              <w:rPr>
                <w:rFonts w:eastAsia="宋体"/>
                <w:color w:val="auto"/>
                <w:sz w:val="17"/>
                <w:szCs w:val="17"/>
              </w:rPr>
            </w:pPr>
            <w:r>
              <w:rPr>
                <w:rFonts w:hint="cs" w:eastAsia="宋体"/>
                <w:color w:val="auto"/>
                <w:spacing w:val="-1"/>
                <w:sz w:val="17"/>
                <w:szCs w:val="17"/>
              </w:rPr>
              <w:t>26-35</w:t>
            </w:r>
          </w:p>
        </w:tc>
        <w:tc>
          <w:tcPr>
            <w:tcW w:w="1218" w:type="pct"/>
            <w:tcBorders>
              <w:top w:val="single" w:color="auto" w:sz="4" w:space="0"/>
              <w:tl2br w:val="nil"/>
              <w:tr2bl w:val="nil"/>
            </w:tcBorders>
            <w:vAlign w:val="center"/>
          </w:tcPr>
          <w:p>
            <w:pPr>
              <w:spacing w:before="209" w:line="276" w:lineRule="auto"/>
              <w:jc w:val="center"/>
              <w:rPr>
                <w:rFonts w:eastAsia="宋体"/>
                <w:color w:val="auto"/>
                <w:sz w:val="17"/>
                <w:szCs w:val="17"/>
              </w:rPr>
            </w:pPr>
            <w:r>
              <w:rPr>
                <w:rFonts w:hint="cs" w:eastAsia="宋体"/>
                <w:color w:val="auto"/>
                <w:spacing w:val="-4"/>
                <w:sz w:val="17"/>
                <w:szCs w:val="17"/>
              </w:rPr>
              <w:t>7</w:t>
            </w:r>
            <w:r>
              <w:rPr>
                <w:rFonts w:hint="cs" w:eastAsia="宋体"/>
                <w:color w:val="auto"/>
                <w:spacing w:val="11"/>
                <w:sz w:val="17"/>
                <w:szCs w:val="17"/>
              </w:rPr>
              <w:t xml:space="preserve"> </w:t>
            </w:r>
            <w:r>
              <w:rPr>
                <w:rFonts w:hint="cs" w:eastAsia="宋体"/>
                <w:color w:val="auto"/>
                <w:spacing w:val="-4"/>
                <w:sz w:val="17"/>
                <w:szCs w:val="17"/>
              </w:rPr>
              <w:t>(</w:t>
            </w:r>
            <w:r>
              <w:rPr>
                <w:rFonts w:hint="cs" w:eastAsia="宋体"/>
                <w:color w:val="auto"/>
                <w:spacing w:val="9"/>
                <w:sz w:val="17"/>
                <w:szCs w:val="17"/>
              </w:rPr>
              <w:t xml:space="preserve"> </w:t>
            </w:r>
            <w:r>
              <w:rPr>
                <w:rFonts w:hint="cs" w:eastAsia="宋体"/>
                <w:color w:val="auto"/>
                <w:spacing w:val="-4"/>
                <w:sz w:val="17"/>
                <w:szCs w:val="17"/>
              </w:rPr>
              <w:t>58.3)</w:t>
            </w:r>
          </w:p>
        </w:tc>
        <w:tc>
          <w:tcPr>
            <w:tcW w:w="1218" w:type="pct"/>
            <w:tcBorders>
              <w:top w:val="single" w:color="auto" w:sz="4" w:space="0"/>
              <w:tl2br w:val="nil"/>
              <w:tr2bl w:val="nil"/>
            </w:tcBorders>
            <w:vAlign w:val="center"/>
          </w:tcPr>
          <w:p>
            <w:pPr>
              <w:spacing w:before="209" w:line="276" w:lineRule="auto"/>
              <w:jc w:val="center"/>
              <w:rPr>
                <w:rFonts w:eastAsia="宋体"/>
                <w:color w:val="auto"/>
                <w:sz w:val="17"/>
                <w:szCs w:val="17"/>
              </w:rPr>
            </w:pPr>
            <w:r>
              <w:rPr>
                <w:rFonts w:hint="cs" w:eastAsia="宋体"/>
                <w:color w:val="auto"/>
                <w:spacing w:val="-4"/>
                <w:sz w:val="17"/>
                <w:szCs w:val="17"/>
              </w:rPr>
              <w:t>6</w:t>
            </w:r>
            <w:r>
              <w:rPr>
                <w:rFonts w:hint="cs" w:eastAsia="宋体"/>
                <w:color w:val="auto"/>
                <w:spacing w:val="9"/>
                <w:sz w:val="17"/>
                <w:szCs w:val="17"/>
              </w:rPr>
              <w:t xml:space="preserve"> </w:t>
            </w:r>
            <w:r>
              <w:rPr>
                <w:rFonts w:hint="cs" w:eastAsia="宋体"/>
                <w:color w:val="auto"/>
                <w:spacing w:val="-4"/>
                <w:sz w:val="17"/>
                <w:szCs w:val="17"/>
              </w:rPr>
              <w:t>(</w:t>
            </w:r>
            <w:r>
              <w:rPr>
                <w:rFonts w:hint="cs" w:eastAsia="宋体"/>
                <w:color w:val="auto"/>
                <w:spacing w:val="10"/>
                <w:sz w:val="17"/>
                <w:szCs w:val="17"/>
              </w:rPr>
              <w:t xml:space="preserve"> </w:t>
            </w:r>
            <w:r>
              <w:rPr>
                <w:rFonts w:hint="cs" w:eastAsia="宋体"/>
                <w:color w:val="auto"/>
                <w:spacing w:val="-4"/>
                <w:sz w:val="17"/>
                <w:szCs w:val="17"/>
              </w:rPr>
              <w:t>50.0)</w:t>
            </w:r>
          </w:p>
        </w:tc>
        <w:tc>
          <w:tcPr>
            <w:tcW w:w="1234" w:type="pct"/>
            <w:tcBorders>
              <w:top w:val="single" w:color="auto" w:sz="4" w:space="0"/>
              <w:tl2br w:val="nil"/>
              <w:tr2bl w:val="nil"/>
            </w:tcBorders>
            <w:vAlign w:val="center"/>
          </w:tcPr>
          <w:p>
            <w:pPr>
              <w:spacing w:before="209" w:line="276" w:lineRule="auto"/>
              <w:jc w:val="center"/>
              <w:rPr>
                <w:rFonts w:eastAsia="宋体"/>
                <w:color w:val="auto"/>
                <w:sz w:val="17"/>
                <w:szCs w:val="17"/>
              </w:rPr>
            </w:pPr>
            <w:r>
              <w:rPr>
                <w:rFonts w:hint="cs" w:eastAsia="宋体"/>
                <w:color w:val="auto"/>
                <w:spacing w:val="-6"/>
                <w:sz w:val="17"/>
                <w:szCs w:val="17"/>
              </w:rPr>
              <w:t>13</w:t>
            </w:r>
            <w:r>
              <w:rPr>
                <w:rFonts w:hint="cs" w:eastAsia="宋体"/>
                <w:color w:val="auto"/>
                <w:spacing w:val="14"/>
                <w:w w:val="101"/>
                <w:sz w:val="17"/>
                <w:szCs w:val="17"/>
              </w:rPr>
              <w:t xml:space="preserve"> </w:t>
            </w:r>
            <w:r>
              <w:rPr>
                <w:rFonts w:hint="cs" w:eastAsia="宋体"/>
                <w:color w:val="auto"/>
                <w:spacing w:val="-6"/>
                <w:sz w:val="17"/>
                <w:szCs w:val="17"/>
              </w:rPr>
              <w:t>(</w:t>
            </w:r>
            <w:r>
              <w:rPr>
                <w:rFonts w:hint="cs" w:eastAsia="宋体"/>
                <w:color w:val="auto"/>
                <w:spacing w:val="10"/>
                <w:sz w:val="17"/>
                <w:szCs w:val="17"/>
              </w:rPr>
              <w:t xml:space="preserve"> </w:t>
            </w:r>
            <w:r>
              <w:rPr>
                <w:rFonts w:hint="cs" w:eastAsia="宋体"/>
                <w:color w:val="auto"/>
                <w:spacing w:val="-6"/>
                <w:sz w:val="17"/>
                <w:szCs w:val="17"/>
              </w:rPr>
              <w:t>54.2)</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spacing w:before="210" w:line="276" w:lineRule="auto"/>
              <w:jc w:val="center"/>
              <w:rPr>
                <w:rFonts w:eastAsia="宋体"/>
                <w:color w:val="auto"/>
                <w:sz w:val="17"/>
                <w:szCs w:val="17"/>
              </w:rPr>
            </w:pPr>
            <w:r>
              <w:rPr>
                <w:rFonts w:hint="cs" w:eastAsia="宋体"/>
                <w:color w:val="auto"/>
                <w:spacing w:val="-2"/>
                <w:sz w:val="17"/>
                <w:szCs w:val="17"/>
              </w:rPr>
              <w:t>36-45</w:t>
            </w:r>
          </w:p>
        </w:tc>
        <w:tc>
          <w:tcPr>
            <w:tcW w:w="1218" w:type="pct"/>
            <w:tcBorders>
              <w:tl2br w:val="nil"/>
              <w:tr2bl w:val="nil"/>
            </w:tcBorders>
            <w:vAlign w:val="center"/>
          </w:tcPr>
          <w:p>
            <w:pPr>
              <w:spacing w:before="207" w:line="276" w:lineRule="auto"/>
              <w:jc w:val="center"/>
              <w:rPr>
                <w:rFonts w:eastAsia="宋体"/>
                <w:color w:val="auto"/>
                <w:sz w:val="17"/>
                <w:szCs w:val="17"/>
              </w:rPr>
            </w:pPr>
            <w:r>
              <w:rPr>
                <w:rFonts w:hint="cs" w:eastAsia="宋体"/>
                <w:color w:val="auto"/>
                <w:spacing w:val="-2"/>
                <w:sz w:val="17"/>
                <w:szCs w:val="17"/>
              </w:rPr>
              <w:t>3</w:t>
            </w:r>
            <w:r>
              <w:rPr>
                <w:rFonts w:hint="cs" w:eastAsia="宋体"/>
                <w:color w:val="auto"/>
                <w:spacing w:val="8"/>
                <w:sz w:val="17"/>
                <w:szCs w:val="17"/>
              </w:rPr>
              <w:t xml:space="preserve"> </w:t>
            </w:r>
            <w:r>
              <w:rPr>
                <w:rFonts w:hint="cs" w:eastAsia="宋体"/>
                <w:color w:val="auto"/>
                <w:spacing w:val="-2"/>
                <w:sz w:val="17"/>
                <w:szCs w:val="17"/>
              </w:rPr>
              <w:t>( 25.0)</w:t>
            </w:r>
          </w:p>
        </w:tc>
        <w:tc>
          <w:tcPr>
            <w:tcW w:w="1218" w:type="pct"/>
            <w:tcBorders>
              <w:tl2br w:val="nil"/>
              <w:tr2bl w:val="nil"/>
            </w:tcBorders>
            <w:vAlign w:val="center"/>
          </w:tcPr>
          <w:p>
            <w:pPr>
              <w:spacing w:before="207" w:line="276" w:lineRule="auto"/>
              <w:jc w:val="center"/>
              <w:rPr>
                <w:rFonts w:eastAsia="宋体"/>
                <w:color w:val="auto"/>
                <w:sz w:val="17"/>
                <w:szCs w:val="17"/>
              </w:rPr>
            </w:pPr>
            <w:r>
              <w:rPr>
                <w:rFonts w:hint="cs" w:eastAsia="宋体"/>
                <w:color w:val="auto"/>
                <w:spacing w:val="-8"/>
                <w:sz w:val="17"/>
                <w:szCs w:val="17"/>
              </w:rPr>
              <w:t>1</w:t>
            </w:r>
            <w:r>
              <w:rPr>
                <w:rFonts w:hint="cs" w:eastAsia="宋体"/>
                <w:color w:val="auto"/>
                <w:spacing w:val="12"/>
                <w:sz w:val="17"/>
                <w:szCs w:val="17"/>
              </w:rPr>
              <w:t xml:space="preserve"> </w:t>
            </w:r>
            <w:r>
              <w:rPr>
                <w:rFonts w:hint="cs" w:eastAsia="宋体"/>
                <w:color w:val="auto"/>
                <w:spacing w:val="-8"/>
                <w:sz w:val="17"/>
                <w:szCs w:val="17"/>
              </w:rPr>
              <w:t>(8.3)</w:t>
            </w:r>
          </w:p>
        </w:tc>
        <w:tc>
          <w:tcPr>
            <w:tcW w:w="1234" w:type="pct"/>
            <w:tcBorders>
              <w:tl2br w:val="nil"/>
              <w:tr2bl w:val="nil"/>
            </w:tcBorders>
            <w:vAlign w:val="center"/>
          </w:tcPr>
          <w:p>
            <w:pPr>
              <w:spacing w:before="207" w:line="276" w:lineRule="auto"/>
              <w:jc w:val="center"/>
              <w:rPr>
                <w:rFonts w:eastAsia="宋体"/>
                <w:color w:val="auto"/>
                <w:sz w:val="17"/>
                <w:szCs w:val="17"/>
              </w:rPr>
            </w:pPr>
            <w:r>
              <w:rPr>
                <w:rFonts w:hint="cs" w:eastAsia="宋体"/>
                <w:color w:val="auto"/>
                <w:spacing w:val="-6"/>
                <w:sz w:val="17"/>
                <w:szCs w:val="17"/>
              </w:rPr>
              <w:t>4</w:t>
            </w:r>
            <w:r>
              <w:rPr>
                <w:rFonts w:hint="cs" w:eastAsia="宋体"/>
                <w:color w:val="auto"/>
                <w:spacing w:val="14"/>
                <w:w w:val="101"/>
                <w:sz w:val="17"/>
                <w:szCs w:val="17"/>
              </w:rPr>
              <w:t xml:space="preserve"> </w:t>
            </w:r>
            <w:r>
              <w:rPr>
                <w:rFonts w:hint="cs" w:eastAsia="宋体"/>
                <w:color w:val="auto"/>
                <w:spacing w:val="-6"/>
                <w:sz w:val="17"/>
                <w:szCs w:val="17"/>
              </w:rPr>
              <w:t>(</w:t>
            </w:r>
            <w:r>
              <w:rPr>
                <w:rFonts w:hint="cs" w:eastAsia="宋体"/>
                <w:color w:val="auto"/>
                <w:spacing w:val="24"/>
                <w:w w:val="101"/>
                <w:sz w:val="17"/>
                <w:szCs w:val="17"/>
              </w:rPr>
              <w:t xml:space="preserve"> </w:t>
            </w:r>
            <w:r>
              <w:rPr>
                <w:rFonts w:hint="cs" w:eastAsia="宋体"/>
                <w:color w:val="auto"/>
                <w:spacing w:val="-6"/>
                <w:sz w:val="17"/>
                <w:szCs w:val="17"/>
              </w:rPr>
              <w:t>16.7)</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5000" w:type="pct"/>
            <w:gridSpan w:val="4"/>
            <w:tcBorders>
              <w:tl2br w:val="nil"/>
              <w:tr2bl w:val="nil"/>
            </w:tcBorders>
            <w:vAlign w:val="center"/>
          </w:tcPr>
          <w:p>
            <w:pPr>
              <w:pStyle w:val="36"/>
              <w:spacing w:before="187" w:line="276" w:lineRule="auto"/>
              <w:ind w:left="20"/>
              <w:jc w:val="both"/>
              <w:rPr>
                <w:rFonts w:hint="default" w:ascii="Times New Roman" w:hAnsi="Times New Roman"/>
                <w:sz w:val="17"/>
                <w:szCs w:val="17"/>
              </w:rPr>
            </w:pPr>
            <w:r>
              <w:rPr>
                <w:rFonts w:hint="cs" w:ascii="Times New Roman" w:hAnsi="Times New Roman"/>
                <w:spacing w:val="-13"/>
                <w:sz w:val="17"/>
                <w:szCs w:val="17"/>
              </w:rPr>
              <w:t>Gender,  cases (%)</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7" w:line="276" w:lineRule="auto"/>
              <w:jc w:val="center"/>
              <w:rPr>
                <w:rFonts w:hint="default" w:ascii="Times New Roman" w:hAnsi="Times New Roman"/>
                <w:sz w:val="17"/>
                <w:szCs w:val="17"/>
              </w:rPr>
            </w:pPr>
            <w:r>
              <w:rPr>
                <w:rFonts w:hint="cs" w:ascii="Times New Roman" w:hAnsi="Times New Roman"/>
                <w:sz w:val="17"/>
                <w:szCs w:val="17"/>
              </w:rPr>
              <w:t>male</w:t>
            </w:r>
          </w:p>
        </w:tc>
        <w:tc>
          <w:tcPr>
            <w:tcW w:w="1218"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4"/>
                <w:sz w:val="17"/>
                <w:szCs w:val="17"/>
              </w:rPr>
              <w:t>9</w:t>
            </w:r>
            <w:r>
              <w:rPr>
                <w:rFonts w:hint="cs" w:eastAsia="宋体"/>
                <w:color w:val="auto"/>
                <w:spacing w:val="12"/>
                <w:sz w:val="17"/>
                <w:szCs w:val="17"/>
              </w:rPr>
              <w:t xml:space="preserve"> </w:t>
            </w:r>
            <w:r>
              <w:rPr>
                <w:rFonts w:hint="cs" w:eastAsia="宋体"/>
                <w:color w:val="auto"/>
                <w:spacing w:val="-4"/>
                <w:sz w:val="17"/>
                <w:szCs w:val="17"/>
              </w:rPr>
              <w:t>(</w:t>
            </w:r>
            <w:r>
              <w:rPr>
                <w:rFonts w:hint="cs" w:eastAsia="宋体"/>
                <w:color w:val="auto"/>
                <w:spacing w:val="8"/>
                <w:sz w:val="17"/>
                <w:szCs w:val="17"/>
              </w:rPr>
              <w:t xml:space="preserve"> </w:t>
            </w:r>
            <w:r>
              <w:rPr>
                <w:rFonts w:hint="cs" w:eastAsia="宋体"/>
                <w:color w:val="auto"/>
                <w:spacing w:val="-4"/>
                <w:sz w:val="17"/>
                <w:szCs w:val="17"/>
              </w:rPr>
              <w:t>75.0)</w:t>
            </w:r>
          </w:p>
        </w:tc>
        <w:tc>
          <w:tcPr>
            <w:tcW w:w="1218"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5"/>
                <w:sz w:val="17"/>
                <w:szCs w:val="17"/>
              </w:rPr>
              <w:t>11</w:t>
            </w:r>
            <w:r>
              <w:rPr>
                <w:rFonts w:hint="cs" w:eastAsia="宋体"/>
                <w:color w:val="auto"/>
                <w:spacing w:val="8"/>
                <w:sz w:val="17"/>
                <w:szCs w:val="17"/>
              </w:rPr>
              <w:t xml:space="preserve"> </w:t>
            </w:r>
            <w:r>
              <w:rPr>
                <w:rFonts w:hint="cs" w:eastAsia="宋体"/>
                <w:color w:val="auto"/>
                <w:spacing w:val="-5"/>
                <w:sz w:val="17"/>
                <w:szCs w:val="17"/>
              </w:rPr>
              <w:t>(</w:t>
            </w:r>
            <w:r>
              <w:rPr>
                <w:rFonts w:hint="cs" w:eastAsia="宋体"/>
                <w:color w:val="auto"/>
                <w:spacing w:val="8"/>
                <w:sz w:val="17"/>
                <w:szCs w:val="17"/>
              </w:rPr>
              <w:t xml:space="preserve"> </w:t>
            </w:r>
            <w:r>
              <w:rPr>
                <w:rFonts w:hint="cs" w:eastAsia="宋体"/>
                <w:color w:val="auto"/>
                <w:spacing w:val="-5"/>
                <w:sz w:val="17"/>
                <w:szCs w:val="17"/>
              </w:rPr>
              <w:t>91.7)</w:t>
            </w:r>
          </w:p>
        </w:tc>
        <w:tc>
          <w:tcPr>
            <w:tcW w:w="1234"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3"/>
                <w:sz w:val="17"/>
                <w:szCs w:val="17"/>
              </w:rPr>
              <w:t>20</w:t>
            </w:r>
            <w:r>
              <w:rPr>
                <w:rFonts w:hint="cs" w:eastAsia="宋体"/>
                <w:color w:val="auto"/>
                <w:spacing w:val="8"/>
                <w:sz w:val="17"/>
                <w:szCs w:val="17"/>
              </w:rPr>
              <w:t xml:space="preserve"> </w:t>
            </w:r>
            <w:r>
              <w:rPr>
                <w:rFonts w:hint="cs" w:eastAsia="宋体"/>
                <w:color w:val="auto"/>
                <w:spacing w:val="-3"/>
                <w:sz w:val="17"/>
                <w:szCs w:val="17"/>
              </w:rPr>
              <w:t>(</w:t>
            </w:r>
            <w:r>
              <w:rPr>
                <w:rFonts w:hint="cs" w:eastAsia="宋体"/>
                <w:color w:val="auto"/>
                <w:spacing w:val="12"/>
                <w:sz w:val="17"/>
                <w:szCs w:val="17"/>
              </w:rPr>
              <w:t xml:space="preserve"> </w:t>
            </w:r>
            <w:r>
              <w:rPr>
                <w:rFonts w:hint="cs" w:eastAsia="宋体"/>
                <w:color w:val="auto"/>
                <w:spacing w:val="-3"/>
                <w:sz w:val="17"/>
                <w:szCs w:val="17"/>
              </w:rPr>
              <w:t>83.3)</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sz w:val="17"/>
                <w:szCs w:val="17"/>
              </w:rPr>
              <w:t>female</w:t>
            </w:r>
          </w:p>
        </w:tc>
        <w:tc>
          <w:tcPr>
            <w:tcW w:w="1218"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2"/>
                <w:sz w:val="17"/>
                <w:szCs w:val="17"/>
              </w:rPr>
              <w:t>3</w:t>
            </w:r>
            <w:r>
              <w:rPr>
                <w:rFonts w:hint="cs" w:eastAsia="宋体"/>
                <w:color w:val="auto"/>
                <w:spacing w:val="8"/>
                <w:sz w:val="17"/>
                <w:szCs w:val="17"/>
              </w:rPr>
              <w:t xml:space="preserve"> </w:t>
            </w:r>
            <w:r>
              <w:rPr>
                <w:rFonts w:hint="cs" w:eastAsia="宋体"/>
                <w:color w:val="auto"/>
                <w:spacing w:val="-2"/>
                <w:sz w:val="17"/>
                <w:szCs w:val="17"/>
              </w:rPr>
              <w:t>( 25.0)</w:t>
            </w:r>
          </w:p>
        </w:tc>
        <w:tc>
          <w:tcPr>
            <w:tcW w:w="1218"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8"/>
                <w:sz w:val="17"/>
                <w:szCs w:val="17"/>
              </w:rPr>
              <w:t>1</w:t>
            </w:r>
            <w:r>
              <w:rPr>
                <w:rFonts w:hint="cs" w:eastAsia="宋体"/>
                <w:color w:val="auto"/>
                <w:spacing w:val="12"/>
                <w:sz w:val="17"/>
                <w:szCs w:val="17"/>
              </w:rPr>
              <w:t xml:space="preserve"> </w:t>
            </w:r>
            <w:r>
              <w:rPr>
                <w:rFonts w:hint="cs" w:eastAsia="宋体"/>
                <w:color w:val="auto"/>
                <w:spacing w:val="-8"/>
                <w:sz w:val="17"/>
                <w:szCs w:val="17"/>
              </w:rPr>
              <w:t>(8.3)</w:t>
            </w:r>
          </w:p>
        </w:tc>
        <w:tc>
          <w:tcPr>
            <w:tcW w:w="1234"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6"/>
                <w:sz w:val="17"/>
                <w:szCs w:val="17"/>
              </w:rPr>
              <w:t>4</w:t>
            </w:r>
            <w:r>
              <w:rPr>
                <w:rFonts w:hint="cs" w:eastAsia="宋体"/>
                <w:color w:val="auto"/>
                <w:spacing w:val="14"/>
                <w:w w:val="101"/>
                <w:sz w:val="17"/>
                <w:szCs w:val="17"/>
              </w:rPr>
              <w:t xml:space="preserve"> </w:t>
            </w:r>
            <w:r>
              <w:rPr>
                <w:rFonts w:hint="cs" w:eastAsia="宋体"/>
                <w:color w:val="auto"/>
                <w:spacing w:val="-6"/>
                <w:sz w:val="17"/>
                <w:szCs w:val="17"/>
              </w:rPr>
              <w:t>(</w:t>
            </w:r>
            <w:r>
              <w:rPr>
                <w:rFonts w:hint="cs" w:eastAsia="宋体"/>
                <w:color w:val="auto"/>
                <w:spacing w:val="24"/>
                <w:w w:val="101"/>
                <w:sz w:val="17"/>
                <w:szCs w:val="17"/>
              </w:rPr>
              <w:t xml:space="preserve"> </w:t>
            </w:r>
            <w:r>
              <w:rPr>
                <w:rFonts w:hint="cs" w:eastAsia="宋体"/>
                <w:color w:val="auto"/>
                <w:spacing w:val="-6"/>
                <w:sz w:val="17"/>
                <w:szCs w:val="17"/>
              </w:rPr>
              <w:t>16.7)</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5000" w:type="pct"/>
            <w:gridSpan w:val="4"/>
            <w:tcBorders>
              <w:tl2br w:val="nil"/>
              <w:tr2bl w:val="nil"/>
            </w:tcBorders>
            <w:vAlign w:val="center"/>
          </w:tcPr>
          <w:p>
            <w:pPr>
              <w:pStyle w:val="36"/>
              <w:spacing w:before="188" w:line="276" w:lineRule="auto"/>
              <w:ind w:left="38"/>
              <w:jc w:val="both"/>
              <w:rPr>
                <w:rFonts w:hint="default" w:ascii="Times New Roman" w:hAnsi="Times New Roman"/>
                <w:sz w:val="17"/>
                <w:szCs w:val="17"/>
              </w:rPr>
            </w:pPr>
            <w:r>
              <w:rPr>
                <w:rFonts w:hint="cs" w:ascii="Times New Roman" w:hAnsi="Times New Roman"/>
                <w:spacing w:val="-15"/>
                <w:sz w:val="17"/>
                <w:szCs w:val="17"/>
              </w:rPr>
              <w:t>Nationality,   cases (%)</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8" w:line="276" w:lineRule="auto"/>
              <w:jc w:val="center"/>
              <w:rPr>
                <w:rFonts w:hint="default" w:ascii="Times New Roman" w:hAnsi="Times New Roman"/>
                <w:sz w:val="17"/>
                <w:szCs w:val="17"/>
              </w:rPr>
            </w:pPr>
            <w:r>
              <w:rPr>
                <w:rFonts w:hint="cs" w:ascii="Times New Roman" w:hAnsi="Times New Roman"/>
                <w:sz w:val="17"/>
                <w:szCs w:val="17"/>
              </w:rPr>
              <w:t>ethnic Han</w:t>
            </w:r>
          </w:p>
        </w:tc>
        <w:tc>
          <w:tcPr>
            <w:tcW w:w="1218" w:type="pct"/>
            <w:tcBorders>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18" w:type="pct"/>
            <w:tcBorders>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34" w:type="pct"/>
            <w:tcBorders>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2"/>
                <w:sz w:val="17"/>
                <w:szCs w:val="17"/>
              </w:rPr>
              <w:t>24</w:t>
            </w:r>
            <w:r>
              <w:rPr>
                <w:rFonts w:hint="cs" w:eastAsia="宋体"/>
                <w:color w:val="auto"/>
                <w:spacing w:val="14"/>
                <w:w w:val="101"/>
                <w:sz w:val="17"/>
                <w:szCs w:val="17"/>
              </w:rPr>
              <w:t xml:space="preserve"> </w:t>
            </w:r>
            <w:r>
              <w:rPr>
                <w:rFonts w:hint="cs" w:eastAsia="宋体"/>
                <w:color w:val="auto"/>
                <w:spacing w:val="-2"/>
                <w:sz w:val="17"/>
                <w:szCs w:val="17"/>
              </w:rPr>
              <w:t>(100.0)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8" w:line="276" w:lineRule="auto"/>
              <w:jc w:val="center"/>
              <w:rPr>
                <w:rFonts w:hint="default" w:ascii="Times New Roman" w:hAnsi="Times New Roman"/>
                <w:sz w:val="17"/>
                <w:szCs w:val="17"/>
              </w:rPr>
            </w:pPr>
            <w:r>
              <w:rPr>
                <w:rFonts w:hint="cs" w:ascii="Times New Roman" w:hAnsi="Times New Roman"/>
                <w:spacing w:val="-2"/>
                <w:sz w:val="17"/>
                <w:szCs w:val="17"/>
              </w:rPr>
              <w:t>Others</w:t>
            </w:r>
          </w:p>
        </w:tc>
        <w:tc>
          <w:tcPr>
            <w:tcW w:w="1218" w:type="pct"/>
            <w:tcBorders>
              <w:tl2br w:val="nil"/>
              <w:tr2bl w:val="nil"/>
            </w:tcBorders>
            <w:vAlign w:val="center"/>
          </w:tcPr>
          <w:p>
            <w:pPr>
              <w:spacing w:before="230" w:line="276" w:lineRule="auto"/>
              <w:jc w:val="center"/>
              <w:rPr>
                <w:rFonts w:eastAsia="宋体"/>
                <w:color w:val="auto"/>
                <w:sz w:val="17"/>
                <w:szCs w:val="17"/>
              </w:rPr>
            </w:pPr>
            <w:r>
              <w:rPr>
                <w:rFonts w:hint="cs" w:eastAsia="宋体"/>
                <w:color w:val="auto"/>
                <w:spacing w:val="-4"/>
                <w:sz w:val="17"/>
                <w:szCs w:val="17"/>
              </w:rPr>
              <w:t>0</w:t>
            </w:r>
            <w:r>
              <w:rPr>
                <w:rFonts w:hint="cs" w:eastAsia="宋体"/>
                <w:color w:val="auto"/>
                <w:spacing w:val="10"/>
                <w:sz w:val="17"/>
                <w:szCs w:val="17"/>
              </w:rPr>
              <w:t xml:space="preserve"> </w:t>
            </w:r>
            <w:r>
              <w:rPr>
                <w:rFonts w:hint="cs" w:eastAsia="宋体"/>
                <w:color w:val="auto"/>
                <w:spacing w:val="-4"/>
                <w:sz w:val="17"/>
                <w:szCs w:val="17"/>
              </w:rPr>
              <w:t>(0.0)</w:t>
            </w:r>
          </w:p>
        </w:tc>
        <w:tc>
          <w:tcPr>
            <w:tcW w:w="1218" w:type="pct"/>
            <w:tcBorders>
              <w:tl2br w:val="nil"/>
              <w:tr2bl w:val="nil"/>
            </w:tcBorders>
            <w:vAlign w:val="center"/>
          </w:tcPr>
          <w:p>
            <w:pPr>
              <w:spacing w:before="230" w:line="276" w:lineRule="auto"/>
              <w:jc w:val="center"/>
              <w:rPr>
                <w:rFonts w:eastAsia="宋体"/>
                <w:color w:val="auto"/>
                <w:sz w:val="17"/>
                <w:szCs w:val="17"/>
              </w:rPr>
            </w:pPr>
            <w:r>
              <w:rPr>
                <w:rFonts w:hint="cs" w:eastAsia="宋体"/>
                <w:color w:val="auto"/>
                <w:spacing w:val="-4"/>
                <w:sz w:val="17"/>
                <w:szCs w:val="17"/>
              </w:rPr>
              <w:t>0</w:t>
            </w:r>
            <w:r>
              <w:rPr>
                <w:rFonts w:hint="cs" w:eastAsia="宋体"/>
                <w:color w:val="auto"/>
                <w:spacing w:val="10"/>
                <w:sz w:val="17"/>
                <w:szCs w:val="17"/>
              </w:rPr>
              <w:t xml:space="preserve"> </w:t>
            </w:r>
            <w:r>
              <w:rPr>
                <w:rFonts w:hint="cs" w:eastAsia="宋体"/>
                <w:color w:val="auto"/>
                <w:spacing w:val="-4"/>
                <w:sz w:val="17"/>
                <w:szCs w:val="17"/>
              </w:rPr>
              <w:t>(0.0)</w:t>
            </w:r>
          </w:p>
        </w:tc>
        <w:tc>
          <w:tcPr>
            <w:tcW w:w="1234" w:type="pct"/>
            <w:tcBorders>
              <w:tl2br w:val="nil"/>
              <w:tr2bl w:val="nil"/>
            </w:tcBorders>
            <w:vAlign w:val="center"/>
          </w:tcPr>
          <w:p>
            <w:pPr>
              <w:spacing w:before="230" w:line="276" w:lineRule="auto"/>
              <w:jc w:val="center"/>
              <w:rPr>
                <w:rFonts w:eastAsia="宋体"/>
                <w:color w:val="auto"/>
                <w:sz w:val="17"/>
                <w:szCs w:val="17"/>
              </w:rPr>
            </w:pPr>
            <w:r>
              <w:rPr>
                <w:rFonts w:hint="cs" w:eastAsia="宋体"/>
                <w:color w:val="auto"/>
                <w:spacing w:val="-4"/>
                <w:sz w:val="17"/>
                <w:szCs w:val="17"/>
              </w:rPr>
              <w:t>0</w:t>
            </w:r>
            <w:r>
              <w:rPr>
                <w:rFonts w:hint="cs" w:eastAsia="宋体"/>
                <w:color w:val="auto"/>
                <w:spacing w:val="10"/>
                <w:sz w:val="17"/>
                <w:szCs w:val="17"/>
              </w:rPr>
              <w:t xml:space="preserve"> </w:t>
            </w:r>
            <w:r>
              <w:rPr>
                <w:rFonts w:hint="cs" w:eastAsia="宋体"/>
                <w:color w:val="auto"/>
                <w:spacing w:val="-4"/>
                <w:sz w:val="17"/>
                <w:szCs w:val="17"/>
              </w:rPr>
              <w:t>(0.0)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5000" w:type="pct"/>
            <w:gridSpan w:val="4"/>
            <w:tcBorders>
              <w:tl2br w:val="nil"/>
              <w:tr2bl w:val="nil"/>
            </w:tcBorders>
            <w:vAlign w:val="center"/>
          </w:tcPr>
          <w:p>
            <w:pPr>
              <w:pStyle w:val="36"/>
              <w:spacing w:before="188" w:line="276" w:lineRule="auto"/>
              <w:ind w:left="23"/>
              <w:jc w:val="both"/>
              <w:rPr>
                <w:rFonts w:hint="default" w:ascii="Times New Roman" w:hAnsi="Times New Roman"/>
                <w:sz w:val="17"/>
                <w:szCs w:val="17"/>
              </w:rPr>
            </w:pPr>
            <w:r>
              <w:rPr>
                <w:rFonts w:hint="cs" w:ascii="Times New Roman" w:hAnsi="Times New Roman"/>
                <w:spacing w:val="-2"/>
                <w:sz w:val="17"/>
                <w:szCs w:val="17"/>
              </w:rPr>
              <w:t>Height (cm)</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9" w:line="276" w:lineRule="auto"/>
              <w:jc w:val="center"/>
              <w:rPr>
                <w:rFonts w:hint="default" w:ascii="Times New Roman" w:hAnsi="Times New Roman"/>
                <w:sz w:val="17"/>
                <w:szCs w:val="17"/>
              </w:rPr>
            </w:pPr>
            <w:bookmarkStart w:id="2" w:name="OLE_LINK15" w:colFirst="0" w:colLast="0"/>
            <w:r>
              <w:rPr>
                <w:rFonts w:hint="cs" w:ascii="Times New Roman" w:hAnsi="Times New Roman"/>
                <w:spacing w:val="-13"/>
                <w:sz w:val="17"/>
                <w:szCs w:val="17"/>
              </w:rPr>
              <w:t>cases (%)</w:t>
            </w:r>
          </w:p>
        </w:tc>
        <w:tc>
          <w:tcPr>
            <w:tcW w:w="1218" w:type="pct"/>
            <w:tcBorders>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18" w:type="pct"/>
            <w:tcBorders>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34" w:type="pct"/>
            <w:tcBorders>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2"/>
                <w:sz w:val="17"/>
                <w:szCs w:val="17"/>
              </w:rPr>
              <w:t>24</w:t>
            </w:r>
            <w:r>
              <w:rPr>
                <w:rFonts w:hint="cs" w:eastAsia="宋体"/>
                <w:color w:val="auto"/>
                <w:spacing w:val="14"/>
                <w:w w:val="101"/>
                <w:sz w:val="17"/>
                <w:szCs w:val="17"/>
              </w:rPr>
              <w:t xml:space="preserve"> </w:t>
            </w:r>
            <w:r>
              <w:rPr>
                <w:rFonts w:hint="cs" w:eastAsia="宋体"/>
                <w:color w:val="auto"/>
                <w:spacing w:val="-2"/>
                <w:sz w:val="17"/>
                <w:szCs w:val="17"/>
              </w:rPr>
              <w:t>(100.0)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sz w:val="17"/>
                <w:szCs w:val="17"/>
              </w:rPr>
              <w:t>Mean (standard deviation)</w:t>
            </w:r>
          </w:p>
        </w:tc>
        <w:tc>
          <w:tcPr>
            <w:tcW w:w="1218"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2"/>
                <w:sz w:val="17"/>
                <w:szCs w:val="17"/>
              </w:rPr>
              <w:t>167.63 (6.191)</w:t>
            </w:r>
          </w:p>
        </w:tc>
        <w:tc>
          <w:tcPr>
            <w:tcW w:w="1218"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2"/>
                <w:sz w:val="17"/>
                <w:szCs w:val="17"/>
              </w:rPr>
              <w:t>169.17 (8.111)</w:t>
            </w:r>
          </w:p>
        </w:tc>
        <w:tc>
          <w:tcPr>
            <w:tcW w:w="1234" w:type="pct"/>
            <w:tcBorders>
              <w:tl2br w:val="nil"/>
              <w:tr2bl w:val="nil"/>
            </w:tcBorders>
            <w:vAlign w:val="center"/>
          </w:tcPr>
          <w:p>
            <w:pPr>
              <w:spacing w:before="232" w:line="276" w:lineRule="auto"/>
              <w:jc w:val="center"/>
              <w:rPr>
                <w:rFonts w:eastAsia="宋体"/>
                <w:color w:val="auto"/>
                <w:sz w:val="17"/>
                <w:szCs w:val="17"/>
              </w:rPr>
            </w:pPr>
            <w:r>
              <w:rPr>
                <w:rFonts w:hint="cs" w:eastAsia="宋体"/>
                <w:color w:val="auto"/>
                <w:spacing w:val="-2"/>
                <w:sz w:val="17"/>
                <w:szCs w:val="17"/>
              </w:rPr>
              <w:t>168.40 (7.100)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8" w:line="276" w:lineRule="auto"/>
              <w:jc w:val="center"/>
              <w:rPr>
                <w:rFonts w:hint="default" w:ascii="Times New Roman" w:hAnsi="Times New Roman"/>
                <w:sz w:val="17"/>
                <w:szCs w:val="17"/>
              </w:rPr>
            </w:pPr>
            <w:r>
              <w:rPr>
                <w:rFonts w:hint="cs" w:ascii="Times New Roman" w:hAnsi="Times New Roman"/>
                <w:sz w:val="17"/>
                <w:szCs w:val="17"/>
              </w:rPr>
              <w:t>Median</w:t>
            </w:r>
          </w:p>
        </w:tc>
        <w:tc>
          <w:tcPr>
            <w:tcW w:w="1218" w:type="pct"/>
            <w:tcBorders>
              <w:tl2br w:val="nil"/>
              <w:tr2bl w:val="nil"/>
            </w:tcBorders>
            <w:vAlign w:val="center"/>
          </w:tcPr>
          <w:p>
            <w:pPr>
              <w:spacing w:before="237" w:line="276" w:lineRule="auto"/>
              <w:jc w:val="center"/>
              <w:rPr>
                <w:rFonts w:eastAsia="宋体"/>
                <w:color w:val="auto"/>
                <w:sz w:val="17"/>
                <w:szCs w:val="17"/>
              </w:rPr>
            </w:pPr>
            <w:r>
              <w:rPr>
                <w:rFonts w:hint="cs" w:eastAsia="宋体"/>
                <w:color w:val="auto"/>
                <w:spacing w:val="-3"/>
                <w:sz w:val="17"/>
                <w:szCs w:val="17"/>
              </w:rPr>
              <w:t>170.00</w:t>
            </w:r>
          </w:p>
        </w:tc>
        <w:tc>
          <w:tcPr>
            <w:tcW w:w="1218" w:type="pct"/>
            <w:tcBorders>
              <w:tl2br w:val="nil"/>
              <w:tr2bl w:val="nil"/>
            </w:tcBorders>
            <w:vAlign w:val="center"/>
          </w:tcPr>
          <w:p>
            <w:pPr>
              <w:spacing w:before="237" w:line="276" w:lineRule="auto"/>
              <w:jc w:val="center"/>
              <w:rPr>
                <w:rFonts w:eastAsia="宋体"/>
                <w:color w:val="auto"/>
                <w:sz w:val="17"/>
                <w:szCs w:val="17"/>
              </w:rPr>
            </w:pPr>
            <w:r>
              <w:rPr>
                <w:rFonts w:hint="cs" w:eastAsia="宋体"/>
                <w:color w:val="auto"/>
                <w:spacing w:val="-3"/>
                <w:sz w:val="17"/>
                <w:szCs w:val="17"/>
              </w:rPr>
              <w:t>168.00</w:t>
            </w:r>
          </w:p>
        </w:tc>
        <w:tc>
          <w:tcPr>
            <w:tcW w:w="1234" w:type="pct"/>
            <w:tcBorders>
              <w:tl2br w:val="nil"/>
              <w:tr2bl w:val="nil"/>
            </w:tcBorders>
            <w:vAlign w:val="center"/>
          </w:tcPr>
          <w:p>
            <w:pPr>
              <w:spacing w:before="237" w:line="276" w:lineRule="auto"/>
              <w:jc w:val="center"/>
              <w:rPr>
                <w:rFonts w:eastAsia="宋体"/>
                <w:color w:val="auto"/>
                <w:sz w:val="17"/>
                <w:szCs w:val="17"/>
              </w:rPr>
            </w:pPr>
            <w:r>
              <w:rPr>
                <w:rFonts w:hint="cs" w:eastAsia="宋体"/>
                <w:color w:val="auto"/>
                <w:spacing w:val="-3"/>
                <w:sz w:val="17"/>
                <w:szCs w:val="17"/>
              </w:rPr>
              <w:t>169.00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14"/>
                <w:sz w:val="17"/>
                <w:szCs w:val="17"/>
              </w:rPr>
              <w:t>Minimum,  maximum</w:t>
            </w:r>
          </w:p>
        </w:tc>
        <w:tc>
          <w:tcPr>
            <w:tcW w:w="1218" w:type="pct"/>
            <w:tcBorders>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5"/>
                <w:sz w:val="17"/>
                <w:szCs w:val="17"/>
              </w:rPr>
              <w:t>159.0,</w:t>
            </w:r>
            <w:r>
              <w:rPr>
                <w:rFonts w:hint="cs" w:eastAsia="宋体"/>
                <w:color w:val="auto"/>
                <w:spacing w:val="32"/>
                <w:sz w:val="17"/>
                <w:szCs w:val="17"/>
              </w:rPr>
              <w:t xml:space="preserve"> </w:t>
            </w:r>
            <w:r>
              <w:rPr>
                <w:rFonts w:hint="cs" w:eastAsia="宋体"/>
                <w:color w:val="auto"/>
                <w:spacing w:val="-5"/>
                <w:sz w:val="17"/>
                <w:szCs w:val="17"/>
              </w:rPr>
              <w:t>176.5</w:t>
            </w:r>
          </w:p>
        </w:tc>
        <w:tc>
          <w:tcPr>
            <w:tcW w:w="1218" w:type="pct"/>
            <w:tcBorders>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5"/>
                <w:sz w:val="17"/>
                <w:szCs w:val="17"/>
              </w:rPr>
              <w:t>157.0,</w:t>
            </w:r>
            <w:r>
              <w:rPr>
                <w:rFonts w:hint="cs" w:eastAsia="宋体"/>
                <w:color w:val="auto"/>
                <w:spacing w:val="32"/>
                <w:sz w:val="17"/>
                <w:szCs w:val="17"/>
              </w:rPr>
              <w:t xml:space="preserve"> </w:t>
            </w:r>
            <w:r>
              <w:rPr>
                <w:rFonts w:hint="cs" w:eastAsia="宋体"/>
                <w:color w:val="auto"/>
                <w:spacing w:val="-5"/>
                <w:sz w:val="17"/>
                <w:szCs w:val="17"/>
              </w:rPr>
              <w:t>184.5</w:t>
            </w:r>
          </w:p>
        </w:tc>
        <w:tc>
          <w:tcPr>
            <w:tcW w:w="1234" w:type="pct"/>
            <w:tcBorders>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5"/>
                <w:sz w:val="17"/>
                <w:szCs w:val="17"/>
              </w:rPr>
              <w:t>157.0,</w:t>
            </w:r>
            <w:r>
              <w:rPr>
                <w:rFonts w:hint="cs" w:eastAsia="宋体"/>
                <w:color w:val="auto"/>
                <w:spacing w:val="32"/>
                <w:sz w:val="17"/>
                <w:szCs w:val="17"/>
              </w:rPr>
              <w:t xml:space="preserve"> </w:t>
            </w:r>
            <w:r>
              <w:rPr>
                <w:rFonts w:hint="cs" w:eastAsia="宋体"/>
                <w:color w:val="auto"/>
                <w:spacing w:val="-5"/>
                <w:sz w:val="17"/>
                <w:szCs w:val="17"/>
              </w:rPr>
              <w:t>184.5</w:t>
            </w:r>
          </w:p>
        </w:tc>
      </w:tr>
      <w:bookmarkEnd w:id="2"/>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5000" w:type="pct"/>
            <w:gridSpan w:val="4"/>
            <w:tcBorders>
              <w:tl2br w:val="nil"/>
              <w:tr2bl w:val="nil"/>
            </w:tcBorders>
            <w:vAlign w:val="center"/>
          </w:tcPr>
          <w:p>
            <w:pPr>
              <w:pStyle w:val="36"/>
              <w:spacing w:before="68" w:line="276" w:lineRule="auto"/>
              <w:jc w:val="both"/>
              <w:rPr>
                <w:rFonts w:hint="default" w:ascii="Times New Roman" w:hAnsi="Times New Roman"/>
                <w:sz w:val="17"/>
                <w:szCs w:val="17"/>
              </w:rPr>
            </w:pPr>
            <w:r>
              <w:rPr>
                <w:rFonts w:hint="cs" w:ascii="Times New Roman" w:hAnsi="Times New Roman"/>
                <w:spacing w:val="-1"/>
                <w:sz w:val="17"/>
                <w:szCs w:val="17"/>
              </w:rPr>
              <w:t>Weight (kg)</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spacing w:val="-13"/>
                <w:sz w:val="17"/>
                <w:szCs w:val="17"/>
              </w:rPr>
              <w:t>cases (%)</w:t>
            </w:r>
          </w:p>
        </w:tc>
        <w:tc>
          <w:tcPr>
            <w:tcW w:w="1218" w:type="pct"/>
            <w:tcBorders>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18" w:type="pct"/>
            <w:tcBorders>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34" w:type="pct"/>
            <w:tcBorders>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2"/>
                <w:sz w:val="17"/>
                <w:szCs w:val="17"/>
              </w:rPr>
              <w:t>24</w:t>
            </w:r>
            <w:r>
              <w:rPr>
                <w:rFonts w:hint="cs" w:eastAsia="宋体"/>
                <w:color w:val="auto"/>
                <w:spacing w:val="14"/>
                <w:w w:val="101"/>
                <w:sz w:val="17"/>
                <w:szCs w:val="17"/>
              </w:rPr>
              <w:t xml:space="preserve"> </w:t>
            </w:r>
            <w:r>
              <w:rPr>
                <w:rFonts w:hint="cs" w:eastAsia="宋体"/>
                <w:color w:val="auto"/>
                <w:spacing w:val="-2"/>
                <w:sz w:val="17"/>
                <w:szCs w:val="17"/>
              </w:rPr>
              <w:t>(100.0)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bottom w:val="nil"/>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sz w:val="17"/>
                <w:szCs w:val="17"/>
              </w:rPr>
              <w:t>Mean (standard deviation)</w:t>
            </w:r>
          </w:p>
        </w:tc>
        <w:tc>
          <w:tcPr>
            <w:tcW w:w="1218" w:type="pct"/>
            <w:tcBorders>
              <w:bottom w:val="nil"/>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1"/>
                <w:sz w:val="17"/>
                <w:szCs w:val="17"/>
              </w:rPr>
              <w:t>64.59 (6.346)</w:t>
            </w:r>
          </w:p>
        </w:tc>
        <w:tc>
          <w:tcPr>
            <w:tcW w:w="1218" w:type="pct"/>
            <w:tcBorders>
              <w:bottom w:val="nil"/>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1"/>
                <w:sz w:val="17"/>
                <w:szCs w:val="17"/>
              </w:rPr>
              <w:t>61.58 (8.538)</w:t>
            </w:r>
          </w:p>
        </w:tc>
        <w:tc>
          <w:tcPr>
            <w:tcW w:w="1234" w:type="pct"/>
            <w:tcBorders>
              <w:bottom w:val="nil"/>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1"/>
                <w:sz w:val="17"/>
                <w:szCs w:val="17"/>
              </w:rPr>
              <w:t>63.08 (7.517)</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bottom w:val="nil"/>
              <w:tl2br w:val="nil"/>
              <w:tr2bl w:val="nil"/>
            </w:tcBorders>
            <w:vAlign w:val="center"/>
          </w:tcPr>
          <w:p>
            <w:pPr>
              <w:pStyle w:val="36"/>
              <w:spacing w:before="188" w:line="276" w:lineRule="auto"/>
              <w:jc w:val="center"/>
              <w:rPr>
                <w:rFonts w:hint="default" w:ascii="Times New Roman" w:hAnsi="Times New Roman"/>
                <w:sz w:val="17"/>
                <w:szCs w:val="17"/>
              </w:rPr>
            </w:pPr>
            <w:r>
              <w:rPr>
                <w:rFonts w:hint="cs" w:ascii="Times New Roman" w:hAnsi="Times New Roman"/>
                <w:sz w:val="17"/>
                <w:szCs w:val="17"/>
              </w:rPr>
              <w:t>Median</w:t>
            </w:r>
          </w:p>
        </w:tc>
        <w:tc>
          <w:tcPr>
            <w:tcW w:w="1218" w:type="pct"/>
            <w:tcBorders>
              <w:top w:val="nil"/>
              <w:bottom w:val="nil"/>
              <w:tl2br w:val="nil"/>
              <w:tr2bl w:val="nil"/>
            </w:tcBorders>
            <w:vAlign w:val="center"/>
          </w:tcPr>
          <w:p>
            <w:pPr>
              <w:spacing w:before="238" w:line="276" w:lineRule="auto"/>
              <w:jc w:val="center"/>
              <w:rPr>
                <w:rFonts w:eastAsia="宋体"/>
                <w:color w:val="auto"/>
                <w:sz w:val="17"/>
                <w:szCs w:val="17"/>
              </w:rPr>
            </w:pPr>
            <w:r>
              <w:rPr>
                <w:rFonts w:hint="cs" w:eastAsia="宋体"/>
                <w:color w:val="auto"/>
                <w:spacing w:val="-1"/>
                <w:sz w:val="17"/>
                <w:szCs w:val="17"/>
              </w:rPr>
              <w:t>63.95</w:t>
            </w:r>
          </w:p>
        </w:tc>
        <w:tc>
          <w:tcPr>
            <w:tcW w:w="1218" w:type="pct"/>
            <w:tcBorders>
              <w:top w:val="nil"/>
              <w:bottom w:val="nil"/>
              <w:tl2br w:val="nil"/>
              <w:tr2bl w:val="nil"/>
            </w:tcBorders>
            <w:vAlign w:val="center"/>
          </w:tcPr>
          <w:p>
            <w:pPr>
              <w:spacing w:before="238" w:line="276" w:lineRule="auto"/>
              <w:jc w:val="center"/>
              <w:rPr>
                <w:rFonts w:eastAsia="宋体"/>
                <w:color w:val="auto"/>
                <w:sz w:val="17"/>
                <w:szCs w:val="17"/>
              </w:rPr>
            </w:pPr>
            <w:r>
              <w:rPr>
                <w:rFonts w:hint="cs" w:eastAsia="宋体"/>
                <w:color w:val="auto"/>
                <w:spacing w:val="-1"/>
                <w:sz w:val="17"/>
                <w:szCs w:val="17"/>
              </w:rPr>
              <w:t>60.80</w:t>
            </w:r>
          </w:p>
        </w:tc>
        <w:tc>
          <w:tcPr>
            <w:tcW w:w="1234" w:type="pct"/>
            <w:tcBorders>
              <w:top w:val="nil"/>
              <w:bottom w:val="nil"/>
              <w:tl2br w:val="nil"/>
              <w:tr2bl w:val="nil"/>
            </w:tcBorders>
            <w:vAlign w:val="center"/>
          </w:tcPr>
          <w:p>
            <w:pPr>
              <w:spacing w:before="238" w:line="276" w:lineRule="auto"/>
              <w:jc w:val="center"/>
              <w:rPr>
                <w:rFonts w:eastAsia="宋体"/>
                <w:color w:val="auto"/>
                <w:sz w:val="17"/>
                <w:szCs w:val="17"/>
              </w:rPr>
            </w:pPr>
            <w:r>
              <w:rPr>
                <w:rFonts w:hint="cs" w:eastAsia="宋体"/>
                <w:color w:val="auto"/>
                <w:spacing w:val="-1"/>
                <w:sz w:val="17"/>
                <w:szCs w:val="17"/>
              </w:rPr>
              <w:t>63.00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14"/>
                <w:sz w:val="17"/>
                <w:szCs w:val="17"/>
              </w:rPr>
              <w:t>Minimum, maximum</w:t>
            </w:r>
          </w:p>
        </w:tc>
        <w:tc>
          <w:tcPr>
            <w:tcW w:w="1218" w:type="pct"/>
            <w:tcBorders>
              <w:top w:val="nil"/>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1"/>
                <w:sz w:val="17"/>
                <w:szCs w:val="17"/>
              </w:rPr>
              <w:t>51.9, 75.9</w:t>
            </w:r>
          </w:p>
        </w:tc>
        <w:tc>
          <w:tcPr>
            <w:tcW w:w="1218" w:type="pct"/>
            <w:tcBorders>
              <w:top w:val="nil"/>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2"/>
                <w:sz w:val="17"/>
                <w:szCs w:val="17"/>
              </w:rPr>
              <w:t>50.5,</w:t>
            </w:r>
            <w:r>
              <w:rPr>
                <w:rFonts w:hint="cs" w:eastAsia="宋体"/>
                <w:color w:val="auto"/>
                <w:spacing w:val="12"/>
                <w:sz w:val="17"/>
                <w:szCs w:val="17"/>
              </w:rPr>
              <w:t xml:space="preserve"> </w:t>
            </w:r>
            <w:r>
              <w:rPr>
                <w:rFonts w:hint="cs" w:eastAsia="宋体"/>
                <w:color w:val="auto"/>
                <w:spacing w:val="-2"/>
                <w:sz w:val="17"/>
                <w:szCs w:val="17"/>
              </w:rPr>
              <w:t>80.5</w:t>
            </w:r>
          </w:p>
        </w:tc>
        <w:tc>
          <w:tcPr>
            <w:tcW w:w="1234" w:type="pct"/>
            <w:tcBorders>
              <w:top w:val="nil"/>
              <w:tl2br w:val="nil"/>
              <w:tr2bl w:val="nil"/>
            </w:tcBorders>
            <w:vAlign w:val="center"/>
          </w:tcPr>
          <w:p>
            <w:pPr>
              <w:spacing w:before="233" w:line="276" w:lineRule="auto"/>
              <w:jc w:val="center"/>
              <w:rPr>
                <w:rFonts w:eastAsia="宋体"/>
                <w:color w:val="auto"/>
                <w:sz w:val="17"/>
                <w:szCs w:val="17"/>
              </w:rPr>
            </w:pPr>
            <w:r>
              <w:rPr>
                <w:rFonts w:hint="cs" w:eastAsia="宋体"/>
                <w:color w:val="auto"/>
                <w:spacing w:val="-2"/>
                <w:sz w:val="17"/>
                <w:szCs w:val="17"/>
              </w:rPr>
              <w:t>50.5,</w:t>
            </w:r>
            <w:r>
              <w:rPr>
                <w:rFonts w:hint="cs" w:eastAsia="宋体"/>
                <w:color w:val="auto"/>
                <w:spacing w:val="12"/>
                <w:sz w:val="17"/>
                <w:szCs w:val="17"/>
              </w:rPr>
              <w:t xml:space="preserve"> </w:t>
            </w:r>
            <w:r>
              <w:rPr>
                <w:rFonts w:hint="cs" w:eastAsia="宋体"/>
                <w:color w:val="auto"/>
                <w:spacing w:val="-2"/>
                <w:sz w:val="17"/>
                <w:szCs w:val="17"/>
              </w:rPr>
              <w:t>80.5</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5000" w:type="pct"/>
            <w:gridSpan w:val="4"/>
            <w:tcBorders>
              <w:top w:val="nil"/>
              <w:bottom w:val="nil"/>
              <w:tl2br w:val="nil"/>
              <w:tr2bl w:val="nil"/>
            </w:tcBorders>
            <w:vAlign w:val="center"/>
          </w:tcPr>
          <w:p>
            <w:pPr>
              <w:spacing w:before="237" w:line="276" w:lineRule="auto"/>
              <w:rPr>
                <w:rFonts w:eastAsia="宋体"/>
                <w:color w:val="auto"/>
                <w:sz w:val="17"/>
                <w:szCs w:val="17"/>
              </w:rPr>
            </w:pPr>
            <w:r>
              <w:rPr>
                <w:rFonts w:hint="cs" w:eastAsia="宋体"/>
                <w:color w:val="auto"/>
                <w:sz w:val="17"/>
                <w:szCs w:val="17"/>
              </w:rPr>
              <w:t>BMI(kg</w:t>
            </w:r>
            <w:r>
              <w:rPr>
                <w:rFonts w:hint="default" w:ascii="Times New Roman" w:hAnsi="Times New Roman"/>
                <w:spacing w:val="1"/>
                <w:sz w:val="17"/>
                <w:szCs w:val="17"/>
              </w:rPr>
              <w:t>∙</w:t>
            </w:r>
            <w:r>
              <w:rPr>
                <w:rFonts w:hint="eastAsia" w:eastAsia="宋体"/>
                <w:spacing w:val="1"/>
                <w:sz w:val="17"/>
                <w:szCs w:val="17"/>
                <w:lang w:val="en-US" w:eastAsia="zh-CN"/>
              </w:rPr>
              <w:t xml:space="preserve"> </w:t>
            </w:r>
            <w:r>
              <w:rPr>
                <w:rFonts w:hint="cs" w:eastAsia="宋体"/>
                <w:color w:val="auto"/>
                <w:sz w:val="17"/>
                <w:szCs w:val="17"/>
              </w:rPr>
              <w:t>m</w:t>
            </w:r>
            <w:r>
              <w:rPr>
                <w:rFonts w:hint="cs" w:eastAsia="宋体"/>
                <w:color w:val="auto"/>
                <w:sz w:val="17"/>
                <w:szCs w:val="17"/>
                <w:vertAlign w:val="superscript"/>
              </w:rPr>
              <w:t>-2</w:t>
            </w:r>
            <w:r>
              <w:rPr>
                <w:rFonts w:hint="cs" w:eastAsia="宋体"/>
                <w:color w:val="auto"/>
                <w:sz w:val="17"/>
                <w:szCs w:val="17"/>
              </w:rPr>
              <w:t>)</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bottom w:val="nil"/>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spacing w:val="-13"/>
                <w:sz w:val="17"/>
                <w:szCs w:val="17"/>
              </w:rPr>
              <w:t>cases (%)</w:t>
            </w:r>
          </w:p>
        </w:tc>
        <w:tc>
          <w:tcPr>
            <w:tcW w:w="1218" w:type="pct"/>
            <w:tcBorders>
              <w:top w:val="nil"/>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18" w:type="pct"/>
            <w:tcBorders>
              <w:top w:val="nil"/>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4"/>
                <w:sz w:val="17"/>
                <w:szCs w:val="17"/>
              </w:rPr>
              <w:t>12</w:t>
            </w:r>
            <w:r>
              <w:rPr>
                <w:rFonts w:hint="cs" w:eastAsia="宋体"/>
                <w:color w:val="auto"/>
                <w:spacing w:val="12"/>
                <w:sz w:val="17"/>
                <w:szCs w:val="17"/>
              </w:rPr>
              <w:t xml:space="preserve"> </w:t>
            </w:r>
            <w:r>
              <w:rPr>
                <w:rFonts w:hint="cs" w:eastAsia="宋体"/>
                <w:color w:val="auto"/>
                <w:spacing w:val="-4"/>
                <w:sz w:val="17"/>
                <w:szCs w:val="17"/>
              </w:rPr>
              <w:t>(100.0)</w:t>
            </w:r>
          </w:p>
        </w:tc>
        <w:tc>
          <w:tcPr>
            <w:tcW w:w="1234" w:type="pct"/>
            <w:tcBorders>
              <w:top w:val="nil"/>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2"/>
                <w:sz w:val="17"/>
                <w:szCs w:val="17"/>
              </w:rPr>
              <w:t>24</w:t>
            </w:r>
            <w:r>
              <w:rPr>
                <w:rFonts w:hint="cs" w:eastAsia="宋体"/>
                <w:color w:val="auto"/>
                <w:spacing w:val="14"/>
                <w:w w:val="101"/>
                <w:sz w:val="17"/>
                <w:szCs w:val="17"/>
              </w:rPr>
              <w:t xml:space="preserve"> </w:t>
            </w:r>
            <w:r>
              <w:rPr>
                <w:rFonts w:hint="cs" w:eastAsia="宋体"/>
                <w:color w:val="auto"/>
                <w:spacing w:val="-2"/>
                <w:sz w:val="17"/>
                <w:szCs w:val="17"/>
              </w:rPr>
              <w:t>(100.0)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tl2br w:val="nil"/>
              <w:tr2bl w:val="nil"/>
            </w:tcBorders>
            <w:vAlign w:val="center"/>
          </w:tcPr>
          <w:p>
            <w:pPr>
              <w:pStyle w:val="36"/>
              <w:spacing w:before="189" w:line="276" w:lineRule="auto"/>
              <w:jc w:val="center"/>
              <w:rPr>
                <w:rFonts w:hint="default" w:ascii="Times New Roman" w:hAnsi="Times New Roman"/>
                <w:sz w:val="17"/>
                <w:szCs w:val="17"/>
              </w:rPr>
            </w:pPr>
            <w:r>
              <w:rPr>
                <w:rFonts w:hint="cs" w:ascii="Times New Roman" w:hAnsi="Times New Roman"/>
                <w:sz w:val="17"/>
                <w:szCs w:val="17"/>
              </w:rPr>
              <w:t>Mean (standard deviation)</w:t>
            </w:r>
          </w:p>
        </w:tc>
        <w:tc>
          <w:tcPr>
            <w:tcW w:w="1218" w:type="pct"/>
            <w:tcBorders>
              <w:top w:val="nil"/>
              <w:tl2br w:val="nil"/>
              <w:tr2bl w:val="nil"/>
            </w:tcBorders>
            <w:vAlign w:val="center"/>
          </w:tcPr>
          <w:p>
            <w:pPr>
              <w:spacing w:before="231" w:line="276" w:lineRule="auto"/>
              <w:jc w:val="center"/>
              <w:rPr>
                <w:rFonts w:eastAsia="宋体"/>
                <w:color w:val="auto"/>
                <w:sz w:val="17"/>
                <w:szCs w:val="17"/>
              </w:rPr>
            </w:pPr>
            <w:r>
              <w:rPr>
                <w:rFonts w:hint="cs" w:eastAsia="宋体"/>
                <w:color w:val="auto"/>
                <w:spacing w:val="-1"/>
                <w:sz w:val="17"/>
                <w:szCs w:val="17"/>
              </w:rPr>
              <w:t>22.98 (1.719)</w:t>
            </w:r>
          </w:p>
        </w:tc>
        <w:tc>
          <w:tcPr>
            <w:tcW w:w="1218" w:type="pct"/>
            <w:tcBorders>
              <w:top w:val="nil"/>
              <w:tl2br w:val="nil"/>
              <w:tr2bl w:val="nil"/>
            </w:tcBorders>
            <w:vAlign w:val="center"/>
          </w:tcPr>
          <w:p>
            <w:pPr>
              <w:spacing w:before="231" w:line="276" w:lineRule="auto"/>
              <w:jc w:val="center"/>
              <w:rPr>
                <w:rFonts w:eastAsia="宋体"/>
                <w:color w:val="auto"/>
                <w:sz w:val="17"/>
                <w:szCs w:val="17"/>
              </w:rPr>
            </w:pPr>
            <w:r>
              <w:rPr>
                <w:rFonts w:hint="cs" w:eastAsia="宋体"/>
                <w:color w:val="auto"/>
                <w:spacing w:val="-1"/>
                <w:sz w:val="17"/>
                <w:szCs w:val="17"/>
              </w:rPr>
              <w:t>21.48 (2.232)</w:t>
            </w:r>
          </w:p>
        </w:tc>
        <w:tc>
          <w:tcPr>
            <w:tcW w:w="1234" w:type="pct"/>
            <w:tcBorders>
              <w:top w:val="nil"/>
              <w:tl2br w:val="nil"/>
              <w:tr2bl w:val="nil"/>
            </w:tcBorders>
            <w:vAlign w:val="center"/>
          </w:tcPr>
          <w:p>
            <w:pPr>
              <w:spacing w:before="231" w:line="276" w:lineRule="auto"/>
              <w:jc w:val="center"/>
              <w:rPr>
                <w:rFonts w:eastAsia="宋体"/>
                <w:color w:val="auto"/>
                <w:sz w:val="17"/>
                <w:szCs w:val="17"/>
              </w:rPr>
            </w:pPr>
            <w:r>
              <w:rPr>
                <w:rFonts w:hint="cs" w:eastAsia="宋体"/>
                <w:color w:val="auto"/>
                <w:spacing w:val="-1"/>
                <w:sz w:val="17"/>
                <w:szCs w:val="17"/>
              </w:rPr>
              <w:t>22.23 (2.095)</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bottom w:val="nil"/>
              <w:tl2br w:val="nil"/>
              <w:tr2bl w:val="nil"/>
            </w:tcBorders>
            <w:vAlign w:val="center"/>
          </w:tcPr>
          <w:p>
            <w:pPr>
              <w:pStyle w:val="36"/>
              <w:spacing w:before="188" w:line="276" w:lineRule="auto"/>
              <w:jc w:val="center"/>
              <w:rPr>
                <w:rFonts w:hint="default" w:ascii="Times New Roman" w:hAnsi="Times New Roman"/>
                <w:sz w:val="17"/>
                <w:szCs w:val="17"/>
              </w:rPr>
            </w:pPr>
            <w:r>
              <w:rPr>
                <w:rFonts w:hint="cs" w:ascii="Times New Roman" w:hAnsi="Times New Roman"/>
                <w:sz w:val="17"/>
                <w:szCs w:val="17"/>
              </w:rPr>
              <w:t>Median</w:t>
            </w:r>
          </w:p>
        </w:tc>
        <w:tc>
          <w:tcPr>
            <w:tcW w:w="1218" w:type="pct"/>
            <w:tcBorders>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1"/>
                <w:sz w:val="17"/>
                <w:szCs w:val="17"/>
              </w:rPr>
              <w:t>22.90</w:t>
            </w:r>
          </w:p>
        </w:tc>
        <w:tc>
          <w:tcPr>
            <w:tcW w:w="1218" w:type="pct"/>
            <w:tcBorders>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1"/>
                <w:sz w:val="17"/>
                <w:szCs w:val="17"/>
              </w:rPr>
              <w:t>21.05</w:t>
            </w:r>
          </w:p>
        </w:tc>
        <w:tc>
          <w:tcPr>
            <w:tcW w:w="1234" w:type="pct"/>
            <w:tcBorders>
              <w:bottom w:val="nil"/>
              <w:tl2br w:val="nil"/>
              <w:tr2bl w:val="nil"/>
            </w:tcBorders>
            <w:vAlign w:val="center"/>
          </w:tcPr>
          <w:p>
            <w:pPr>
              <w:spacing w:before="236" w:line="276" w:lineRule="auto"/>
              <w:jc w:val="center"/>
              <w:rPr>
                <w:rFonts w:eastAsia="宋体"/>
                <w:color w:val="auto"/>
                <w:sz w:val="17"/>
                <w:szCs w:val="17"/>
              </w:rPr>
            </w:pPr>
            <w:r>
              <w:rPr>
                <w:rFonts w:hint="cs" w:eastAsia="宋体"/>
                <w:color w:val="auto"/>
                <w:spacing w:val="-1"/>
                <w:sz w:val="17"/>
                <w:szCs w:val="17"/>
              </w:rPr>
              <w:t>21.90</w:t>
            </w:r>
          </w:p>
        </w:tc>
      </w:tr>
      <w:tr>
        <w:tblPrEx>
          <w:tblBorders>
            <w:top w:val="single" w:color="000000" w:sz="2" w:space="0"/>
            <w:left w:val="none" w:color="auto" w:sz="0" w:space="0"/>
            <w:bottom w:val="single" w:color="000000" w:sz="2"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1329" w:type="pct"/>
            <w:tcBorders>
              <w:top w:val="nil"/>
              <w:bottom w:val="single" w:color="auto" w:sz="4" w:space="0"/>
              <w:tl2br w:val="nil"/>
              <w:tr2bl w:val="nil"/>
            </w:tcBorders>
            <w:vAlign w:val="center"/>
          </w:tcPr>
          <w:p>
            <w:pPr>
              <w:pStyle w:val="36"/>
              <w:spacing w:before="190" w:line="276" w:lineRule="auto"/>
              <w:jc w:val="center"/>
              <w:rPr>
                <w:rFonts w:hint="default" w:ascii="Times New Roman" w:hAnsi="Times New Roman"/>
                <w:sz w:val="17"/>
                <w:szCs w:val="17"/>
              </w:rPr>
            </w:pPr>
            <w:r>
              <w:rPr>
                <w:rFonts w:hint="cs" w:ascii="Times New Roman" w:hAnsi="Times New Roman"/>
                <w:spacing w:val="-14"/>
                <w:sz w:val="17"/>
                <w:szCs w:val="17"/>
              </w:rPr>
              <w:t>Minimum, maximum</w:t>
            </w:r>
          </w:p>
        </w:tc>
        <w:tc>
          <w:tcPr>
            <w:tcW w:w="1218" w:type="pct"/>
            <w:tcBorders>
              <w:top w:val="nil"/>
              <w:bottom w:val="single" w:color="auto" w:sz="4" w:space="0"/>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1"/>
                <w:sz w:val="17"/>
                <w:szCs w:val="17"/>
              </w:rPr>
              <w:t>20.5, 25.1</w:t>
            </w:r>
          </w:p>
        </w:tc>
        <w:tc>
          <w:tcPr>
            <w:tcW w:w="1218" w:type="pct"/>
            <w:tcBorders>
              <w:top w:val="nil"/>
              <w:bottom w:val="single" w:color="auto" w:sz="4" w:space="0"/>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3"/>
                <w:sz w:val="17"/>
                <w:szCs w:val="17"/>
              </w:rPr>
              <w:t>18.6, 26.0</w:t>
            </w:r>
          </w:p>
        </w:tc>
        <w:tc>
          <w:tcPr>
            <w:tcW w:w="1234" w:type="pct"/>
            <w:tcBorders>
              <w:top w:val="nil"/>
              <w:bottom w:val="single" w:color="auto" w:sz="4" w:space="0"/>
              <w:tl2br w:val="nil"/>
              <w:tr2bl w:val="nil"/>
            </w:tcBorders>
            <w:vAlign w:val="center"/>
          </w:tcPr>
          <w:p>
            <w:pPr>
              <w:spacing w:before="234" w:line="276" w:lineRule="auto"/>
              <w:jc w:val="center"/>
              <w:rPr>
                <w:rFonts w:eastAsia="宋体"/>
                <w:color w:val="auto"/>
                <w:sz w:val="17"/>
                <w:szCs w:val="17"/>
              </w:rPr>
            </w:pPr>
            <w:r>
              <w:rPr>
                <w:rFonts w:hint="cs" w:eastAsia="宋体"/>
                <w:color w:val="auto"/>
                <w:spacing w:val="-3"/>
                <w:sz w:val="17"/>
                <w:szCs w:val="17"/>
              </w:rPr>
              <w:t>18.6, 26.0</w:t>
            </w:r>
          </w:p>
        </w:tc>
      </w:tr>
    </w:tbl>
    <w:p>
      <w:pPr>
        <w:spacing w:line="276" w:lineRule="auto"/>
        <w:rPr>
          <w:sz w:val="17"/>
          <w:szCs w:val="17"/>
        </w:rPr>
      </w:pPr>
      <w:r>
        <w:rPr>
          <w:rFonts w:hint="cs"/>
          <w:spacing w:val="-1"/>
          <w:sz w:val="17"/>
          <w:szCs w:val="17"/>
        </w:rPr>
        <w:t>BMI=Body Mass index: Weight *height</w:t>
      </w:r>
      <w:r>
        <w:rPr>
          <w:rFonts w:hint="cs"/>
          <w:spacing w:val="-1"/>
          <w:sz w:val="17"/>
          <w:szCs w:val="17"/>
          <w:vertAlign w:val="superscript"/>
        </w:rPr>
        <w:t>-2</w:t>
      </w:r>
      <w:r>
        <w:rPr>
          <w:rFonts w:hint="cs"/>
          <w:spacing w:val="-1"/>
          <w:sz w:val="17"/>
          <w:szCs w:val="17"/>
        </w:rPr>
        <w:t xml:space="preserve"> (kg</w:t>
      </w:r>
      <w:r>
        <w:rPr>
          <w:rFonts w:hint="default" w:ascii="Times New Roman" w:hAnsi="Times New Roman"/>
          <w:spacing w:val="1"/>
          <w:sz w:val="17"/>
          <w:szCs w:val="17"/>
        </w:rPr>
        <w:t>∙</w:t>
      </w:r>
      <w:r>
        <w:rPr>
          <w:rFonts w:hint="cs"/>
          <w:spacing w:val="-1"/>
          <w:sz w:val="17"/>
          <w:szCs w:val="17"/>
        </w:rPr>
        <w:t xml:space="preserve"> m</w:t>
      </w:r>
      <w:r>
        <w:rPr>
          <w:rFonts w:hint="cs"/>
          <w:spacing w:val="-1"/>
          <w:sz w:val="17"/>
          <w:szCs w:val="17"/>
          <w:vertAlign w:val="superscript"/>
        </w:rPr>
        <w:t>-2</w:t>
      </w:r>
      <w:r>
        <w:rPr>
          <w:rFonts w:hint="cs"/>
          <w:spacing w:val="-1"/>
          <w:sz w:val="17"/>
          <w:szCs w:val="17"/>
        </w:rPr>
        <w:t>).</w:t>
      </w:r>
      <w:r>
        <w:rPr>
          <w:rFonts w:hint="cs"/>
          <w:sz w:val="17"/>
          <w:szCs w:val="17"/>
        </w:rPr>
        <w:t xml:space="preserve"> R, reference</w:t>
      </w:r>
      <w:r>
        <w:rPr>
          <w:rFonts w:hint="eastAsia" w:eastAsia="宋体"/>
          <w:sz w:val="17"/>
          <w:szCs w:val="17"/>
          <w:lang w:val="en-US" w:eastAsia="zh-CN"/>
        </w:rPr>
        <w:t xml:space="preserve"> </w:t>
      </w:r>
      <w:r>
        <w:rPr>
          <w:rFonts w:ascii="Times New Roman" w:hAnsi="Times New Roman"/>
          <w:spacing w:val="-2"/>
          <w:sz w:val="17"/>
          <w:szCs w:val="17"/>
        </w:rPr>
        <w:t>preparation</w:t>
      </w:r>
      <w:r>
        <w:rPr>
          <w:rFonts w:hint="cs"/>
          <w:sz w:val="17"/>
          <w:szCs w:val="17"/>
        </w:rPr>
        <w:t>; T, test</w:t>
      </w:r>
      <w:r>
        <w:rPr>
          <w:rFonts w:hint="eastAsia" w:eastAsia="宋体"/>
          <w:sz w:val="17"/>
          <w:szCs w:val="17"/>
          <w:lang w:val="en-US" w:eastAsia="zh-CN"/>
        </w:rPr>
        <w:t xml:space="preserve"> </w:t>
      </w:r>
      <w:r>
        <w:rPr>
          <w:rFonts w:ascii="Times New Roman" w:hAnsi="Times New Roman"/>
          <w:spacing w:val="-2"/>
          <w:sz w:val="17"/>
          <w:szCs w:val="17"/>
        </w:rPr>
        <w:t>preparation</w:t>
      </w:r>
      <w:r>
        <w:rPr>
          <w:rFonts w:hint="cs"/>
          <w:sz w:val="17"/>
          <w:szCs w:val="17"/>
        </w:rPr>
        <w:t>.</w:t>
      </w:r>
    </w:p>
    <w:p>
      <w:pPr>
        <w:spacing w:line="276" w:lineRule="auto"/>
        <w:rPr>
          <w:rFonts w:eastAsia="宋体"/>
          <w:sz w:val="20"/>
          <w:szCs w:val="20"/>
        </w:rPr>
      </w:pPr>
    </w:p>
    <w:p>
      <w:pPr>
        <w:spacing w:line="276" w:lineRule="auto"/>
        <w:rPr>
          <w:sz w:val="20"/>
          <w:szCs w:val="20"/>
        </w:rPr>
      </w:pPr>
    </w:p>
    <w:p>
      <w:pPr>
        <w:spacing w:line="276" w:lineRule="auto"/>
        <w:rPr>
          <w:sz w:val="20"/>
          <w:szCs w:val="20"/>
        </w:rPr>
      </w:pPr>
    </w:p>
    <w:p>
      <w:pPr>
        <w:spacing w:line="276" w:lineRule="auto"/>
        <w:rPr>
          <w:sz w:val="20"/>
          <w:szCs w:val="20"/>
        </w:rPr>
      </w:pPr>
    </w:p>
    <w:p>
      <w:pPr>
        <w:spacing w:line="276" w:lineRule="auto"/>
        <w:rPr>
          <w:sz w:val="20"/>
          <w:szCs w:val="20"/>
        </w:rPr>
      </w:pPr>
    </w:p>
    <w:p>
      <w:pPr>
        <w:spacing w:line="276" w:lineRule="auto"/>
        <w:rPr>
          <w:sz w:val="20"/>
          <w:szCs w:val="20"/>
        </w:rPr>
      </w:pPr>
    </w:p>
    <w:p>
      <w:pPr>
        <w:spacing w:line="276" w:lineRule="auto"/>
        <w:rPr>
          <w:sz w:val="20"/>
          <w:szCs w:val="20"/>
        </w:rPr>
      </w:pPr>
    </w:p>
    <w:p>
      <w:pPr>
        <w:spacing w:line="276" w:lineRule="auto"/>
        <w:rPr>
          <w:sz w:val="20"/>
          <w:szCs w:val="20"/>
        </w:rPr>
      </w:pPr>
    </w:p>
    <w:p>
      <w:pPr>
        <w:spacing w:line="276" w:lineRule="auto"/>
        <w:rPr>
          <w:sz w:val="20"/>
          <w:szCs w:val="20"/>
        </w:rPr>
      </w:pPr>
    </w:p>
    <w:p>
      <w:pPr>
        <w:spacing w:line="276" w:lineRule="auto"/>
        <w:rPr>
          <w:rFonts w:eastAsia="宋体"/>
          <w:b/>
          <w:bCs/>
          <w:sz w:val="20"/>
          <w:szCs w:val="20"/>
        </w:rPr>
      </w:pPr>
      <w:r>
        <w:rPr>
          <w:rFonts w:hint="cs"/>
          <w:b/>
          <w:bCs/>
          <w:sz w:val="20"/>
          <w:szCs w:val="20"/>
        </w:rPr>
        <w:t>SI 4</w:t>
      </w:r>
      <w:r>
        <w:rPr>
          <w:rFonts w:hint="cs"/>
          <w:sz w:val="20"/>
          <w:szCs w:val="20"/>
          <w:lang w:val="de-DE"/>
        </w:rPr>
        <w:t xml:space="preserve"> Adverse events summarized </w:t>
      </w:r>
      <w:r>
        <w:rPr>
          <w:rFonts w:hint="cs" w:eastAsia="宋体"/>
          <w:sz w:val="20"/>
          <w:szCs w:val="20"/>
          <w:lang w:val="de-DE"/>
        </w:rPr>
        <w:t>as safety sets by system organ, term, and severity</w:t>
      </w:r>
      <w:r>
        <w:rPr>
          <w:rFonts w:hint="cs"/>
          <w:sz w:val="20"/>
          <w:szCs w:val="20"/>
        </w:rPr>
        <w:t>.</w:t>
      </w:r>
    </w:p>
    <w:tbl>
      <w:tblPr>
        <w:tblStyle w:val="4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3695"/>
        <w:gridCol w:w="2791"/>
        <w:gridCol w:w="25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tcBorders>
              <w:top w:val="single" w:color="auto" w:sz="4" w:space="0"/>
              <w:bottom w:val="single" w:color="auto" w:sz="4" w:space="0"/>
            </w:tcBorders>
            <w:vAlign w:val="center"/>
          </w:tcPr>
          <w:p>
            <w:pPr>
              <w:pStyle w:val="36"/>
              <w:spacing w:before="53"/>
              <w:jc w:val="center"/>
              <w:rPr>
                <w:rFonts w:ascii="Times New Roman" w:hAnsi="Times New Roman"/>
                <w:spacing w:val="-2"/>
                <w:sz w:val="17"/>
                <w:szCs w:val="17"/>
              </w:rPr>
            </w:pPr>
            <w:bookmarkStart w:id="3" w:name="OLE_LINK25"/>
            <w:r>
              <w:rPr>
                <w:rFonts w:ascii="Times New Roman" w:hAnsi="Times New Roman"/>
                <w:spacing w:val="-2"/>
                <w:sz w:val="17"/>
                <w:szCs w:val="17"/>
              </w:rPr>
              <w:t>S</w:t>
            </w:r>
            <w:bookmarkEnd w:id="3"/>
            <w:r>
              <w:rPr>
                <w:rFonts w:ascii="Times New Roman" w:hAnsi="Times New Roman"/>
                <w:spacing w:val="-2"/>
                <w:sz w:val="17"/>
                <w:szCs w:val="17"/>
              </w:rPr>
              <w:t>OC</w:t>
            </w:r>
          </w:p>
          <w:p>
            <w:pPr>
              <w:pStyle w:val="36"/>
              <w:spacing w:before="53"/>
              <w:jc w:val="center"/>
              <w:rPr>
                <w:rFonts w:ascii="Times New Roman" w:hAnsi="Times New Roman"/>
                <w:spacing w:val="-2"/>
                <w:sz w:val="17"/>
                <w:szCs w:val="17"/>
              </w:rPr>
            </w:pPr>
            <w:r>
              <w:rPr>
                <w:rFonts w:ascii="Times New Roman" w:hAnsi="Times New Roman"/>
                <w:spacing w:val="-2"/>
                <w:sz w:val="17"/>
                <w:szCs w:val="17"/>
              </w:rPr>
              <w:t>PT</w:t>
            </w:r>
          </w:p>
          <w:p>
            <w:pPr>
              <w:pStyle w:val="36"/>
              <w:spacing w:before="53"/>
              <w:jc w:val="center"/>
              <w:rPr>
                <w:rFonts w:ascii="Times New Roman" w:hAnsi="Times New Roman"/>
                <w:spacing w:val="-2"/>
                <w:sz w:val="17"/>
                <w:szCs w:val="17"/>
              </w:rPr>
            </w:pPr>
            <w:r>
              <w:rPr>
                <w:rFonts w:ascii="Times New Roman" w:hAnsi="Times New Roman"/>
                <w:spacing w:val="-2"/>
                <w:sz w:val="17"/>
                <w:szCs w:val="17"/>
              </w:rPr>
              <w:t>Severity</w:t>
            </w:r>
          </w:p>
        </w:tc>
        <w:tc>
          <w:tcPr>
            <w:tcW w:w="1546" w:type="pct"/>
            <w:tcBorders>
              <w:top w:val="single" w:color="auto" w:sz="4" w:space="0"/>
              <w:bottom w:val="single" w:color="auto" w:sz="4" w:space="0"/>
            </w:tcBorders>
            <w:vAlign w:val="center"/>
          </w:tcPr>
          <w:p>
            <w:pPr>
              <w:pStyle w:val="36"/>
              <w:spacing w:before="53"/>
              <w:jc w:val="center"/>
              <w:rPr>
                <w:rFonts w:ascii="Times New Roman" w:hAnsi="Times New Roman"/>
                <w:spacing w:val="-2"/>
                <w:sz w:val="17"/>
                <w:szCs w:val="17"/>
              </w:rPr>
            </w:pPr>
            <w:r>
              <w:rPr>
                <w:rFonts w:ascii="Times New Roman" w:hAnsi="Times New Roman"/>
                <w:spacing w:val="-2"/>
                <w:sz w:val="17"/>
                <w:szCs w:val="17"/>
              </w:rPr>
              <w:t>Test preparation</w:t>
            </w:r>
          </w:p>
          <w:p>
            <w:pPr>
              <w:pStyle w:val="36"/>
              <w:spacing w:before="53"/>
              <w:jc w:val="center"/>
              <w:rPr>
                <w:rFonts w:ascii="Times New Roman" w:hAnsi="Times New Roman"/>
                <w:spacing w:val="-2"/>
                <w:sz w:val="17"/>
                <w:szCs w:val="17"/>
              </w:rPr>
            </w:pPr>
            <w:r>
              <w:rPr>
                <w:rFonts w:ascii="Times New Roman" w:hAnsi="Times New Roman"/>
                <w:spacing w:val="-2"/>
                <w:sz w:val="17"/>
                <w:szCs w:val="17"/>
              </w:rPr>
              <w:t>N=24</w:t>
            </w:r>
          </w:p>
          <w:p>
            <w:pPr>
              <w:pStyle w:val="36"/>
              <w:spacing w:before="53"/>
              <w:jc w:val="center"/>
              <w:rPr>
                <w:rFonts w:ascii="Times New Roman" w:hAnsi="Times New Roman"/>
                <w:spacing w:val="-2"/>
                <w:sz w:val="17"/>
                <w:szCs w:val="17"/>
              </w:rPr>
            </w:pPr>
            <w:r>
              <w:rPr>
                <w:rFonts w:ascii="Times New Roman" w:hAnsi="Times New Roman"/>
                <w:spacing w:val="-2"/>
                <w:sz w:val="17"/>
                <w:szCs w:val="17"/>
              </w:rPr>
              <w:t>Case  (%)  Frequency</w:t>
            </w:r>
          </w:p>
        </w:tc>
        <w:tc>
          <w:tcPr>
            <w:tcW w:w="1405" w:type="pct"/>
            <w:tcBorders>
              <w:top w:val="single" w:color="auto" w:sz="4" w:space="0"/>
              <w:bottom w:val="single" w:color="auto" w:sz="4" w:space="0"/>
            </w:tcBorders>
            <w:vAlign w:val="center"/>
          </w:tcPr>
          <w:p>
            <w:pPr>
              <w:pStyle w:val="36"/>
              <w:spacing w:before="53"/>
              <w:jc w:val="center"/>
              <w:rPr>
                <w:rFonts w:ascii="Times New Roman" w:hAnsi="Times New Roman"/>
                <w:spacing w:val="-2"/>
                <w:sz w:val="17"/>
                <w:szCs w:val="17"/>
              </w:rPr>
            </w:pPr>
            <w:r>
              <w:rPr>
                <w:rFonts w:ascii="Times New Roman" w:hAnsi="Times New Roman"/>
                <w:spacing w:val="-2"/>
                <w:sz w:val="17"/>
                <w:szCs w:val="17"/>
              </w:rPr>
              <w:t>Reference preparation</w:t>
            </w:r>
          </w:p>
          <w:p>
            <w:pPr>
              <w:pStyle w:val="36"/>
              <w:spacing w:before="53"/>
              <w:jc w:val="center"/>
              <w:rPr>
                <w:rFonts w:ascii="Times New Roman" w:hAnsi="Times New Roman"/>
                <w:spacing w:val="-2"/>
                <w:sz w:val="17"/>
                <w:szCs w:val="17"/>
              </w:rPr>
            </w:pPr>
            <w:r>
              <w:rPr>
                <w:rFonts w:ascii="Times New Roman" w:hAnsi="Times New Roman"/>
                <w:spacing w:val="-2"/>
                <w:sz w:val="17"/>
                <w:szCs w:val="17"/>
              </w:rPr>
              <w:t>N=24</w:t>
            </w:r>
          </w:p>
          <w:p>
            <w:pPr>
              <w:pStyle w:val="36"/>
              <w:spacing w:before="53"/>
              <w:jc w:val="center"/>
              <w:rPr>
                <w:rFonts w:ascii="Times New Roman" w:hAnsi="Times New Roman"/>
                <w:spacing w:val="-2"/>
                <w:sz w:val="17"/>
                <w:szCs w:val="17"/>
              </w:rPr>
            </w:pPr>
            <w:r>
              <w:rPr>
                <w:rFonts w:ascii="Times New Roman" w:hAnsi="Times New Roman"/>
                <w:spacing w:val="-2"/>
                <w:sz w:val="17"/>
                <w:szCs w:val="17"/>
              </w:rPr>
              <w:t>Case  (%)  Frequency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tcBorders>
              <w:top w:val="single" w:color="auto" w:sz="4" w:space="0"/>
            </w:tcBorders>
            <w:vAlign w:val="center"/>
          </w:tcPr>
          <w:p>
            <w:pPr>
              <w:pStyle w:val="36"/>
              <w:spacing w:before="53"/>
              <w:jc w:val="center"/>
              <w:rPr>
                <w:rFonts w:ascii="Times New Roman" w:hAnsi="Times New Roman"/>
                <w:sz w:val="17"/>
                <w:szCs w:val="17"/>
              </w:rPr>
            </w:pPr>
            <w:r>
              <w:rPr>
                <w:rFonts w:ascii="Times New Roman" w:hAnsi="Times New Roman"/>
                <w:spacing w:val="-2"/>
                <w:sz w:val="17"/>
                <w:szCs w:val="17"/>
              </w:rPr>
              <w:t>Various inspection</w:t>
            </w:r>
          </w:p>
        </w:tc>
        <w:tc>
          <w:tcPr>
            <w:tcW w:w="1546" w:type="pct"/>
            <w:tcBorders>
              <w:top w:val="single" w:color="auto" w:sz="4" w:space="0"/>
            </w:tcBorders>
            <w:vAlign w:val="center"/>
          </w:tcPr>
          <w:p>
            <w:pPr>
              <w:spacing w:before="53"/>
              <w:jc w:val="center"/>
              <w:rPr>
                <w:sz w:val="17"/>
                <w:szCs w:val="17"/>
              </w:rPr>
            </w:pPr>
            <w:r>
              <w:rPr>
                <w:spacing w:val="-5"/>
                <w:sz w:val="17"/>
                <w:szCs w:val="17"/>
              </w:rPr>
              <w:t>6</w:t>
            </w:r>
            <w:r>
              <w:rPr>
                <w:spacing w:val="3"/>
                <w:sz w:val="17"/>
                <w:szCs w:val="17"/>
              </w:rPr>
              <w:t xml:space="preserve">   </w:t>
            </w:r>
            <w:r>
              <w:rPr>
                <w:spacing w:val="-5"/>
                <w:sz w:val="17"/>
                <w:szCs w:val="17"/>
              </w:rPr>
              <w:t>( 25.0)</w:t>
            </w:r>
            <w:r>
              <w:rPr>
                <w:spacing w:val="5"/>
                <w:sz w:val="17"/>
                <w:szCs w:val="17"/>
              </w:rPr>
              <w:t xml:space="preserve">   </w:t>
            </w:r>
            <w:r>
              <w:rPr>
                <w:spacing w:val="-5"/>
                <w:sz w:val="17"/>
                <w:szCs w:val="17"/>
              </w:rPr>
              <w:t>12</w:t>
            </w:r>
          </w:p>
        </w:tc>
        <w:tc>
          <w:tcPr>
            <w:tcW w:w="1405" w:type="pct"/>
            <w:tcBorders>
              <w:top w:val="single" w:color="auto" w:sz="4" w:space="0"/>
            </w:tcBorders>
            <w:vAlign w:val="center"/>
          </w:tcPr>
          <w:p>
            <w:pPr>
              <w:spacing w:before="53"/>
              <w:jc w:val="center"/>
              <w:rPr>
                <w:sz w:val="17"/>
                <w:szCs w:val="17"/>
              </w:rPr>
            </w:pPr>
            <w:r>
              <w:rPr>
                <w:spacing w:val="-3"/>
                <w:sz w:val="17"/>
                <w:szCs w:val="17"/>
              </w:rPr>
              <w:t>6</w:t>
            </w:r>
            <w:r>
              <w:rPr>
                <w:spacing w:val="2"/>
                <w:sz w:val="17"/>
                <w:szCs w:val="17"/>
              </w:rPr>
              <w:t xml:space="preserve">   </w:t>
            </w:r>
            <w:r>
              <w:rPr>
                <w:spacing w:val="-3"/>
                <w:sz w:val="17"/>
                <w:szCs w:val="17"/>
              </w:rPr>
              <w:t>( 25.0)</w:t>
            </w:r>
            <w:r>
              <w:rPr>
                <w:spacing w:val="4"/>
                <w:sz w:val="17"/>
                <w:szCs w:val="17"/>
              </w:rPr>
              <w:t xml:space="preserve">   </w:t>
            </w:r>
            <w:r>
              <w:rPr>
                <w:spacing w:val="-3"/>
                <w:sz w:val="17"/>
                <w:szCs w:val="17"/>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1"/>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0"/>
              <w:jc w:val="center"/>
              <w:rPr>
                <w:sz w:val="17"/>
                <w:szCs w:val="17"/>
              </w:rPr>
            </w:pPr>
            <w:r>
              <w:rPr>
                <w:spacing w:val="-5"/>
                <w:sz w:val="17"/>
                <w:szCs w:val="17"/>
              </w:rPr>
              <w:t>6</w:t>
            </w:r>
            <w:r>
              <w:rPr>
                <w:spacing w:val="3"/>
                <w:sz w:val="17"/>
                <w:szCs w:val="17"/>
              </w:rPr>
              <w:t xml:space="preserve">   </w:t>
            </w:r>
            <w:r>
              <w:rPr>
                <w:spacing w:val="-5"/>
                <w:sz w:val="17"/>
                <w:szCs w:val="17"/>
              </w:rPr>
              <w:t>( 25.0)</w:t>
            </w:r>
            <w:r>
              <w:rPr>
                <w:spacing w:val="5"/>
                <w:sz w:val="17"/>
                <w:szCs w:val="17"/>
              </w:rPr>
              <w:t xml:space="preserve">   </w:t>
            </w:r>
            <w:r>
              <w:rPr>
                <w:spacing w:val="-5"/>
                <w:sz w:val="17"/>
                <w:szCs w:val="17"/>
              </w:rPr>
              <w:t>12</w:t>
            </w:r>
          </w:p>
        </w:tc>
        <w:tc>
          <w:tcPr>
            <w:tcW w:w="1405" w:type="pct"/>
            <w:vAlign w:val="center"/>
          </w:tcPr>
          <w:p>
            <w:pPr>
              <w:spacing w:before="50"/>
              <w:jc w:val="center"/>
              <w:rPr>
                <w:sz w:val="17"/>
                <w:szCs w:val="17"/>
              </w:rPr>
            </w:pPr>
            <w:r>
              <w:rPr>
                <w:spacing w:val="-3"/>
                <w:sz w:val="17"/>
                <w:szCs w:val="17"/>
              </w:rPr>
              <w:t>6</w:t>
            </w:r>
            <w:r>
              <w:rPr>
                <w:spacing w:val="2"/>
                <w:sz w:val="17"/>
                <w:szCs w:val="17"/>
              </w:rPr>
              <w:t xml:space="preserve">   </w:t>
            </w:r>
            <w:r>
              <w:rPr>
                <w:spacing w:val="-3"/>
                <w:sz w:val="17"/>
                <w:szCs w:val="17"/>
              </w:rPr>
              <w:t>( 25.0)</w:t>
            </w:r>
            <w:r>
              <w:rPr>
                <w:spacing w:val="4"/>
                <w:sz w:val="17"/>
                <w:szCs w:val="17"/>
              </w:rPr>
              <w:t xml:space="preserve">   </w:t>
            </w:r>
            <w:r>
              <w:rPr>
                <w:spacing w:val="-3"/>
                <w:sz w:val="17"/>
                <w:szCs w:val="17"/>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3"/>
              <w:jc w:val="center"/>
              <w:rPr>
                <w:rFonts w:ascii="Times New Roman" w:hAnsi="Times New Roman"/>
                <w:sz w:val="17"/>
                <w:szCs w:val="17"/>
              </w:rPr>
            </w:pPr>
            <w:r>
              <w:rPr>
                <w:rFonts w:ascii="Times New Roman" w:hAnsi="Times New Roman"/>
                <w:spacing w:val="-6"/>
                <w:sz w:val="17"/>
                <w:szCs w:val="17"/>
              </w:rPr>
              <w:t>Elevated white blood cell count</w:t>
            </w:r>
          </w:p>
        </w:tc>
        <w:tc>
          <w:tcPr>
            <w:tcW w:w="1546" w:type="pct"/>
            <w:vAlign w:val="center"/>
          </w:tcPr>
          <w:p>
            <w:pPr>
              <w:spacing w:before="51"/>
              <w:jc w:val="center"/>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pacing w:val="1"/>
                <w:sz w:val="17"/>
                <w:szCs w:val="17"/>
              </w:rPr>
              <w:t xml:space="preserve">    </w:t>
            </w:r>
            <w:r>
              <w:rPr>
                <w:spacing w:val="-4"/>
                <w:sz w:val="17"/>
                <w:szCs w:val="17"/>
              </w:rPr>
              <w:t>2</w:t>
            </w:r>
          </w:p>
        </w:tc>
        <w:tc>
          <w:tcPr>
            <w:tcW w:w="1405" w:type="pct"/>
            <w:vAlign w:val="center"/>
          </w:tcPr>
          <w:p>
            <w:pPr>
              <w:spacing w:before="51"/>
              <w:ind w:firstLine="810" w:firstLineChars="500"/>
              <w:jc w:val="both"/>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z w:val="17"/>
                <w:szCs w:val="17"/>
              </w:rPr>
              <w:t xml:space="preserve">    </w:t>
            </w:r>
            <w:r>
              <w:rPr>
                <w:spacing w:val="-4"/>
                <w:sz w:val="17"/>
                <w:szCs w:val="17"/>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4"/>
              <w:jc w:val="center"/>
              <w:rPr>
                <w:rFonts w:ascii="Times New Roman" w:hAnsi="Times New Roman"/>
                <w:sz w:val="17"/>
                <w:szCs w:val="17"/>
              </w:rPr>
            </w:pPr>
            <w:bookmarkStart w:id="4" w:name="OLE_LINK5"/>
            <w:r>
              <w:rPr>
                <w:rFonts w:ascii="Times New Roman" w:hAnsi="Times New Roman"/>
                <w:spacing w:val="14"/>
                <w:sz w:val="17"/>
                <w:szCs w:val="17"/>
              </w:rPr>
              <w:t>First</w:t>
            </w:r>
            <w:bookmarkEnd w:id="4"/>
            <w:r>
              <w:rPr>
                <w:rFonts w:ascii="Times New Roman" w:hAnsi="Times New Roman"/>
                <w:spacing w:val="14"/>
                <w:sz w:val="17"/>
                <w:szCs w:val="17"/>
              </w:rPr>
              <w:t xml:space="preserve"> grade</w:t>
            </w:r>
          </w:p>
        </w:tc>
        <w:tc>
          <w:tcPr>
            <w:tcW w:w="1546" w:type="pct"/>
            <w:vAlign w:val="center"/>
          </w:tcPr>
          <w:p>
            <w:pPr>
              <w:spacing w:before="53"/>
              <w:jc w:val="center"/>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pacing w:val="1"/>
                <w:sz w:val="17"/>
                <w:szCs w:val="17"/>
              </w:rPr>
              <w:t xml:space="preserve">    </w:t>
            </w:r>
            <w:r>
              <w:rPr>
                <w:spacing w:val="-4"/>
                <w:sz w:val="17"/>
                <w:szCs w:val="17"/>
              </w:rPr>
              <w:t>2</w:t>
            </w:r>
          </w:p>
        </w:tc>
        <w:tc>
          <w:tcPr>
            <w:tcW w:w="1405" w:type="pct"/>
            <w:vAlign w:val="center"/>
          </w:tcPr>
          <w:p>
            <w:pPr>
              <w:spacing w:before="53"/>
              <w:ind w:firstLine="810" w:firstLineChars="500"/>
              <w:jc w:val="both"/>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z w:val="17"/>
                <w:szCs w:val="17"/>
              </w:rPr>
              <w:t xml:space="preserve">    </w:t>
            </w:r>
            <w:r>
              <w:rPr>
                <w:spacing w:val="-4"/>
                <w:sz w:val="17"/>
                <w:szCs w:val="17"/>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2"/>
              <w:jc w:val="center"/>
              <w:rPr>
                <w:rFonts w:ascii="Times New Roman" w:hAnsi="Times New Roman"/>
                <w:sz w:val="17"/>
                <w:szCs w:val="17"/>
              </w:rPr>
            </w:pPr>
            <w:r>
              <w:rPr>
                <w:rFonts w:ascii="Times New Roman" w:hAnsi="Times New Roman"/>
                <w:sz w:val="17"/>
                <w:szCs w:val="17"/>
              </w:rPr>
              <w:t>Hypohemoglobin</w:t>
            </w:r>
          </w:p>
        </w:tc>
        <w:tc>
          <w:tcPr>
            <w:tcW w:w="1546" w:type="pct"/>
            <w:vAlign w:val="center"/>
          </w:tcPr>
          <w:p>
            <w:pPr>
              <w:spacing w:before="51"/>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4"/>
                <w:sz w:val="17"/>
                <w:szCs w:val="17"/>
              </w:rPr>
              <w:t xml:space="preserve">    </w:t>
            </w:r>
            <w:r>
              <w:rPr>
                <w:spacing w:val="-6"/>
                <w:sz w:val="17"/>
                <w:szCs w:val="17"/>
              </w:rPr>
              <w:t>1</w:t>
            </w:r>
          </w:p>
        </w:tc>
        <w:tc>
          <w:tcPr>
            <w:tcW w:w="1405" w:type="pct"/>
            <w:vAlign w:val="center"/>
          </w:tcPr>
          <w:p>
            <w:pPr>
              <w:spacing w:before="51"/>
              <w:ind w:firstLine="810" w:firstLineChars="500"/>
              <w:jc w:val="both"/>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z w:val="17"/>
                <w:szCs w:val="17"/>
              </w:rPr>
              <w:t xml:space="preserve">    </w:t>
            </w:r>
            <w:r>
              <w:rPr>
                <w:spacing w:val="-4"/>
                <w:sz w:val="17"/>
                <w:szCs w:val="17"/>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4"/>
              <w:jc w:val="center"/>
              <w:rPr>
                <w:rFonts w:ascii="Times New Roman" w:hAnsi="Times New Roman"/>
                <w:sz w:val="17"/>
                <w:szCs w:val="17"/>
              </w:rPr>
            </w:pPr>
            <w:bookmarkStart w:id="5" w:name="OLE_LINK6"/>
            <w:r>
              <w:rPr>
                <w:rFonts w:ascii="Times New Roman" w:hAnsi="Times New Roman"/>
                <w:spacing w:val="14"/>
                <w:sz w:val="17"/>
                <w:szCs w:val="17"/>
              </w:rPr>
              <w:t>First</w:t>
            </w:r>
            <w:bookmarkEnd w:id="5"/>
            <w:r>
              <w:rPr>
                <w:rFonts w:ascii="Times New Roman" w:hAnsi="Times New Roman"/>
                <w:spacing w:val="14"/>
                <w:sz w:val="17"/>
                <w:szCs w:val="17"/>
              </w:rPr>
              <w:t xml:space="preserve"> grade</w:t>
            </w:r>
          </w:p>
        </w:tc>
        <w:tc>
          <w:tcPr>
            <w:tcW w:w="1546" w:type="pct"/>
            <w:vAlign w:val="center"/>
          </w:tcPr>
          <w:p>
            <w:pPr>
              <w:spacing w:before="52"/>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4"/>
                <w:sz w:val="17"/>
                <w:szCs w:val="17"/>
              </w:rPr>
              <w:t xml:space="preserve">    </w:t>
            </w:r>
            <w:r>
              <w:rPr>
                <w:spacing w:val="-6"/>
                <w:sz w:val="17"/>
                <w:szCs w:val="17"/>
              </w:rPr>
              <w:t>1</w:t>
            </w:r>
          </w:p>
        </w:tc>
        <w:tc>
          <w:tcPr>
            <w:tcW w:w="1405" w:type="pct"/>
            <w:vAlign w:val="center"/>
          </w:tcPr>
          <w:p>
            <w:pPr>
              <w:spacing w:before="52"/>
              <w:ind w:firstLine="810" w:firstLineChars="500"/>
              <w:jc w:val="both"/>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z w:val="17"/>
                <w:szCs w:val="17"/>
              </w:rPr>
              <w:t xml:space="preserve">    </w:t>
            </w:r>
            <w:r>
              <w:rPr>
                <w:spacing w:val="-4"/>
                <w:sz w:val="17"/>
                <w:szCs w:val="17"/>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5"/>
              <w:jc w:val="center"/>
              <w:rPr>
                <w:rFonts w:ascii="Times New Roman" w:hAnsi="Times New Roman"/>
                <w:sz w:val="17"/>
                <w:szCs w:val="17"/>
              </w:rPr>
            </w:pPr>
            <w:r>
              <w:rPr>
                <w:rFonts w:ascii="Times New Roman" w:hAnsi="Times New Roman"/>
                <w:spacing w:val="-3"/>
                <w:sz w:val="17"/>
                <w:szCs w:val="17"/>
              </w:rPr>
              <w:t>Systolic blood pressure rises</w:t>
            </w:r>
          </w:p>
        </w:tc>
        <w:tc>
          <w:tcPr>
            <w:tcW w:w="1546" w:type="pct"/>
            <w:vAlign w:val="center"/>
          </w:tcPr>
          <w:p>
            <w:pPr>
              <w:spacing w:before="55"/>
              <w:jc w:val="center"/>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pacing w:val="1"/>
                <w:sz w:val="17"/>
                <w:szCs w:val="17"/>
              </w:rPr>
              <w:t xml:space="preserve">    </w:t>
            </w:r>
            <w:r>
              <w:rPr>
                <w:spacing w:val="-4"/>
                <w:sz w:val="17"/>
                <w:szCs w:val="17"/>
              </w:rPr>
              <w:t>5</w:t>
            </w:r>
          </w:p>
        </w:tc>
        <w:tc>
          <w:tcPr>
            <w:tcW w:w="1405" w:type="pct"/>
            <w:vAlign w:val="center"/>
          </w:tcPr>
          <w:p>
            <w:pPr>
              <w:spacing w:before="55"/>
              <w:ind w:firstLine="790" w:firstLineChars="500"/>
              <w:jc w:val="both"/>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1"/>
                <w:sz w:val="17"/>
                <w:szCs w:val="17"/>
              </w:rPr>
              <w:t xml:space="preserve">    </w:t>
            </w:r>
            <w:r>
              <w:rPr>
                <w:spacing w:val="-6"/>
                <w:sz w:val="17"/>
                <w:szCs w:val="17"/>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2"/>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2"/>
              <w:jc w:val="center"/>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pacing w:val="1"/>
                <w:sz w:val="17"/>
                <w:szCs w:val="17"/>
              </w:rPr>
              <w:t xml:space="preserve">    </w:t>
            </w:r>
            <w:r>
              <w:rPr>
                <w:spacing w:val="-4"/>
                <w:sz w:val="17"/>
                <w:szCs w:val="17"/>
              </w:rPr>
              <w:t>5</w:t>
            </w:r>
          </w:p>
        </w:tc>
        <w:tc>
          <w:tcPr>
            <w:tcW w:w="1405" w:type="pct"/>
            <w:vAlign w:val="center"/>
          </w:tcPr>
          <w:p>
            <w:pPr>
              <w:spacing w:before="52"/>
              <w:ind w:firstLine="790" w:firstLineChars="500"/>
              <w:jc w:val="both"/>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1"/>
                <w:sz w:val="17"/>
                <w:szCs w:val="17"/>
              </w:rPr>
              <w:t xml:space="preserve">    </w:t>
            </w:r>
            <w:r>
              <w:rPr>
                <w:spacing w:val="-6"/>
                <w:sz w:val="17"/>
                <w:szCs w:val="17"/>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5"/>
              <w:jc w:val="center"/>
              <w:rPr>
                <w:rFonts w:ascii="Times New Roman" w:hAnsi="Times New Roman"/>
                <w:sz w:val="17"/>
                <w:szCs w:val="17"/>
              </w:rPr>
            </w:pPr>
            <w:r>
              <w:rPr>
                <w:rFonts w:ascii="Times New Roman" w:hAnsi="Times New Roman"/>
                <w:sz w:val="17"/>
                <w:szCs w:val="17"/>
              </w:rPr>
              <w:t>Hypokalemia</w:t>
            </w:r>
          </w:p>
        </w:tc>
        <w:tc>
          <w:tcPr>
            <w:tcW w:w="1546" w:type="pct"/>
            <w:vAlign w:val="center"/>
          </w:tcPr>
          <w:p>
            <w:pPr>
              <w:spacing w:before="55"/>
              <w:jc w:val="center"/>
              <w:rPr>
                <w:sz w:val="17"/>
                <w:szCs w:val="17"/>
              </w:rPr>
            </w:pPr>
            <w:r>
              <w:rPr>
                <w:sz w:val="17"/>
                <w:szCs w:val="17"/>
              </w:rPr>
              <w:t>0</w:t>
            </w:r>
          </w:p>
        </w:tc>
        <w:tc>
          <w:tcPr>
            <w:tcW w:w="1405" w:type="pct"/>
            <w:vAlign w:val="center"/>
          </w:tcPr>
          <w:p>
            <w:pPr>
              <w:spacing w:before="52"/>
              <w:ind w:firstLine="810" w:firstLineChars="500"/>
              <w:jc w:val="both"/>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z w:val="17"/>
                <w:szCs w:val="17"/>
              </w:rPr>
              <w:t xml:space="preserve">    </w:t>
            </w:r>
            <w:r>
              <w:rPr>
                <w:spacing w:val="-4"/>
                <w:sz w:val="17"/>
                <w:szCs w:val="17"/>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5"/>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8"/>
              <w:jc w:val="center"/>
              <w:rPr>
                <w:sz w:val="17"/>
                <w:szCs w:val="17"/>
              </w:rPr>
            </w:pPr>
            <w:r>
              <w:rPr>
                <w:sz w:val="17"/>
                <w:szCs w:val="17"/>
              </w:rPr>
              <w:t>0</w:t>
            </w:r>
          </w:p>
        </w:tc>
        <w:tc>
          <w:tcPr>
            <w:tcW w:w="1405" w:type="pct"/>
            <w:vAlign w:val="center"/>
          </w:tcPr>
          <w:p>
            <w:pPr>
              <w:spacing w:before="55"/>
              <w:ind w:firstLine="810" w:firstLineChars="500"/>
              <w:jc w:val="both"/>
              <w:rPr>
                <w:sz w:val="17"/>
                <w:szCs w:val="17"/>
              </w:rPr>
            </w:pPr>
            <w:r>
              <w:rPr>
                <w:spacing w:val="-4"/>
                <w:sz w:val="17"/>
                <w:szCs w:val="17"/>
              </w:rPr>
              <w:t>2</w:t>
            </w:r>
            <w:r>
              <w:rPr>
                <w:spacing w:val="2"/>
                <w:sz w:val="17"/>
                <w:szCs w:val="17"/>
              </w:rPr>
              <w:t xml:space="preserve">   </w:t>
            </w:r>
            <w:r>
              <w:rPr>
                <w:spacing w:val="-4"/>
                <w:sz w:val="17"/>
                <w:szCs w:val="17"/>
              </w:rPr>
              <w:t>(</w:t>
            </w:r>
            <w:r>
              <w:rPr>
                <w:spacing w:val="7"/>
                <w:sz w:val="17"/>
                <w:szCs w:val="17"/>
              </w:rPr>
              <w:t xml:space="preserve"> </w:t>
            </w:r>
            <w:r>
              <w:rPr>
                <w:spacing w:val="-4"/>
                <w:sz w:val="17"/>
                <w:szCs w:val="17"/>
              </w:rPr>
              <w:t>8.3)</w:t>
            </w:r>
            <w:r>
              <w:rPr>
                <w:sz w:val="17"/>
                <w:szCs w:val="17"/>
              </w:rPr>
              <w:t xml:space="preserve">    </w:t>
            </w:r>
            <w:r>
              <w:rPr>
                <w:spacing w:val="-4"/>
                <w:sz w:val="17"/>
                <w:szCs w:val="17"/>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3"/>
              <w:jc w:val="center"/>
              <w:rPr>
                <w:rFonts w:ascii="Times New Roman" w:hAnsi="Times New Roman"/>
                <w:sz w:val="17"/>
                <w:szCs w:val="17"/>
              </w:rPr>
            </w:pPr>
            <w:r>
              <w:rPr>
                <w:rFonts w:ascii="Times New Roman" w:hAnsi="Times New Roman"/>
                <w:spacing w:val="-1"/>
                <w:sz w:val="17"/>
                <w:szCs w:val="17"/>
              </w:rPr>
              <w:t>Alanine aminotransferase was elevated</w:t>
            </w:r>
          </w:p>
        </w:tc>
        <w:tc>
          <w:tcPr>
            <w:tcW w:w="1546" w:type="pct"/>
            <w:vAlign w:val="center"/>
          </w:tcPr>
          <w:p>
            <w:pPr>
              <w:spacing w:before="102"/>
              <w:jc w:val="center"/>
              <w:rPr>
                <w:sz w:val="17"/>
                <w:szCs w:val="17"/>
              </w:rPr>
            </w:pPr>
            <w:r>
              <w:rPr>
                <w:sz w:val="17"/>
                <w:szCs w:val="17"/>
              </w:rPr>
              <w:t>0</w:t>
            </w:r>
          </w:p>
        </w:tc>
        <w:tc>
          <w:tcPr>
            <w:tcW w:w="1405" w:type="pct"/>
            <w:vAlign w:val="center"/>
          </w:tcPr>
          <w:p>
            <w:pPr>
              <w:spacing w:before="99"/>
              <w:ind w:firstLine="790" w:firstLineChars="500"/>
              <w:jc w:val="both"/>
              <w:rPr>
                <w:sz w:val="17"/>
                <w:szCs w:val="17"/>
              </w:rPr>
            </w:pPr>
            <w:r>
              <w:rPr>
                <w:spacing w:val="-6"/>
                <w:sz w:val="17"/>
                <w:szCs w:val="17"/>
              </w:rPr>
              <w:t>1</w:t>
            </w:r>
            <w:r>
              <w:rPr>
                <w:spacing w:val="2"/>
                <w:sz w:val="17"/>
                <w:szCs w:val="17"/>
              </w:rPr>
              <w:t xml:space="preserve">   </w:t>
            </w:r>
            <w:r>
              <w:rPr>
                <w:rFonts w:hint="eastAsia" w:eastAsia="宋体"/>
                <w:spacing w:val="2"/>
                <w:sz w:val="17"/>
                <w:szCs w:val="17"/>
                <w:lang w:val="en-US" w:eastAsia="zh-CN"/>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6"/>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6"/>
              <w:jc w:val="center"/>
              <w:rPr>
                <w:sz w:val="17"/>
                <w:szCs w:val="17"/>
              </w:rPr>
            </w:pPr>
            <w:r>
              <w:rPr>
                <w:sz w:val="17"/>
                <w:szCs w:val="17"/>
              </w:rPr>
              <w:t>0</w:t>
            </w:r>
          </w:p>
        </w:tc>
        <w:tc>
          <w:tcPr>
            <w:tcW w:w="1405" w:type="pct"/>
            <w:vAlign w:val="center"/>
          </w:tcPr>
          <w:p>
            <w:pPr>
              <w:spacing w:before="53"/>
              <w:ind w:firstLine="790" w:firstLineChars="500"/>
              <w:jc w:val="both"/>
              <w:rPr>
                <w:sz w:val="17"/>
                <w:szCs w:val="17"/>
              </w:rPr>
            </w:pPr>
            <w:r>
              <w:rPr>
                <w:spacing w:val="-6"/>
                <w:sz w:val="17"/>
                <w:szCs w:val="17"/>
              </w:rPr>
              <w:t>1</w:t>
            </w:r>
            <w:r>
              <w:rPr>
                <w:spacing w:val="2"/>
                <w:sz w:val="17"/>
                <w:szCs w:val="17"/>
              </w:rPr>
              <w:t xml:space="preserve"> </w:t>
            </w:r>
            <w:r>
              <w:rPr>
                <w:rFonts w:hint="eastAsia" w:eastAsia="宋体"/>
                <w:spacing w:val="2"/>
                <w:sz w:val="17"/>
                <w:szCs w:val="17"/>
                <w:lang w:val="en-US" w:eastAsia="zh-CN"/>
              </w:rPr>
              <w:t xml:space="preserve"> </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7"/>
              <w:jc w:val="center"/>
              <w:rPr>
                <w:rFonts w:ascii="Times New Roman" w:hAnsi="Times New Roman"/>
                <w:sz w:val="17"/>
                <w:szCs w:val="17"/>
              </w:rPr>
            </w:pPr>
            <w:r>
              <w:rPr>
                <w:rFonts w:ascii="Times New Roman" w:hAnsi="Times New Roman"/>
                <w:spacing w:val="-1"/>
                <w:sz w:val="17"/>
                <w:szCs w:val="17"/>
              </w:rPr>
              <w:t>Urine leukocyte positive</w:t>
            </w:r>
          </w:p>
        </w:tc>
        <w:tc>
          <w:tcPr>
            <w:tcW w:w="1546" w:type="pct"/>
            <w:vAlign w:val="center"/>
          </w:tcPr>
          <w:p>
            <w:pPr>
              <w:spacing w:before="56"/>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4"/>
                <w:sz w:val="17"/>
                <w:szCs w:val="17"/>
              </w:rPr>
              <w:t xml:space="preserve">    </w:t>
            </w:r>
            <w:r>
              <w:rPr>
                <w:spacing w:val="-6"/>
                <w:sz w:val="17"/>
                <w:szCs w:val="17"/>
              </w:rPr>
              <w:t>1</w:t>
            </w:r>
          </w:p>
        </w:tc>
        <w:tc>
          <w:tcPr>
            <w:tcW w:w="1405" w:type="pct"/>
            <w:vAlign w:val="center"/>
          </w:tcPr>
          <w:p>
            <w:pPr>
              <w:spacing w:before="59"/>
              <w:jc w:val="center"/>
              <w:rPr>
                <w:sz w:val="17"/>
                <w:szCs w:val="17"/>
              </w:rPr>
            </w:pPr>
            <w:r>
              <w:rPr>
                <w:sz w:val="17"/>
                <w:szCs w:val="17"/>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4"/>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4"/>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4"/>
                <w:sz w:val="17"/>
                <w:szCs w:val="17"/>
              </w:rPr>
              <w:t xml:space="preserve">    </w:t>
            </w:r>
            <w:r>
              <w:rPr>
                <w:spacing w:val="-6"/>
                <w:sz w:val="17"/>
                <w:szCs w:val="17"/>
              </w:rPr>
              <w:t>1</w:t>
            </w:r>
          </w:p>
        </w:tc>
        <w:tc>
          <w:tcPr>
            <w:tcW w:w="1405" w:type="pct"/>
            <w:vAlign w:val="center"/>
          </w:tcPr>
          <w:p>
            <w:pPr>
              <w:spacing w:before="57"/>
              <w:jc w:val="center"/>
              <w:rPr>
                <w:sz w:val="17"/>
                <w:szCs w:val="17"/>
              </w:rPr>
            </w:pPr>
            <w:r>
              <w:rPr>
                <w:sz w:val="17"/>
                <w:szCs w:val="17"/>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7"/>
              <w:jc w:val="center"/>
              <w:rPr>
                <w:rFonts w:ascii="Times New Roman" w:hAnsi="Times New Roman"/>
                <w:sz w:val="17"/>
                <w:szCs w:val="17"/>
              </w:rPr>
            </w:pPr>
            <w:r>
              <w:rPr>
                <w:rFonts w:ascii="Times New Roman" w:hAnsi="Times New Roman"/>
                <w:spacing w:val="-2"/>
                <w:sz w:val="17"/>
                <w:szCs w:val="17"/>
              </w:rPr>
              <w:t>Diastolic blood pressure increased</w:t>
            </w:r>
          </w:p>
        </w:tc>
        <w:tc>
          <w:tcPr>
            <w:tcW w:w="1546" w:type="pct"/>
            <w:vAlign w:val="center"/>
          </w:tcPr>
          <w:p>
            <w:pPr>
              <w:spacing w:before="58"/>
              <w:jc w:val="center"/>
              <w:rPr>
                <w:sz w:val="17"/>
                <w:szCs w:val="17"/>
              </w:rPr>
            </w:pPr>
            <w:r>
              <w:rPr>
                <w:sz w:val="17"/>
                <w:szCs w:val="17"/>
              </w:rPr>
              <w:t>0</w:t>
            </w:r>
          </w:p>
        </w:tc>
        <w:tc>
          <w:tcPr>
            <w:tcW w:w="1405" w:type="pct"/>
            <w:vAlign w:val="center"/>
          </w:tcPr>
          <w:p>
            <w:pPr>
              <w:spacing w:before="55"/>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8"/>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60"/>
              <w:jc w:val="center"/>
              <w:rPr>
                <w:sz w:val="17"/>
                <w:szCs w:val="17"/>
              </w:rPr>
            </w:pPr>
            <w:r>
              <w:rPr>
                <w:sz w:val="17"/>
                <w:szCs w:val="17"/>
              </w:rPr>
              <w:t>0</w:t>
            </w:r>
          </w:p>
        </w:tc>
        <w:tc>
          <w:tcPr>
            <w:tcW w:w="1405" w:type="pct"/>
            <w:vAlign w:val="center"/>
          </w:tcPr>
          <w:p>
            <w:pPr>
              <w:spacing w:before="57"/>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5"/>
              <w:jc w:val="center"/>
              <w:rPr>
                <w:rFonts w:ascii="Times New Roman" w:hAnsi="Times New Roman"/>
                <w:sz w:val="17"/>
                <w:szCs w:val="17"/>
              </w:rPr>
            </w:pPr>
            <w:r>
              <w:rPr>
                <w:rFonts w:ascii="Times New Roman" w:hAnsi="Times New Roman"/>
                <w:sz w:val="17"/>
                <w:szCs w:val="17"/>
              </w:rPr>
              <w:t>Elevated heart rate</w:t>
            </w:r>
          </w:p>
        </w:tc>
        <w:tc>
          <w:tcPr>
            <w:tcW w:w="1546" w:type="pct"/>
            <w:vAlign w:val="center"/>
          </w:tcPr>
          <w:p>
            <w:pPr>
              <w:spacing w:before="54"/>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z w:val="17"/>
                <w:szCs w:val="17"/>
              </w:rPr>
              <w:t xml:space="preserve">    </w:t>
            </w:r>
            <w:r>
              <w:rPr>
                <w:spacing w:val="-6"/>
                <w:sz w:val="17"/>
                <w:szCs w:val="17"/>
              </w:rPr>
              <w:t>2</w:t>
            </w:r>
          </w:p>
        </w:tc>
        <w:tc>
          <w:tcPr>
            <w:tcW w:w="1405" w:type="pct"/>
            <w:vAlign w:val="center"/>
          </w:tcPr>
          <w:p>
            <w:pPr>
              <w:spacing w:before="54"/>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1"/>
                <w:sz w:val="17"/>
                <w:szCs w:val="17"/>
              </w:rPr>
              <w:t xml:space="preserve">    </w:t>
            </w:r>
            <w:r>
              <w:rPr>
                <w:spacing w:val="-6"/>
                <w:sz w:val="17"/>
                <w:szCs w:val="17"/>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7"/>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5"/>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z w:val="17"/>
                <w:szCs w:val="17"/>
              </w:rPr>
              <w:t xml:space="preserve">    </w:t>
            </w:r>
            <w:r>
              <w:rPr>
                <w:spacing w:val="-6"/>
                <w:sz w:val="17"/>
                <w:szCs w:val="17"/>
              </w:rPr>
              <w:t>2</w:t>
            </w:r>
          </w:p>
        </w:tc>
        <w:tc>
          <w:tcPr>
            <w:tcW w:w="1405" w:type="pct"/>
            <w:vAlign w:val="center"/>
          </w:tcPr>
          <w:p>
            <w:pPr>
              <w:spacing w:before="55"/>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1"/>
                <w:sz w:val="17"/>
                <w:szCs w:val="17"/>
              </w:rPr>
              <w:t xml:space="preserve">    </w:t>
            </w:r>
            <w:r>
              <w:rPr>
                <w:spacing w:val="-6"/>
                <w:sz w:val="17"/>
                <w:szCs w:val="17"/>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7"/>
              <w:jc w:val="center"/>
              <w:rPr>
                <w:rFonts w:ascii="Times New Roman" w:hAnsi="Times New Roman"/>
                <w:sz w:val="17"/>
                <w:szCs w:val="17"/>
              </w:rPr>
            </w:pPr>
            <w:r>
              <w:rPr>
                <w:rFonts w:ascii="Times New Roman" w:hAnsi="Times New Roman"/>
                <w:sz w:val="17"/>
                <w:szCs w:val="17"/>
              </w:rPr>
              <w:t>Elevated blood cholesterol</w:t>
            </w:r>
          </w:p>
        </w:tc>
        <w:tc>
          <w:tcPr>
            <w:tcW w:w="1546" w:type="pct"/>
            <w:vAlign w:val="center"/>
          </w:tcPr>
          <w:p>
            <w:pPr>
              <w:spacing w:before="60"/>
              <w:jc w:val="center"/>
              <w:rPr>
                <w:sz w:val="17"/>
                <w:szCs w:val="17"/>
              </w:rPr>
            </w:pPr>
            <w:r>
              <w:rPr>
                <w:sz w:val="17"/>
                <w:szCs w:val="17"/>
              </w:rPr>
              <w:t>0</w:t>
            </w:r>
          </w:p>
        </w:tc>
        <w:tc>
          <w:tcPr>
            <w:tcW w:w="1405" w:type="pct"/>
            <w:vAlign w:val="center"/>
          </w:tcPr>
          <w:p>
            <w:pPr>
              <w:spacing w:before="57"/>
              <w:jc w:val="center"/>
              <w:rPr>
                <w:sz w:val="17"/>
                <w:szCs w:val="17"/>
              </w:rPr>
            </w:pPr>
            <w:r>
              <w:rPr>
                <w:spacing w:val="-6"/>
                <w:sz w:val="17"/>
                <w:szCs w:val="17"/>
              </w:rPr>
              <w:t>1    ( 4.2)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6"/>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9"/>
              <w:jc w:val="center"/>
              <w:rPr>
                <w:sz w:val="17"/>
                <w:szCs w:val="17"/>
              </w:rPr>
            </w:pPr>
            <w:r>
              <w:rPr>
                <w:sz w:val="17"/>
                <w:szCs w:val="17"/>
              </w:rPr>
              <w:t>0</w:t>
            </w:r>
          </w:p>
        </w:tc>
        <w:tc>
          <w:tcPr>
            <w:tcW w:w="1405" w:type="pct"/>
            <w:vAlign w:val="center"/>
          </w:tcPr>
          <w:p>
            <w:pPr>
              <w:spacing w:before="57"/>
              <w:jc w:val="center"/>
              <w:rPr>
                <w:spacing w:val="-6"/>
                <w:sz w:val="17"/>
                <w:szCs w:val="17"/>
              </w:rPr>
            </w:pPr>
            <w:r>
              <w:rPr>
                <w:spacing w:val="-6"/>
                <w:sz w:val="17"/>
                <w:szCs w:val="17"/>
              </w:rPr>
              <w:t>1    ( 4.2)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8"/>
              <w:jc w:val="center"/>
              <w:rPr>
                <w:rFonts w:ascii="Times New Roman" w:hAnsi="Times New Roman"/>
                <w:sz w:val="17"/>
                <w:szCs w:val="17"/>
              </w:rPr>
            </w:pPr>
            <w:r>
              <w:rPr>
                <w:rFonts w:ascii="Times New Roman" w:hAnsi="Times New Roman"/>
                <w:spacing w:val="-2"/>
                <w:sz w:val="17"/>
                <w:szCs w:val="17"/>
              </w:rPr>
              <w:t>Elevated blood triglycerides</w:t>
            </w:r>
          </w:p>
        </w:tc>
        <w:tc>
          <w:tcPr>
            <w:tcW w:w="1546" w:type="pct"/>
            <w:vAlign w:val="center"/>
          </w:tcPr>
          <w:p>
            <w:pPr>
              <w:spacing w:before="56"/>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c>
          <w:tcPr>
            <w:tcW w:w="1405" w:type="pct"/>
            <w:vAlign w:val="center"/>
          </w:tcPr>
          <w:p>
            <w:pPr>
              <w:spacing w:before="59"/>
              <w:jc w:val="center"/>
              <w:rPr>
                <w:sz w:val="17"/>
                <w:szCs w:val="17"/>
              </w:rPr>
            </w:pPr>
            <w:r>
              <w:rPr>
                <w:sz w:val="17"/>
                <w:szCs w:val="17"/>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9"/>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8"/>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c>
          <w:tcPr>
            <w:tcW w:w="1405" w:type="pct"/>
            <w:vAlign w:val="center"/>
          </w:tcPr>
          <w:p>
            <w:pPr>
              <w:spacing w:before="61"/>
              <w:jc w:val="center"/>
              <w:rPr>
                <w:sz w:val="17"/>
                <w:szCs w:val="17"/>
              </w:rPr>
            </w:pPr>
            <w:r>
              <w:rPr>
                <w:sz w:val="17"/>
                <w:szCs w:val="17"/>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6"/>
              <w:jc w:val="center"/>
              <w:rPr>
                <w:rFonts w:ascii="Times New Roman" w:hAnsi="Times New Roman"/>
                <w:sz w:val="17"/>
                <w:szCs w:val="17"/>
              </w:rPr>
            </w:pPr>
            <w:r>
              <w:rPr>
                <w:rFonts w:ascii="Times New Roman" w:hAnsi="Times New Roman"/>
                <w:spacing w:val="-2"/>
                <w:sz w:val="17"/>
                <w:szCs w:val="17"/>
              </w:rPr>
              <w:t>Hyperuricemia</w:t>
            </w:r>
          </w:p>
        </w:tc>
        <w:tc>
          <w:tcPr>
            <w:tcW w:w="1546" w:type="pct"/>
            <w:vAlign w:val="center"/>
          </w:tcPr>
          <w:p>
            <w:pPr>
              <w:spacing w:before="59"/>
              <w:jc w:val="center"/>
              <w:rPr>
                <w:sz w:val="17"/>
                <w:szCs w:val="17"/>
              </w:rPr>
            </w:pPr>
            <w:r>
              <w:rPr>
                <w:sz w:val="17"/>
                <w:szCs w:val="17"/>
              </w:rPr>
              <w:t>0</w:t>
            </w:r>
          </w:p>
        </w:tc>
        <w:tc>
          <w:tcPr>
            <w:tcW w:w="1405" w:type="pct"/>
            <w:vAlign w:val="center"/>
          </w:tcPr>
          <w:p>
            <w:pPr>
              <w:spacing w:before="56"/>
              <w:jc w:val="center"/>
              <w:rPr>
                <w:sz w:val="17"/>
                <w:szCs w:val="17"/>
              </w:rPr>
            </w:pPr>
            <w:r>
              <w:rPr>
                <w:spacing w:val="-6"/>
                <w:sz w:val="17"/>
                <w:szCs w:val="17"/>
              </w:rPr>
              <w:t>1</w:t>
            </w:r>
            <w:r>
              <w:rPr>
                <w:spacing w:val="2"/>
                <w:sz w:val="17"/>
                <w:szCs w:val="17"/>
              </w:rPr>
              <w:t xml:space="preserve">   </w:t>
            </w:r>
            <w:r>
              <w:rPr>
                <w:spacing w:val="-6"/>
                <w:sz w:val="17"/>
                <w:szCs w:val="17"/>
              </w:rPr>
              <w:t>( 4.2)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8"/>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8"/>
              <w:jc w:val="center"/>
              <w:rPr>
                <w:sz w:val="17"/>
                <w:szCs w:val="17"/>
              </w:rPr>
            </w:pPr>
            <w:r>
              <w:rPr>
                <w:sz w:val="17"/>
                <w:szCs w:val="17"/>
              </w:rPr>
              <w:t>0</w:t>
            </w:r>
          </w:p>
        </w:tc>
        <w:tc>
          <w:tcPr>
            <w:tcW w:w="1405" w:type="pct"/>
            <w:vAlign w:val="center"/>
          </w:tcPr>
          <w:p>
            <w:pPr>
              <w:spacing w:before="55"/>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8"/>
              <w:jc w:val="center"/>
              <w:rPr>
                <w:rFonts w:ascii="Times New Roman" w:hAnsi="Times New Roman"/>
                <w:sz w:val="17"/>
                <w:szCs w:val="17"/>
              </w:rPr>
            </w:pPr>
            <w:r>
              <w:rPr>
                <w:rFonts w:ascii="Times New Roman" w:hAnsi="Times New Roman"/>
                <w:spacing w:val="-2"/>
                <w:sz w:val="17"/>
                <w:szCs w:val="17"/>
              </w:rPr>
              <w:t>Elevated platelet count</w:t>
            </w:r>
          </w:p>
        </w:tc>
        <w:tc>
          <w:tcPr>
            <w:tcW w:w="1546" w:type="pct"/>
            <w:vAlign w:val="center"/>
          </w:tcPr>
          <w:p>
            <w:pPr>
              <w:spacing w:before="61"/>
              <w:jc w:val="center"/>
              <w:rPr>
                <w:sz w:val="17"/>
                <w:szCs w:val="17"/>
              </w:rPr>
            </w:pPr>
            <w:r>
              <w:rPr>
                <w:sz w:val="17"/>
                <w:szCs w:val="17"/>
              </w:rPr>
              <w:t>0</w:t>
            </w:r>
          </w:p>
        </w:tc>
        <w:tc>
          <w:tcPr>
            <w:tcW w:w="1405" w:type="pct"/>
            <w:vAlign w:val="center"/>
          </w:tcPr>
          <w:p>
            <w:pPr>
              <w:spacing w:before="58"/>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6"/>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9"/>
              <w:jc w:val="center"/>
              <w:rPr>
                <w:sz w:val="17"/>
                <w:szCs w:val="17"/>
              </w:rPr>
            </w:pPr>
            <w:r>
              <w:rPr>
                <w:sz w:val="17"/>
                <w:szCs w:val="17"/>
              </w:rPr>
              <w:t>0</w:t>
            </w:r>
          </w:p>
        </w:tc>
        <w:tc>
          <w:tcPr>
            <w:tcW w:w="1405" w:type="pct"/>
            <w:vAlign w:val="center"/>
          </w:tcPr>
          <w:p>
            <w:pPr>
              <w:spacing w:before="56"/>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jc w:val="center"/>
              <w:rPr>
                <w:rFonts w:ascii="Times New Roman" w:hAnsi="Times New Roman"/>
                <w:sz w:val="17"/>
                <w:szCs w:val="17"/>
              </w:rPr>
            </w:pPr>
            <w:bookmarkStart w:id="6" w:name="OLE_LINK26"/>
            <w:bookmarkEnd w:id="6"/>
            <w:r>
              <w:rPr>
                <w:rFonts w:ascii="Times New Roman" w:hAnsi="Times New Roman"/>
                <w:spacing w:val="14"/>
                <w:sz w:val="17"/>
                <w:szCs w:val="17"/>
              </w:rPr>
              <w:t>Systemic disease and administration site species reaction</w:t>
            </w:r>
          </w:p>
        </w:tc>
        <w:tc>
          <w:tcPr>
            <w:tcW w:w="1546" w:type="pct"/>
            <w:vAlign w:val="center"/>
          </w:tcPr>
          <w:p>
            <w:pPr>
              <w:spacing w:before="0"/>
              <w:jc w:val="center"/>
              <w:rPr>
                <w:sz w:val="17"/>
                <w:szCs w:val="17"/>
              </w:rPr>
            </w:pPr>
            <w:r>
              <w:rPr>
                <w:sz w:val="17"/>
                <w:szCs w:val="17"/>
              </w:rPr>
              <w:t>0</w:t>
            </w:r>
          </w:p>
        </w:tc>
        <w:tc>
          <w:tcPr>
            <w:tcW w:w="1405" w:type="pct"/>
            <w:vAlign w:val="center"/>
          </w:tcPr>
          <w:p>
            <w:pPr>
              <w:spacing w:before="0"/>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6"/>
              <w:jc w:val="center"/>
              <w:rPr>
                <w:rFonts w:ascii="Times New Roman" w:hAnsi="Times New Roman"/>
                <w:sz w:val="17"/>
                <w:szCs w:val="17"/>
              </w:rPr>
            </w:pPr>
            <w:r>
              <w:rPr>
                <w:rFonts w:ascii="Times New Roman" w:hAnsi="Times New Roman"/>
                <w:spacing w:val="14"/>
                <w:sz w:val="17"/>
                <w:szCs w:val="17"/>
              </w:rPr>
              <w:t>First grade</w:t>
            </w:r>
          </w:p>
        </w:tc>
        <w:tc>
          <w:tcPr>
            <w:tcW w:w="1546" w:type="pct"/>
            <w:vAlign w:val="center"/>
          </w:tcPr>
          <w:p>
            <w:pPr>
              <w:spacing w:before="56"/>
              <w:jc w:val="center"/>
              <w:rPr>
                <w:sz w:val="17"/>
                <w:szCs w:val="17"/>
              </w:rPr>
            </w:pPr>
            <w:r>
              <w:rPr>
                <w:sz w:val="17"/>
                <w:szCs w:val="17"/>
              </w:rPr>
              <w:t>0</w:t>
            </w:r>
          </w:p>
        </w:tc>
        <w:tc>
          <w:tcPr>
            <w:tcW w:w="1405" w:type="pct"/>
            <w:vAlign w:val="center"/>
          </w:tcPr>
          <w:p>
            <w:pPr>
              <w:spacing w:before="53"/>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vAlign w:val="center"/>
          </w:tcPr>
          <w:p>
            <w:pPr>
              <w:pStyle w:val="36"/>
              <w:spacing w:before="56"/>
              <w:jc w:val="center"/>
              <w:rPr>
                <w:rFonts w:ascii="Times New Roman" w:hAnsi="Times New Roman"/>
                <w:sz w:val="17"/>
                <w:szCs w:val="17"/>
              </w:rPr>
            </w:pPr>
            <w:r>
              <w:rPr>
                <w:rFonts w:ascii="Times New Roman" w:hAnsi="Times New Roman"/>
                <w:spacing w:val="-3"/>
                <w:sz w:val="17"/>
                <w:szCs w:val="17"/>
              </w:rPr>
              <w:t>Fever</w:t>
            </w:r>
          </w:p>
        </w:tc>
        <w:tc>
          <w:tcPr>
            <w:tcW w:w="1546" w:type="pct"/>
            <w:vAlign w:val="center"/>
          </w:tcPr>
          <w:p>
            <w:pPr>
              <w:spacing w:before="59"/>
              <w:jc w:val="center"/>
              <w:rPr>
                <w:sz w:val="17"/>
                <w:szCs w:val="17"/>
              </w:rPr>
            </w:pPr>
            <w:r>
              <w:rPr>
                <w:sz w:val="17"/>
                <w:szCs w:val="17"/>
              </w:rPr>
              <w:t>0</w:t>
            </w:r>
          </w:p>
        </w:tc>
        <w:tc>
          <w:tcPr>
            <w:tcW w:w="1405" w:type="pct"/>
            <w:vAlign w:val="center"/>
          </w:tcPr>
          <w:p>
            <w:pPr>
              <w:spacing w:before="55"/>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trPr>
        <w:tc>
          <w:tcPr>
            <w:tcW w:w="2047" w:type="pct"/>
            <w:tcBorders>
              <w:bottom w:val="single" w:color="auto" w:sz="4" w:space="0"/>
            </w:tcBorders>
            <w:vAlign w:val="center"/>
          </w:tcPr>
          <w:p>
            <w:pPr>
              <w:pStyle w:val="36"/>
              <w:spacing w:before="54"/>
              <w:jc w:val="center"/>
              <w:rPr>
                <w:rFonts w:ascii="Times New Roman" w:hAnsi="Times New Roman"/>
                <w:sz w:val="17"/>
                <w:szCs w:val="17"/>
              </w:rPr>
            </w:pPr>
            <w:r>
              <w:rPr>
                <w:rFonts w:ascii="Times New Roman" w:hAnsi="Times New Roman"/>
                <w:spacing w:val="14"/>
                <w:sz w:val="17"/>
                <w:szCs w:val="17"/>
              </w:rPr>
              <w:t>First grade</w:t>
            </w:r>
          </w:p>
        </w:tc>
        <w:tc>
          <w:tcPr>
            <w:tcW w:w="1546" w:type="pct"/>
            <w:tcBorders>
              <w:bottom w:val="single" w:color="auto" w:sz="4" w:space="0"/>
            </w:tcBorders>
            <w:vAlign w:val="center"/>
          </w:tcPr>
          <w:p>
            <w:pPr>
              <w:spacing w:before="57"/>
              <w:jc w:val="center"/>
              <w:rPr>
                <w:sz w:val="17"/>
                <w:szCs w:val="17"/>
              </w:rPr>
            </w:pPr>
            <w:r>
              <w:rPr>
                <w:sz w:val="17"/>
                <w:szCs w:val="17"/>
              </w:rPr>
              <w:t>0</w:t>
            </w:r>
          </w:p>
        </w:tc>
        <w:tc>
          <w:tcPr>
            <w:tcW w:w="1405" w:type="pct"/>
            <w:tcBorders>
              <w:bottom w:val="single" w:color="auto" w:sz="4" w:space="0"/>
            </w:tcBorders>
            <w:vAlign w:val="center"/>
          </w:tcPr>
          <w:p>
            <w:pPr>
              <w:spacing w:before="54"/>
              <w:jc w:val="center"/>
              <w:rPr>
                <w:sz w:val="17"/>
                <w:szCs w:val="17"/>
              </w:rPr>
            </w:pPr>
            <w:r>
              <w:rPr>
                <w:spacing w:val="-6"/>
                <w:sz w:val="17"/>
                <w:szCs w:val="17"/>
              </w:rPr>
              <w:t>1</w:t>
            </w:r>
            <w:r>
              <w:rPr>
                <w:spacing w:val="2"/>
                <w:sz w:val="17"/>
                <w:szCs w:val="17"/>
              </w:rPr>
              <w:t xml:space="preserve">   </w:t>
            </w:r>
            <w:r>
              <w:rPr>
                <w:spacing w:val="-6"/>
                <w:sz w:val="17"/>
                <w:szCs w:val="17"/>
              </w:rPr>
              <w:t>(</w:t>
            </w:r>
            <w:r>
              <w:rPr>
                <w:spacing w:val="4"/>
                <w:sz w:val="17"/>
                <w:szCs w:val="17"/>
              </w:rPr>
              <w:t xml:space="preserve"> </w:t>
            </w:r>
            <w:r>
              <w:rPr>
                <w:spacing w:val="-6"/>
                <w:sz w:val="17"/>
                <w:szCs w:val="17"/>
              </w:rPr>
              <w:t>4.2)</w:t>
            </w:r>
            <w:r>
              <w:rPr>
                <w:spacing w:val="3"/>
                <w:sz w:val="17"/>
                <w:szCs w:val="17"/>
              </w:rPr>
              <w:t xml:space="preserve">    </w:t>
            </w:r>
            <w:r>
              <w:rPr>
                <w:spacing w:val="-6"/>
                <w:sz w:val="17"/>
                <w:szCs w:val="17"/>
              </w:rPr>
              <w:t>1</w:t>
            </w:r>
          </w:p>
        </w:tc>
      </w:tr>
    </w:tbl>
    <w:p>
      <w:pPr>
        <w:jc w:val="both"/>
        <w:rPr>
          <w:sz w:val="17"/>
          <w:szCs w:val="17"/>
        </w:rPr>
      </w:pPr>
      <w:r>
        <w:rPr>
          <w:sz w:val="17"/>
          <w:szCs w:val="17"/>
        </w:rPr>
        <w:t>SOC: Systematic organ classification,PT: Physical terminology. Number of cases: Number of subjects with adverse events; Example: Number of adverse events.If a subject has multiple adverse events during the course of medication, the number of adverse events is counted only once for the drug used, but separately for the drug used.If a subject has multiple adverse events.</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ptos">
    <w:altName w:val="Segoe Print"/>
    <w:panose1 w:val="00000000000000000000"/>
    <w:charset w:val="00"/>
    <w:family w:val="swiss"/>
    <w:pitch w:val="default"/>
    <w:sig w:usb0="00000000" w:usb1="00000000" w:usb2="00000000" w:usb3="00000000" w:csb0="0000019F" w:csb1="00000000"/>
  </w:font>
  <w:font w:name="Aptos Display">
    <w:altName w:val="Segoe Print"/>
    <w:panose1 w:val="00000000000000000000"/>
    <w:charset w:val="00"/>
    <w:family w:val="swiss"/>
    <w:pitch w:val="default"/>
    <w:sig w:usb0="00000000" w:usb1="00000000" w:usb2="00000000" w:usb3="00000000" w:csb0="0000019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720"/>
  <w:characterSpacingControl w:val="doNotCompress"/>
  <w:compat>
    <w:useFELayout/>
    <w:compatSetting w:name="compatibilityMode" w:uri="http://schemas.microsoft.com/office/word" w:val="12"/>
  </w:compat>
  <w:docVars>
    <w:docVar w:name="commondata" w:val="eyJoZGlkIjoiYTc2ZGZiNzZiNDVlOGViOWVmM2JhOTY0NGJkNjUyYzgifQ=="/>
  </w:docVars>
  <w:rsids>
    <w:rsidRoot w:val="007A0DB3"/>
    <w:rsid w:val="000755F7"/>
    <w:rsid w:val="00175D92"/>
    <w:rsid w:val="001C0A38"/>
    <w:rsid w:val="0039224E"/>
    <w:rsid w:val="003A7F9A"/>
    <w:rsid w:val="003F1C6C"/>
    <w:rsid w:val="003F32A9"/>
    <w:rsid w:val="00540109"/>
    <w:rsid w:val="006E3FD1"/>
    <w:rsid w:val="00717DDB"/>
    <w:rsid w:val="007A0DB3"/>
    <w:rsid w:val="00B31FBA"/>
    <w:rsid w:val="00B451BD"/>
    <w:rsid w:val="00CB6028"/>
    <w:rsid w:val="00D05744"/>
    <w:rsid w:val="00D327EF"/>
    <w:rsid w:val="00D70AC3"/>
    <w:rsid w:val="00D70E6E"/>
    <w:rsid w:val="00F109D4"/>
    <w:rsid w:val="00FD5D67"/>
    <w:rsid w:val="0C2261EC"/>
    <w:rsid w:val="0E637CE5"/>
    <w:rsid w:val="166139CD"/>
    <w:rsid w:val="4555061A"/>
    <w:rsid w:val="7C1A4F6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HAnsi"/>
      <w:color w:val="000000"/>
      <w:sz w:val="24"/>
      <w:szCs w:val="22"/>
      <w:lang w:val="en-US" w:eastAsia="en-US" w:bidi="ar-SA"/>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asciiTheme="minorHAnsi" w:hAnsiTheme="minorHAnsi" w:eastAsiaTheme="majorEastAsia" w:cstheme="majorBidi"/>
      <w:color w:val="0F4761" w:themeColor="accent1" w:themeShade="BF"/>
    </w:rPr>
  </w:style>
  <w:style w:type="paragraph" w:styleId="7">
    <w:name w:val="heading 6"/>
    <w:basedOn w:val="1"/>
    <w:next w:val="1"/>
    <w:link w:val="23"/>
    <w:semiHidden/>
    <w:unhideWhenUsed/>
    <w:qFormat/>
    <w:uiPriority w:val="9"/>
    <w:pPr>
      <w:keepNext/>
      <w:keepLines/>
      <w:spacing w:before="40"/>
      <w:outlineLvl w:val="5"/>
    </w:pPr>
    <w:rPr>
      <w:rFonts w:asciiTheme="minorHAnsi" w:hAnsiTheme="minorHAnsi" w:eastAsiaTheme="majorEastAsia" w:cstheme="majorBidi"/>
      <w:i/>
      <w:iCs/>
      <w:color w:val="000000" w:themeColor="text1"/>
    </w:rPr>
  </w:style>
  <w:style w:type="paragraph" w:styleId="8">
    <w:name w:val="heading 7"/>
    <w:basedOn w:val="1"/>
    <w:next w:val="1"/>
    <w:link w:val="24"/>
    <w:semiHidden/>
    <w:unhideWhenUsed/>
    <w:qFormat/>
    <w:uiPriority w:val="9"/>
    <w:pPr>
      <w:keepNext/>
      <w:keepLines/>
      <w:spacing w:before="40"/>
      <w:outlineLvl w:val="6"/>
    </w:pPr>
    <w:rPr>
      <w:rFonts w:asciiTheme="minorHAnsi" w:hAnsiTheme="minorHAnsi" w:eastAsiaTheme="majorEastAsia" w:cstheme="majorBidi"/>
      <w:color w:val="000000" w:themeColor="text1"/>
    </w:rPr>
  </w:style>
  <w:style w:type="paragraph" w:styleId="9">
    <w:name w:val="heading 8"/>
    <w:basedOn w:val="1"/>
    <w:next w:val="1"/>
    <w:link w:val="25"/>
    <w:semiHidden/>
    <w:unhideWhenUsed/>
    <w:qFormat/>
    <w:uiPriority w:val="9"/>
    <w:pPr>
      <w:keepNext/>
      <w:keepLines/>
      <w:outlineLvl w:val="7"/>
    </w:pPr>
    <w:rPr>
      <w:rFonts w:asciiTheme="minorHAnsi" w:hAnsiTheme="minorHAnsi" w:eastAsiaTheme="majorEastAsia" w:cstheme="majorBidi"/>
      <w:i/>
      <w:iCs/>
      <w:color w:val="000000" w:themeColor="text1"/>
    </w:rPr>
  </w:style>
  <w:style w:type="paragraph" w:styleId="10">
    <w:name w:val="heading 9"/>
    <w:basedOn w:val="1"/>
    <w:next w:val="1"/>
    <w:link w:val="26"/>
    <w:semiHidden/>
    <w:unhideWhenUsed/>
    <w:qFormat/>
    <w:uiPriority w:val="9"/>
    <w:pPr>
      <w:keepNext/>
      <w:keepLines/>
      <w:outlineLvl w:val="8"/>
    </w:pPr>
    <w:rPr>
      <w:rFonts w:asciiTheme="minorHAnsi" w:hAnsiTheme="minorHAnsi" w:eastAsiaTheme="majorEastAsia" w:cstheme="majorBidi"/>
      <w:color w:val="000000" w:themeColor="text1"/>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9"/>
    <w:unhideWhenUsed/>
    <w:qFormat/>
    <w:uiPriority w:val="99"/>
    <w:rPr>
      <w:sz w:val="20"/>
      <w:szCs w:val="20"/>
    </w:rPr>
  </w:style>
  <w:style w:type="paragraph" w:styleId="12">
    <w:name w:val="Subtitle"/>
    <w:basedOn w:val="1"/>
    <w:next w:val="1"/>
    <w:link w:val="28"/>
    <w:qFormat/>
    <w:uiPriority w:val="11"/>
    <w:pPr>
      <w:spacing w:after="160"/>
    </w:pPr>
    <w:rPr>
      <w:rFonts w:asciiTheme="minorHAnsi" w:hAnsiTheme="minorHAnsi" w:eastAsiaTheme="majorEastAsia" w:cstheme="majorBidi"/>
      <w:color w:val="000000" w:themeColor="text1"/>
      <w:spacing w:val="15"/>
      <w:sz w:val="28"/>
      <w:szCs w:val="28"/>
    </w:rPr>
  </w:style>
  <w:style w:type="paragraph" w:styleId="13">
    <w:name w:val="Title"/>
    <w:basedOn w:val="1"/>
    <w:next w:val="1"/>
    <w:link w:val="27"/>
    <w:qFormat/>
    <w:uiPriority w:val="10"/>
    <w:pPr>
      <w:spacing w:after="80"/>
      <w:contextualSpacing/>
    </w:pPr>
    <w:rPr>
      <w:rFonts w:asciiTheme="majorHAnsi" w:hAnsiTheme="majorHAnsi" w:eastAsiaTheme="majorEastAsia" w:cstheme="majorBidi"/>
      <w:color w:val="auto"/>
      <w:spacing w:val="-10"/>
      <w:kern w:val="28"/>
      <w:sz w:val="56"/>
      <w:szCs w:val="56"/>
    </w:rPr>
  </w:style>
  <w:style w:type="paragraph" w:styleId="14">
    <w:name w:val="annotation subject"/>
    <w:basedOn w:val="11"/>
    <w:next w:val="11"/>
    <w:link w:val="40"/>
    <w:semiHidden/>
    <w:unhideWhenUsed/>
    <w:qFormat/>
    <w:uiPriority w:val="99"/>
    <w:rPr>
      <w:b/>
      <w:bCs/>
    </w:rPr>
  </w:style>
  <w:style w:type="character" w:styleId="17">
    <w:name w:val="annotation reference"/>
    <w:basedOn w:val="16"/>
    <w:semiHidden/>
    <w:unhideWhenUsed/>
    <w:qFormat/>
    <w:uiPriority w:val="99"/>
    <w:rPr>
      <w:sz w:val="16"/>
      <w:szCs w:val="16"/>
    </w:rPr>
  </w:style>
  <w:style w:type="character" w:customStyle="1" w:styleId="18">
    <w:name w:val="标题 1 字符"/>
    <w:basedOn w:val="16"/>
    <w:link w:val="2"/>
    <w:qFormat/>
    <w:uiPriority w:val="9"/>
    <w:rPr>
      <w:rFonts w:asciiTheme="majorHAnsi" w:hAnsiTheme="majorHAnsi" w:eastAsiaTheme="majorEastAsia" w:cstheme="majorBidi"/>
      <w:color w:val="0F4761" w:themeColor="accent1" w:themeShade="BF"/>
      <w:sz w:val="40"/>
      <w:szCs w:val="40"/>
      <w:lang w:val="en-US"/>
    </w:rPr>
  </w:style>
  <w:style w:type="character" w:customStyle="1" w:styleId="19">
    <w:name w:val="标题 2 字符"/>
    <w:basedOn w:val="16"/>
    <w:link w:val="3"/>
    <w:semiHidden/>
    <w:qFormat/>
    <w:uiPriority w:val="9"/>
    <w:rPr>
      <w:rFonts w:asciiTheme="majorHAnsi" w:hAnsiTheme="majorHAnsi" w:eastAsiaTheme="majorEastAsia" w:cstheme="majorBidi"/>
      <w:color w:val="0F4761" w:themeColor="accent1" w:themeShade="BF"/>
      <w:sz w:val="32"/>
      <w:szCs w:val="32"/>
      <w:lang w:val="en-US"/>
    </w:rPr>
  </w:style>
  <w:style w:type="character" w:customStyle="1" w:styleId="20">
    <w:name w:val="标题 3 字符"/>
    <w:basedOn w:val="16"/>
    <w:link w:val="4"/>
    <w:semiHidden/>
    <w:qFormat/>
    <w:uiPriority w:val="9"/>
    <w:rPr>
      <w:rFonts w:asciiTheme="minorHAnsi" w:hAnsiTheme="minorHAnsi" w:eastAsiaTheme="majorEastAsia" w:cstheme="majorBidi"/>
      <w:color w:val="0F4761" w:themeColor="accent1" w:themeShade="BF"/>
      <w:sz w:val="28"/>
      <w:szCs w:val="28"/>
      <w:lang w:val="en-US"/>
    </w:rPr>
  </w:style>
  <w:style w:type="character" w:customStyle="1" w:styleId="21">
    <w:name w:val="标题 4 字符"/>
    <w:basedOn w:val="16"/>
    <w:link w:val="5"/>
    <w:semiHidden/>
    <w:qFormat/>
    <w:uiPriority w:val="9"/>
    <w:rPr>
      <w:rFonts w:asciiTheme="minorHAnsi" w:hAnsiTheme="minorHAnsi" w:eastAsiaTheme="majorEastAsia" w:cstheme="majorBidi"/>
      <w:i/>
      <w:iCs/>
      <w:color w:val="0F4761" w:themeColor="accent1" w:themeShade="BF"/>
      <w:lang w:val="en-US"/>
    </w:rPr>
  </w:style>
  <w:style w:type="character" w:customStyle="1" w:styleId="22">
    <w:name w:val="标题 5 字符"/>
    <w:basedOn w:val="16"/>
    <w:link w:val="6"/>
    <w:semiHidden/>
    <w:qFormat/>
    <w:uiPriority w:val="9"/>
    <w:rPr>
      <w:rFonts w:asciiTheme="minorHAnsi" w:hAnsiTheme="minorHAnsi" w:eastAsiaTheme="majorEastAsia" w:cstheme="majorBidi"/>
      <w:color w:val="0F4761" w:themeColor="accent1" w:themeShade="BF"/>
      <w:lang w:val="en-US"/>
    </w:rPr>
  </w:style>
  <w:style w:type="character" w:customStyle="1" w:styleId="23">
    <w:name w:val="标题 6 字符"/>
    <w:basedOn w:val="16"/>
    <w:link w:val="7"/>
    <w:semiHidden/>
    <w:qFormat/>
    <w:uiPriority w:val="9"/>
    <w:rPr>
      <w:rFonts w:asciiTheme="minorHAnsi" w:hAnsiTheme="minorHAnsi" w:eastAsiaTheme="majorEastAsia" w:cstheme="majorBidi"/>
      <w:i/>
      <w:iCs/>
      <w:color w:val="000000" w:themeColor="text1"/>
      <w:lang w:val="en-US"/>
    </w:rPr>
  </w:style>
  <w:style w:type="character" w:customStyle="1" w:styleId="24">
    <w:name w:val="标题 7 字符"/>
    <w:basedOn w:val="16"/>
    <w:link w:val="8"/>
    <w:semiHidden/>
    <w:qFormat/>
    <w:uiPriority w:val="9"/>
    <w:rPr>
      <w:rFonts w:asciiTheme="minorHAnsi" w:hAnsiTheme="minorHAnsi" w:eastAsiaTheme="majorEastAsia" w:cstheme="majorBidi"/>
      <w:color w:val="000000" w:themeColor="text1"/>
      <w:lang w:val="en-US"/>
    </w:rPr>
  </w:style>
  <w:style w:type="character" w:customStyle="1" w:styleId="25">
    <w:name w:val="标题 8 字符"/>
    <w:basedOn w:val="16"/>
    <w:link w:val="9"/>
    <w:semiHidden/>
    <w:qFormat/>
    <w:uiPriority w:val="9"/>
    <w:rPr>
      <w:rFonts w:asciiTheme="minorHAnsi" w:hAnsiTheme="minorHAnsi" w:eastAsiaTheme="majorEastAsia" w:cstheme="majorBidi"/>
      <w:i/>
      <w:iCs/>
      <w:color w:val="000000" w:themeColor="text1"/>
      <w:lang w:val="en-US"/>
    </w:rPr>
  </w:style>
  <w:style w:type="character" w:customStyle="1" w:styleId="26">
    <w:name w:val="标题 9 字符"/>
    <w:basedOn w:val="16"/>
    <w:link w:val="10"/>
    <w:semiHidden/>
    <w:qFormat/>
    <w:uiPriority w:val="9"/>
    <w:rPr>
      <w:rFonts w:asciiTheme="minorHAnsi" w:hAnsiTheme="minorHAnsi" w:eastAsiaTheme="majorEastAsia" w:cstheme="majorBidi"/>
      <w:color w:val="000000" w:themeColor="text1"/>
      <w:lang w:val="en-US"/>
    </w:rPr>
  </w:style>
  <w:style w:type="character" w:customStyle="1" w:styleId="27">
    <w:name w:val="标题 字符"/>
    <w:basedOn w:val="16"/>
    <w:link w:val="13"/>
    <w:qFormat/>
    <w:uiPriority w:val="10"/>
    <w:rPr>
      <w:rFonts w:asciiTheme="majorHAnsi" w:hAnsiTheme="majorHAnsi" w:eastAsiaTheme="majorEastAsia" w:cstheme="majorBidi"/>
      <w:color w:val="auto"/>
      <w:spacing w:val="-10"/>
      <w:kern w:val="28"/>
      <w:sz w:val="56"/>
      <w:szCs w:val="56"/>
      <w:lang w:val="en-US"/>
    </w:rPr>
  </w:style>
  <w:style w:type="character" w:customStyle="1" w:styleId="28">
    <w:name w:val="副标题 字符"/>
    <w:basedOn w:val="16"/>
    <w:link w:val="12"/>
    <w:qFormat/>
    <w:uiPriority w:val="11"/>
    <w:rPr>
      <w:rFonts w:asciiTheme="minorHAnsi" w:hAnsiTheme="minorHAnsi" w:eastAsiaTheme="majorEastAsia" w:cstheme="majorBidi"/>
      <w:color w:val="000000" w:themeColor="text1"/>
      <w:spacing w:val="15"/>
      <w:sz w:val="28"/>
      <w:szCs w:val="28"/>
      <w:lang w:val="en-US"/>
    </w:rPr>
  </w:style>
  <w:style w:type="paragraph" w:styleId="29">
    <w:name w:val="Quote"/>
    <w:basedOn w:val="1"/>
    <w:next w:val="1"/>
    <w:link w:val="30"/>
    <w:qFormat/>
    <w:uiPriority w:val="29"/>
    <w:pPr>
      <w:spacing w:before="160" w:after="160"/>
      <w:jc w:val="center"/>
    </w:pPr>
    <w:rPr>
      <w:i/>
      <w:iCs/>
      <w:color w:val="000000" w:themeColor="text1"/>
    </w:rPr>
  </w:style>
  <w:style w:type="character" w:customStyle="1" w:styleId="30">
    <w:name w:val="引用 字符"/>
    <w:basedOn w:val="16"/>
    <w:link w:val="29"/>
    <w:qFormat/>
    <w:uiPriority w:val="29"/>
    <w:rPr>
      <w:i/>
      <w:iCs/>
      <w:color w:val="000000" w:themeColor="text1"/>
      <w:lang w:val="en-US"/>
    </w:rPr>
  </w:style>
  <w:style w:type="paragraph" w:styleId="31">
    <w:name w:val="List Paragraph"/>
    <w:basedOn w:val="1"/>
    <w:qFormat/>
    <w:uiPriority w:val="34"/>
    <w:pPr>
      <w:ind w:left="720"/>
      <w:contextualSpacing/>
    </w:pPr>
  </w:style>
  <w:style w:type="character" w:customStyle="1" w:styleId="32">
    <w:name w:val="明显强调1"/>
    <w:basedOn w:val="16"/>
    <w:qFormat/>
    <w:uiPriority w:val="21"/>
    <w:rPr>
      <w:i/>
      <w:iCs/>
      <w:color w:val="0F4761"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customStyle="1" w:styleId="34">
    <w:name w:val="明显引用 字符"/>
    <w:basedOn w:val="16"/>
    <w:link w:val="33"/>
    <w:qFormat/>
    <w:uiPriority w:val="30"/>
    <w:rPr>
      <w:i/>
      <w:iCs/>
      <w:color w:val="0F4761" w:themeColor="accent1" w:themeShade="BF"/>
      <w:lang w:val="en-US"/>
    </w:rPr>
  </w:style>
  <w:style w:type="character" w:customStyle="1" w:styleId="35">
    <w:name w:val="明显参考1"/>
    <w:basedOn w:val="16"/>
    <w:qFormat/>
    <w:uiPriority w:val="32"/>
    <w:rPr>
      <w:b/>
      <w:bCs/>
      <w:smallCaps/>
      <w:color w:val="0F4761" w:themeColor="accent1" w:themeShade="BF"/>
      <w:spacing w:val="5"/>
    </w:rPr>
  </w:style>
  <w:style w:type="paragraph" w:customStyle="1" w:styleId="36">
    <w:name w:val="Table Text"/>
    <w:basedOn w:val="1"/>
    <w:hidden/>
    <w:qFormat/>
    <w:uiPriority w:val="0"/>
    <w:pPr>
      <w:widowControl w:val="0"/>
      <w:spacing w:line="312" w:lineRule="auto"/>
    </w:pPr>
    <w:rPr>
      <w:rFonts w:hint="eastAsia" w:ascii="宋体" w:hAnsi="宋体" w:eastAsia="宋体"/>
      <w:color w:val="auto"/>
      <w:kern w:val="2"/>
      <w:sz w:val="20"/>
      <w:szCs w:val="21"/>
      <w:lang w:eastAsia="zh-CN"/>
    </w:rPr>
  </w:style>
  <w:style w:type="table" w:customStyle="1" w:styleId="37">
    <w:name w:val="Table Normal_0"/>
    <w:basedOn w:val="15"/>
    <w:semiHidden/>
    <w:qFormat/>
    <w:uiPriority w:val="0"/>
    <w:rPr>
      <w:rFonts w:eastAsia="宋体"/>
    </w:rPr>
    <w:tblPr>
      <w:tblCellMar>
        <w:left w:w="0" w:type="dxa"/>
        <w:right w:w="0" w:type="dxa"/>
      </w:tblCellMar>
    </w:tblPr>
  </w:style>
  <w:style w:type="paragraph" w:customStyle="1" w:styleId="38">
    <w:name w:val="修订1"/>
    <w:hidden/>
    <w:semiHidden/>
    <w:qFormat/>
    <w:uiPriority w:val="99"/>
    <w:rPr>
      <w:rFonts w:ascii="Times New Roman" w:hAnsi="Times New Roman" w:cs="Times New Roman" w:eastAsiaTheme="minorHAnsi"/>
      <w:color w:val="000000"/>
      <w:sz w:val="24"/>
      <w:szCs w:val="22"/>
      <w:lang w:val="en-US" w:eastAsia="en-US" w:bidi="ar-SA"/>
    </w:rPr>
  </w:style>
  <w:style w:type="character" w:customStyle="1" w:styleId="39">
    <w:name w:val="批注文字 字符"/>
    <w:basedOn w:val="16"/>
    <w:link w:val="11"/>
    <w:qFormat/>
    <w:uiPriority w:val="99"/>
    <w:rPr>
      <w:sz w:val="20"/>
      <w:szCs w:val="20"/>
      <w:lang w:val="en-US"/>
    </w:rPr>
  </w:style>
  <w:style w:type="character" w:customStyle="1" w:styleId="40">
    <w:name w:val="批注主题 字符"/>
    <w:basedOn w:val="39"/>
    <w:link w:val="14"/>
    <w:semiHidden/>
    <w:qFormat/>
    <w:uiPriority w:val="99"/>
    <w:rPr>
      <w:b/>
      <w:bCs/>
      <w:sz w:val="20"/>
      <w:szCs w:val="20"/>
      <w:lang w:val="en-US"/>
    </w:rPr>
  </w:style>
  <w:style w:type="paragraph" w:customStyle="1" w:styleId="41">
    <w:name w:val="Revision"/>
    <w:hidden/>
    <w:unhideWhenUsed/>
    <w:qFormat/>
    <w:uiPriority w:val="99"/>
    <w:rPr>
      <w:rFonts w:ascii="Times New Roman" w:hAnsi="Times New Roman" w:cs="Times New Roman" w:eastAsiaTheme="minorHAnsi"/>
      <w:color w:val="000000"/>
      <w:sz w:val="24"/>
      <w:szCs w:val="22"/>
      <w:lang w:val="en-US" w:eastAsia="en-US" w:bidi="ar-SA"/>
    </w:rPr>
  </w:style>
  <w:style w:type="table" w:customStyle="1" w:styleId="42">
    <w:name w:val="Table Normal"/>
    <w:basedOn w:val="15"/>
    <w:qFormat/>
    <w:uiPriority w:val="0"/>
    <w:rPr>
      <w:rFonts w:eastAsia="Times New Roman"/>
    </w:rPr>
    <w:tblPr>
      <w:tblCellMar>
        <w:left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D1FF37-676F-4C25-AD73-494B44A63BA4}">
  <ds:schemaRefs/>
</ds:datastoreItem>
</file>

<file path=docProps/app.xml><?xml version="1.0" encoding="utf-8"?>
<Properties xmlns="http://schemas.openxmlformats.org/officeDocument/2006/extended-properties" xmlns:vt="http://schemas.openxmlformats.org/officeDocument/2006/docPropsVTypes">
  <Template>Normal</Template>
  <Pages>4</Pages>
  <Words>1692</Words>
  <Characters>8786</Characters>
  <Lines>80</Lines>
  <Paragraphs>22</Paragraphs>
  <TotalTime>12</TotalTime>
  <ScaleCrop>false</ScaleCrop>
  <LinksUpToDate>false</LinksUpToDate>
  <CharactersWithSpaces>10428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2024-05-22T14:04:00Z</dcterms:created>
  <dc:creator>Author</dc:creator>
  <cp:lastModifiedBy>LJX</cp:lastModifiedBy>
  <dcterms:modified xsi:type="dcterms:W3CDTF">2024-05-29T02:56:54Z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6FBC938BB98545B79D314B05C76C4267_13</vt:lpwstr>
  </property>
</Properties>
</file>