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hint="eastAsia" w:eastAsiaTheme="minorEastAsia"/>
          <w:lang w:eastAsia="zh-CN"/>
        </w:rPr>
        <w:drawing>
          <wp:inline distT="0" distB="0" distL="114300" distR="114300">
            <wp:extent cx="5224145" cy="2720975"/>
            <wp:effectExtent l="0" t="0" r="8255" b="22225"/>
            <wp:docPr id="1" name="图片 1" descr="Supplementary Figure 1-样本矫正箱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ary Figure 1-样本矫正箱式图"/>
                    <pic:cNvPicPr>
                      <a:picLocks noChangeAspect="1"/>
                    </pic:cNvPicPr>
                  </pic:nvPicPr>
                  <pic:blipFill>
                    <a:blip r:embed="rId4"/>
                    <a:stretch>
                      <a:fillRect/>
                    </a:stretch>
                  </pic:blipFill>
                  <pic:spPr>
                    <a:xfrm>
                      <a:off x="0" y="0"/>
                      <a:ext cx="5224145" cy="2720975"/>
                    </a:xfrm>
                    <a:prstGeom prst="rect">
                      <a:avLst/>
                    </a:prstGeom>
                  </pic:spPr>
                </pic:pic>
              </a:graphicData>
            </a:graphic>
          </wp:inline>
        </w:drawing>
      </w:r>
    </w:p>
    <w:p>
      <w:pPr>
        <w:pStyle w:val="2"/>
        <w:rPr>
          <w:rFonts w:hint="default" w:ascii="Arial Bold" w:hAnsi="Arial Bold" w:cs="Arial Bold"/>
          <w:b/>
          <w:bCs/>
        </w:rPr>
      </w:pPr>
      <w:r>
        <w:rPr>
          <w:rFonts w:hint="default" w:ascii="Arial Bold" w:hAnsi="Arial Bold" w:cs="Arial Bold"/>
          <w:b/>
          <w:bCs/>
        </w:rPr>
        <w:t>Supplementary Figure 1</w:t>
      </w:r>
    </w:p>
    <w:p>
      <w:pPr>
        <w:rPr>
          <w:rFonts w:hint="eastAsia"/>
          <w:b w:val="0"/>
          <w:bCs w:val="0"/>
          <w:lang w:val="en-US" w:eastAsia="zh-CN"/>
        </w:rPr>
      </w:pPr>
      <w:r>
        <w:rPr>
          <w:rFonts w:hint="eastAsia"/>
          <w:lang w:val="en-US" w:eastAsia="zh-CN"/>
        </w:rPr>
        <w:t xml:space="preserve">  </w:t>
      </w:r>
      <w:r>
        <w:rPr>
          <w:rFonts w:hint="eastAsia"/>
          <w:b w:val="0"/>
          <w:bCs w:val="0"/>
          <w:lang w:val="en-US" w:eastAsia="zh-CN"/>
        </w:rPr>
        <w:t xml:space="preserve">The boxplot illustrates the distribution of gene expression in the dataset. Each box represents a sample group, with the upper and lower edges indicating the third and fourth quartiles, and the line in the middle representing the median. The dataset comprises 30 samples, divided into two conditions, </w:t>
      </w:r>
      <w:r>
        <w:rPr>
          <w:rFonts w:hint="default"/>
          <w:b w:val="0"/>
          <w:bCs w:val="0"/>
          <w:lang w:val="en-US" w:eastAsia="zh-CN"/>
        </w:rPr>
        <w:t>R</w:t>
      </w:r>
      <w:r>
        <w:rPr>
          <w:rFonts w:hint="eastAsia"/>
          <w:b w:val="0"/>
          <w:bCs w:val="0"/>
          <w:lang w:val="en-US" w:eastAsia="zh-CN"/>
        </w:rPr>
        <w:t>ef</w:t>
      </w:r>
      <w:r>
        <w:rPr>
          <w:rFonts w:hint="default"/>
          <w:b w:val="0"/>
          <w:bCs w:val="0"/>
          <w:lang w:val="en-US" w:eastAsia="zh-CN"/>
        </w:rPr>
        <w:t xml:space="preserve"> (blue)</w:t>
      </w:r>
      <w:r>
        <w:rPr>
          <w:rFonts w:hint="eastAsia"/>
          <w:b w:val="0"/>
          <w:bCs w:val="0"/>
          <w:lang w:val="en-US" w:eastAsia="zh-CN"/>
        </w:rPr>
        <w:t xml:space="preserve"> and </w:t>
      </w:r>
      <w:r>
        <w:rPr>
          <w:rFonts w:hint="default"/>
          <w:b w:val="0"/>
          <w:bCs w:val="0"/>
          <w:lang w:val="en-US" w:eastAsia="zh-CN"/>
        </w:rPr>
        <w:t>Test (red)</w:t>
      </w:r>
      <w:r>
        <w:rPr>
          <w:rFonts w:hint="eastAsia"/>
          <w:b w:val="0"/>
          <w:bCs w:val="0"/>
          <w:lang w:val="en-US" w:eastAsia="zh-CN"/>
        </w:rPr>
        <w:t xml:space="preserve"> (</w:t>
      </w:r>
      <w:r>
        <w:rPr>
          <w:rFonts w:hint="default"/>
          <w:b w:val="0"/>
          <w:bCs w:val="0"/>
          <w:lang w:val="en-US" w:eastAsia="zh-CN"/>
        </w:rPr>
        <w:t>R</w:t>
      </w:r>
      <w:r>
        <w:rPr>
          <w:rFonts w:hint="eastAsia"/>
          <w:b w:val="0"/>
          <w:bCs w:val="0"/>
          <w:lang w:val="en-US" w:eastAsia="zh-CN"/>
        </w:rPr>
        <w:t>ef</w:t>
      </w:r>
      <w:r>
        <w:rPr>
          <w:rFonts w:hint="eastAsia"/>
          <w:b w:val="0"/>
          <w:bCs w:val="0"/>
          <w:lang w:val="en-US" w:eastAsia="zh-CN"/>
        </w:rPr>
        <w:t>: n=</w:t>
      </w:r>
      <w:r>
        <w:rPr>
          <w:rFonts w:hint="default"/>
          <w:b w:val="0"/>
          <w:bCs w:val="0"/>
          <w:lang w:val="en-US" w:eastAsia="zh-CN"/>
        </w:rPr>
        <w:t>15</w:t>
      </w:r>
      <w:r>
        <w:rPr>
          <w:rFonts w:hint="eastAsia"/>
          <w:b w:val="0"/>
          <w:bCs w:val="0"/>
          <w:lang w:val="en-US" w:eastAsia="zh-CN"/>
        </w:rPr>
        <w:t xml:space="preserve">; </w:t>
      </w:r>
      <w:r>
        <w:rPr>
          <w:rFonts w:hint="default"/>
          <w:b w:val="0"/>
          <w:bCs w:val="0"/>
          <w:lang w:val="en-US" w:eastAsia="zh-CN"/>
        </w:rPr>
        <w:t>Test</w:t>
      </w:r>
      <w:r>
        <w:rPr>
          <w:rFonts w:hint="eastAsia"/>
          <w:b w:val="0"/>
          <w:bCs w:val="0"/>
          <w:lang w:val="en-US" w:eastAsia="zh-CN"/>
        </w:rPr>
        <w:t>: n=</w:t>
      </w:r>
      <w:r>
        <w:rPr>
          <w:rFonts w:hint="default"/>
          <w:b w:val="0"/>
          <w:bCs w:val="0"/>
          <w:lang w:val="en-US" w:eastAsia="zh-CN"/>
        </w:rPr>
        <w:t>15</w:t>
      </w:r>
      <w:r>
        <w:rPr>
          <w:rFonts w:hint="eastAsia"/>
          <w:b w:val="0"/>
          <w:bCs w:val="0"/>
          <w:lang w:val="en-US" w:eastAsia="zh-CN"/>
        </w:rPr>
        <w:t>).</w:t>
      </w: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eastAsia"/>
          <w:b w:val="0"/>
          <w:bCs w:val="0"/>
          <w:lang w:val="en-US" w:eastAsia="zh-CN"/>
        </w:rPr>
      </w:pPr>
    </w:p>
    <w:p>
      <w:pPr>
        <w:rPr>
          <w:rFonts w:hint="default"/>
          <w:b w:val="0"/>
          <w:bCs w:val="0"/>
          <w:lang w:val="en-US" w:eastAsia="zh-CN"/>
        </w:rPr>
      </w:pPr>
      <w:r>
        <w:rPr>
          <w:rFonts w:hint="default"/>
          <w:b w:val="0"/>
          <w:bCs w:val="0"/>
          <w:lang w:val="en-US" w:eastAsia="zh-CN"/>
        </w:rPr>
        <w:drawing>
          <wp:inline distT="0" distB="0" distL="114300" distR="114300">
            <wp:extent cx="3073400" cy="2560955"/>
            <wp:effectExtent l="0" t="0" r="0" b="4445"/>
            <wp:docPr id="3" name="图片 3" descr="figure2-115574样本PCA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2-115574样本PCA图"/>
                    <pic:cNvPicPr>
                      <a:picLocks noChangeAspect="1"/>
                    </pic:cNvPicPr>
                  </pic:nvPicPr>
                  <pic:blipFill>
                    <a:blip r:embed="rId5"/>
                    <a:stretch>
                      <a:fillRect/>
                    </a:stretch>
                  </pic:blipFill>
                  <pic:spPr>
                    <a:xfrm>
                      <a:off x="0" y="0"/>
                      <a:ext cx="3073400" cy="2560955"/>
                    </a:xfrm>
                    <a:prstGeom prst="rect">
                      <a:avLst/>
                    </a:prstGeom>
                  </pic:spPr>
                </pic:pic>
              </a:graphicData>
            </a:graphic>
          </wp:inline>
        </w:drawing>
      </w:r>
    </w:p>
    <w:p>
      <w:pPr>
        <w:pStyle w:val="2"/>
        <w:rPr>
          <w:rFonts w:hint="eastAsia"/>
        </w:rPr>
      </w:pPr>
      <w:r>
        <w:rPr>
          <w:rFonts w:hint="default" w:ascii="Arial Bold" w:hAnsi="Arial Bold" w:cs="Arial Bold"/>
          <w:b/>
          <w:bCs/>
        </w:rPr>
        <w:t>Supplementary Figure 2</w:t>
      </w:r>
    </w:p>
    <w:p>
      <w:pPr>
        <w:rPr>
          <w:rFonts w:hint="default"/>
          <w:lang w:val="en-US"/>
        </w:rPr>
      </w:pPr>
      <w:r>
        <w:rPr>
          <w:rFonts w:hint="default"/>
          <w:lang w:val="en-US"/>
        </w:rPr>
        <w:t xml:space="preserve">  Principal Component Analysis (PCA) plot illustrating the distribution of samples based on their gene expression profiles. Each point represents an individual sample, and the distance between points reflects the overall similarity or dissimilarity in gene expression patterns. The percentage of variance explained by each principal component is indicated on the axes. Samples are color-coded according to experimental conditions, with </w:t>
      </w:r>
      <w:r>
        <w:rPr>
          <w:rFonts w:hint="eastAsia"/>
          <w:lang w:val="en-US" w:eastAsia="zh-CN"/>
        </w:rPr>
        <w:t>si</w:t>
      </w:r>
      <w:r>
        <w:rPr>
          <w:rFonts w:hint="default"/>
          <w:lang w:val="en-US" w:eastAsia="zh-CN"/>
        </w:rPr>
        <w:t>nus r</w:t>
      </w:r>
      <w:r>
        <w:rPr>
          <w:rFonts w:hint="eastAsia"/>
          <w:lang w:val="en-US" w:eastAsia="zh-CN"/>
        </w:rPr>
        <w:t>hy</w:t>
      </w:r>
      <w:r>
        <w:rPr>
          <w:rFonts w:hint="default"/>
          <w:lang w:val="en-US" w:eastAsia="zh-CN"/>
        </w:rPr>
        <w:t>them patients (SR)</w:t>
      </w:r>
      <w:r>
        <w:rPr>
          <w:rFonts w:hint="default"/>
          <w:lang w:val="en-US"/>
        </w:rPr>
        <w:t xml:space="preserve"> represented in blue and atrial fibrillation (AF) in red. The analysis was performed on a dataset comprising 15 samples (</w:t>
      </w:r>
      <w:r>
        <w:rPr>
          <w:rFonts w:hint="default"/>
          <w:lang w:val="en-US" w:eastAsia="zh-CN"/>
        </w:rPr>
        <w:t>SR</w:t>
      </w:r>
      <w:r>
        <w:rPr>
          <w:rFonts w:hint="default"/>
          <w:lang w:val="en-US"/>
        </w:rPr>
        <w:t>: n=15; AF: n=15).</w:t>
      </w: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eastAsia="zh-CN"/>
        </w:rPr>
      </w:pPr>
      <w:r>
        <w:rPr>
          <w:rFonts w:hint="default"/>
          <w:lang w:val="en-US" w:eastAsia="zh-CN"/>
        </w:rPr>
        <w:drawing>
          <wp:inline distT="0" distB="0" distL="114300" distR="114300">
            <wp:extent cx="3404235" cy="2836545"/>
            <wp:effectExtent l="0" t="0" r="24765" b="8255"/>
            <wp:docPr id="4" name="图片 4" descr="预测药物韦恩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预测药物韦恩图"/>
                    <pic:cNvPicPr>
                      <a:picLocks noChangeAspect="1"/>
                    </pic:cNvPicPr>
                  </pic:nvPicPr>
                  <pic:blipFill>
                    <a:blip r:embed="rId6"/>
                    <a:stretch>
                      <a:fillRect/>
                    </a:stretch>
                  </pic:blipFill>
                  <pic:spPr>
                    <a:xfrm>
                      <a:off x="0" y="0"/>
                      <a:ext cx="3404235" cy="2836545"/>
                    </a:xfrm>
                    <a:prstGeom prst="rect">
                      <a:avLst/>
                    </a:prstGeom>
                  </pic:spPr>
                </pic:pic>
              </a:graphicData>
            </a:graphic>
          </wp:inline>
        </w:drawing>
      </w:r>
    </w:p>
    <w:p>
      <w:pPr>
        <w:pStyle w:val="2"/>
        <w:rPr>
          <w:rFonts w:hint="default"/>
          <w:lang w:val="en-US"/>
        </w:rPr>
      </w:pPr>
      <w:r>
        <w:rPr>
          <w:rFonts w:hint="default" w:ascii="Arial Bold" w:hAnsi="Arial Bold" w:cs="Arial Bold"/>
          <w:b/>
          <w:bCs/>
        </w:rPr>
        <w:t>Supplementary Figure 3</w:t>
      </w:r>
      <w:r>
        <w:rPr>
          <w:rFonts w:hint="default" w:ascii="Arial Bold" w:hAnsi="Arial Bold" w:cs="Arial Bold"/>
          <w:b/>
          <w:bCs/>
          <w:lang w:val="en-US"/>
        </w:rPr>
        <w:t xml:space="preserve"> </w:t>
      </w:r>
      <w:bookmarkStart w:id="0" w:name="_GoBack"/>
      <w:bookmarkEnd w:id="0"/>
    </w:p>
    <w:p>
      <w:pPr>
        <w:rPr>
          <w:rFonts w:hint="default"/>
          <w:lang w:val="en-US" w:eastAsia="zh-CN"/>
        </w:rPr>
      </w:pPr>
      <w:r>
        <w:rPr>
          <w:rFonts w:hint="default"/>
          <w:lang w:val="en-US" w:eastAsia="zh-CN"/>
        </w:rPr>
        <w:t xml:space="preserve">  The multiple Venn diagrams illustrate the intersections of diagnostic genes-influenced drugs. Each circle represents a genes-influenced drug, with the number inside indicating the count of numbers. Overlapping areas depict the intersections between different drugs, while non-overlapping regions represent unique durgs.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MinionPro-Regular">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Arial Bold">
    <w:panose1 w:val="020B06040202020902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7B7934E"/>
    <w:rsid w:val="7B3FDAF1"/>
    <w:rsid w:val="E7B7934E"/>
    <w:rsid w:val="FFA4003E"/>
    <w:rsid w:val="FFFEC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2024-03-02T08:59:00Z</dcterms:created>
  <dc:creator>董wall</dc:creator>
  <cp:lastModifiedBy>董wall</cp:lastModifiedBy>
  <dcterms:modified xsi:type="dcterms:W3CDTF">2024-03-02T11:25:56Z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DA9F4A273434E4E35EEAE26520C785AC_41</vt:lpwstr>
  </property>
</Properties>
</file>