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924" w:rsidRPr="0040370C" w:rsidRDefault="00BD062A" w:rsidP="00224F1B">
      <w:pPr>
        <w:pStyle w:val="MDPI31text"/>
        <w:ind w:firstLine="0"/>
        <w:rPr>
          <w:rFonts w:ascii="Times New Roman" w:hAnsi="Times New Roman"/>
          <w:b/>
          <w:szCs w:val="20"/>
        </w:rPr>
      </w:pPr>
      <w:bookmarkStart w:id="0" w:name="_GoBack"/>
      <w:bookmarkEnd w:id="0"/>
      <w:r w:rsidRPr="0040370C">
        <w:rPr>
          <w:rFonts w:ascii="Times New Roman" w:hAnsi="Times New Roman"/>
          <w:b/>
          <w:szCs w:val="20"/>
        </w:rPr>
        <w:t xml:space="preserve">Supplementary </w:t>
      </w:r>
      <w:r w:rsidR="00EE625E" w:rsidRPr="0040370C">
        <w:rPr>
          <w:rFonts w:ascii="Times New Roman" w:hAnsi="Times New Roman"/>
          <w:b/>
          <w:szCs w:val="20"/>
        </w:rPr>
        <w:t>Materials and Methods</w:t>
      </w:r>
    </w:p>
    <w:p w:rsidR="00BD062A" w:rsidRPr="0040370C" w:rsidRDefault="00BD062A" w:rsidP="00BD062A">
      <w:pPr>
        <w:pStyle w:val="MDPI31text"/>
        <w:ind w:firstLine="0"/>
        <w:rPr>
          <w:rFonts w:ascii="Times New Roman" w:hAnsi="Times New Roman"/>
          <w:b/>
          <w:szCs w:val="20"/>
        </w:rPr>
      </w:pPr>
    </w:p>
    <w:p w:rsidR="00BD062A" w:rsidRPr="0040370C" w:rsidRDefault="00BD062A" w:rsidP="00BD062A">
      <w:pPr>
        <w:pStyle w:val="MDPI31text"/>
        <w:ind w:firstLine="0"/>
        <w:rPr>
          <w:rFonts w:ascii="Times New Roman" w:hAnsi="Times New Roman"/>
          <w:b/>
          <w:szCs w:val="20"/>
        </w:rPr>
      </w:pPr>
      <w:r w:rsidRPr="0040370C">
        <w:rPr>
          <w:rFonts w:ascii="Times New Roman" w:hAnsi="Times New Roman"/>
          <w:b/>
          <w:szCs w:val="20"/>
        </w:rPr>
        <w:t xml:space="preserve">Microarray analysis </w:t>
      </w:r>
    </w:p>
    <w:p w:rsidR="00BD062A" w:rsidRPr="0040370C" w:rsidRDefault="00BD062A" w:rsidP="00BD062A">
      <w:pPr>
        <w:pStyle w:val="MDPI31text"/>
        <w:rPr>
          <w:rFonts w:ascii="Times New Roman" w:eastAsiaTheme="minorEastAsia" w:hAnsi="Times New Roman"/>
          <w:szCs w:val="20"/>
          <w:lang w:eastAsia="zh-CN"/>
        </w:rPr>
      </w:pPr>
      <w:r w:rsidRPr="0040370C">
        <w:rPr>
          <w:rFonts w:ascii="Times New Roman" w:hAnsi="Times New Roman"/>
          <w:szCs w:val="20"/>
        </w:rPr>
        <w:t xml:space="preserve">The microarray dataset (GSE110147) comprising 11 healthy </w:t>
      </w:r>
      <w:proofErr w:type="gramStart"/>
      <w:r w:rsidRPr="0040370C">
        <w:rPr>
          <w:rFonts w:ascii="Times New Roman" w:hAnsi="Times New Roman"/>
          <w:szCs w:val="20"/>
        </w:rPr>
        <w:t>control</w:t>
      </w:r>
      <w:proofErr w:type="gramEnd"/>
      <w:r w:rsidRPr="0040370C">
        <w:rPr>
          <w:rFonts w:ascii="Times New Roman" w:hAnsi="Times New Roman"/>
          <w:szCs w:val="20"/>
        </w:rPr>
        <w:t xml:space="preserve"> and 10 pneumonia lung tissues was downloaded from the Gene Expression Omnibus (GEO) database (https://www.ncbi.nlm.nih.gov/geo/). The annotated platform of GSE110147 was [HuGene-1_0-st] </w:t>
      </w:r>
      <w:proofErr w:type="spellStart"/>
      <w:r w:rsidRPr="0040370C">
        <w:rPr>
          <w:rFonts w:ascii="Times New Roman" w:hAnsi="Times New Roman"/>
          <w:szCs w:val="20"/>
        </w:rPr>
        <w:t>Affymetrix</w:t>
      </w:r>
      <w:proofErr w:type="spellEnd"/>
      <w:r w:rsidRPr="0040370C">
        <w:rPr>
          <w:rFonts w:ascii="Times New Roman" w:hAnsi="Times New Roman"/>
          <w:szCs w:val="20"/>
        </w:rPr>
        <w:t xml:space="preserve"> Human Gene 1.0 ST Array [transcript (gene) version]. Based on the expression matrix, 25,294 genes were detected in the dataset. The differential gene expression analysis was performed using the R-</w:t>
      </w:r>
      <w:proofErr w:type="spellStart"/>
      <w:r w:rsidRPr="0040370C">
        <w:rPr>
          <w:rFonts w:ascii="Times New Roman" w:hAnsi="Times New Roman"/>
          <w:szCs w:val="20"/>
        </w:rPr>
        <w:t>limma</w:t>
      </w:r>
      <w:proofErr w:type="spellEnd"/>
      <w:r w:rsidRPr="0040370C">
        <w:rPr>
          <w:rFonts w:ascii="Times New Roman" w:hAnsi="Times New Roman"/>
          <w:szCs w:val="20"/>
        </w:rPr>
        <w:t xml:space="preserve"> package with the following threshold values: p&lt;0.05 and |log fold change (FC)|&gt;2. The </w:t>
      </w:r>
      <w:proofErr w:type="spellStart"/>
      <w:r w:rsidRPr="0040370C">
        <w:rPr>
          <w:rFonts w:ascii="Times New Roman" w:hAnsi="Times New Roman"/>
          <w:szCs w:val="20"/>
        </w:rPr>
        <w:t>thermogram</w:t>
      </w:r>
      <w:proofErr w:type="spellEnd"/>
      <w:r w:rsidRPr="0040370C">
        <w:rPr>
          <w:rFonts w:ascii="Times New Roman" w:hAnsi="Times New Roman"/>
          <w:szCs w:val="20"/>
        </w:rPr>
        <w:t xml:space="preserve"> maps of differentially expressed genes were plotted in the iDEP.90 tool (http://bioinformatics.sdstate.edu/idep/). The interactions among the proteins encoded by the differentially expressed genes of GSE110147 were analyzed using the String database (</w:t>
      </w:r>
      <w:hyperlink r:id="rId7" w:history="1">
        <w:r w:rsidRPr="0040370C">
          <w:rPr>
            <w:rStyle w:val="a3"/>
            <w:rFonts w:ascii="Times New Roman" w:hAnsi="Times New Roman"/>
            <w:szCs w:val="20"/>
          </w:rPr>
          <w:t>https://string-db.org/</w:t>
        </w:r>
      </w:hyperlink>
      <w:r w:rsidRPr="0040370C">
        <w:rPr>
          <w:rFonts w:ascii="Times New Roman" w:hAnsi="Times New Roman"/>
          <w:szCs w:val="20"/>
        </w:rPr>
        <w:t>).</w:t>
      </w:r>
    </w:p>
    <w:p w:rsidR="000C4943" w:rsidRPr="0040370C" w:rsidRDefault="000C4943" w:rsidP="00BD062A">
      <w:pPr>
        <w:pStyle w:val="MDPI31text"/>
        <w:rPr>
          <w:rFonts w:ascii="Times New Roman" w:eastAsiaTheme="minorEastAsia" w:hAnsi="Times New Roman"/>
          <w:szCs w:val="20"/>
          <w:lang w:eastAsia="zh-CN"/>
        </w:rPr>
      </w:pPr>
    </w:p>
    <w:p w:rsidR="000C4943" w:rsidRPr="0040370C" w:rsidRDefault="000C4943" w:rsidP="000C4943">
      <w:pPr>
        <w:pStyle w:val="MDPI31text"/>
        <w:ind w:firstLine="0"/>
        <w:rPr>
          <w:rFonts w:ascii="Times New Roman" w:hAnsi="Times New Roman"/>
          <w:b/>
          <w:color w:val="000000" w:themeColor="text1"/>
        </w:rPr>
      </w:pPr>
      <w:r w:rsidRPr="0040370C">
        <w:rPr>
          <w:rFonts w:ascii="Times New Roman" w:hAnsi="Times New Roman"/>
          <w:b/>
          <w:color w:val="000000" w:themeColor="text1"/>
        </w:rPr>
        <w:t>Bi-Yuan-Tong-</w:t>
      </w:r>
      <w:proofErr w:type="spellStart"/>
      <w:r w:rsidRPr="0040370C">
        <w:rPr>
          <w:rFonts w:ascii="Times New Roman" w:hAnsi="Times New Roman"/>
          <w:b/>
          <w:color w:val="000000" w:themeColor="text1"/>
        </w:rPr>
        <w:t>Qiao</w:t>
      </w:r>
      <w:proofErr w:type="spellEnd"/>
      <w:r w:rsidRPr="0040370C">
        <w:rPr>
          <w:rFonts w:ascii="Times New Roman" w:hAnsi="Times New Roman"/>
          <w:b/>
          <w:color w:val="000000" w:themeColor="text1"/>
        </w:rPr>
        <w:t xml:space="preserve"> granule and </w:t>
      </w:r>
      <w:proofErr w:type="spellStart"/>
      <w:r w:rsidRPr="0040370C">
        <w:rPr>
          <w:rFonts w:ascii="Times New Roman" w:hAnsi="Times New Roman"/>
          <w:b/>
          <w:color w:val="000000" w:themeColor="text1"/>
        </w:rPr>
        <w:t>ultraperformance</w:t>
      </w:r>
      <w:proofErr w:type="spellEnd"/>
      <w:r w:rsidRPr="0040370C">
        <w:rPr>
          <w:rFonts w:ascii="Times New Roman" w:hAnsi="Times New Roman"/>
          <w:b/>
          <w:color w:val="000000" w:themeColor="text1"/>
        </w:rPr>
        <w:t xml:space="preserve"> liquid chromatography-mass spectrometry (UPLC/MS) analysis</w:t>
      </w:r>
    </w:p>
    <w:p w:rsidR="000C4943" w:rsidRPr="0040370C" w:rsidRDefault="000C4943" w:rsidP="000C4943">
      <w:pPr>
        <w:pStyle w:val="MDPI31text"/>
        <w:rPr>
          <w:rFonts w:ascii="Times New Roman" w:hAnsi="Times New Roman"/>
          <w:color w:val="000000" w:themeColor="text1"/>
        </w:rPr>
      </w:pPr>
      <w:r w:rsidRPr="0040370C">
        <w:rPr>
          <w:rFonts w:ascii="Times New Roman" w:hAnsi="Times New Roman"/>
          <w:color w:val="000000" w:themeColor="text1"/>
        </w:rPr>
        <w:t>Bi-Yuan-Tong-</w:t>
      </w:r>
      <w:proofErr w:type="spellStart"/>
      <w:r w:rsidRPr="0040370C">
        <w:rPr>
          <w:rFonts w:ascii="Times New Roman" w:hAnsi="Times New Roman"/>
          <w:color w:val="000000" w:themeColor="text1"/>
        </w:rPr>
        <w:t>Qiao</w:t>
      </w:r>
      <w:proofErr w:type="spellEnd"/>
      <w:r w:rsidRPr="0040370C">
        <w:rPr>
          <w:rFonts w:ascii="Times New Roman" w:hAnsi="Times New Roman"/>
          <w:color w:val="000000" w:themeColor="text1"/>
        </w:rPr>
        <w:t xml:space="preserve"> granule </w:t>
      </w:r>
      <w:r w:rsidRPr="0040370C">
        <w:rPr>
          <w:rFonts w:ascii="Times New Roman" w:eastAsiaTheme="minorEastAsia" w:hAnsi="Times New Roman"/>
          <w:color w:val="000000" w:themeColor="text1"/>
          <w:lang w:eastAsia="zh-CN"/>
        </w:rPr>
        <w:t>(</w:t>
      </w:r>
      <w:r w:rsidRPr="0040370C">
        <w:rPr>
          <w:rFonts w:ascii="Times New Roman" w:hAnsi="Times New Roman"/>
          <w:color w:val="000000" w:themeColor="text1"/>
        </w:rPr>
        <w:t>BYTQG</w:t>
      </w:r>
      <w:r w:rsidRPr="0040370C">
        <w:rPr>
          <w:rFonts w:ascii="Times New Roman" w:eastAsiaTheme="minorEastAsia" w:hAnsi="Times New Roman"/>
          <w:color w:val="000000" w:themeColor="text1"/>
          <w:lang w:eastAsia="zh-CN"/>
        </w:rPr>
        <w:t>)</w:t>
      </w:r>
      <w:r w:rsidRPr="0040370C">
        <w:rPr>
          <w:rFonts w:ascii="Times New Roman" w:hAnsi="Times New Roman"/>
          <w:color w:val="000000" w:themeColor="text1"/>
        </w:rPr>
        <w:t xml:space="preserve"> (500 g, Shandong New Time Pharmaceutical Co., LTD., Batch number: 0021904002) was dissolved in 500 mL of 75% ethanol and subjected to </w:t>
      </w:r>
      <w:proofErr w:type="spellStart"/>
      <w:r w:rsidRPr="0040370C">
        <w:rPr>
          <w:rFonts w:ascii="Times New Roman" w:hAnsi="Times New Roman"/>
          <w:color w:val="000000" w:themeColor="text1"/>
        </w:rPr>
        <w:t>ultrasonication</w:t>
      </w:r>
      <w:proofErr w:type="spellEnd"/>
      <w:r w:rsidRPr="0040370C">
        <w:rPr>
          <w:rFonts w:ascii="Times New Roman" w:hAnsi="Times New Roman"/>
          <w:color w:val="000000" w:themeColor="text1"/>
        </w:rPr>
        <w:t xml:space="preserve"> for 30 min in an ultrasonic bath. The mixture was then filtered and repeated for 3 times. The extracts were concentrated by vacuum freeze-drying and stored at −20°C.</w:t>
      </w:r>
    </w:p>
    <w:p w:rsidR="00B21A60" w:rsidRPr="0040370C" w:rsidRDefault="000C4943" w:rsidP="0040370C">
      <w:pPr>
        <w:pStyle w:val="MDPI31text"/>
        <w:rPr>
          <w:rFonts w:ascii="Times New Roman" w:eastAsiaTheme="minorEastAsia" w:hAnsi="Times New Roman"/>
          <w:color w:val="000000" w:themeColor="text1"/>
          <w:lang w:eastAsia="zh-CN"/>
        </w:rPr>
      </w:pPr>
      <w:r w:rsidRPr="0040370C">
        <w:rPr>
          <w:rFonts w:ascii="Times New Roman" w:hAnsi="Times New Roman"/>
          <w:color w:val="000000" w:themeColor="text1"/>
        </w:rPr>
        <w:t xml:space="preserve">For UPLC/MS assay, Thermo Fisher Vanquish UHPLC attached to a Thermo Fisher Q </w:t>
      </w:r>
      <w:proofErr w:type="spellStart"/>
      <w:r w:rsidRPr="0040370C">
        <w:rPr>
          <w:rFonts w:ascii="Times New Roman" w:hAnsi="Times New Roman"/>
          <w:color w:val="000000" w:themeColor="text1"/>
        </w:rPr>
        <w:t>Exactive</w:t>
      </w:r>
      <w:proofErr w:type="spellEnd"/>
      <w:r w:rsidRPr="0040370C">
        <w:rPr>
          <w:rFonts w:ascii="Times New Roman" w:hAnsi="Times New Roman"/>
          <w:color w:val="000000" w:themeColor="text1"/>
        </w:rPr>
        <w:t xml:space="preserve"> Mass Spectrometer (Thermo Fisher Scientific, Shanghai, China) was used. The UPLC conditions were as follows: column, ACQUITY UPLC HSS T3 column (100 mm × 2.1 mm, 1.8 </w:t>
      </w:r>
      <w:proofErr w:type="spellStart"/>
      <w:r w:rsidRPr="0040370C">
        <w:rPr>
          <w:rFonts w:ascii="Times New Roman" w:hAnsi="Times New Roman"/>
          <w:color w:val="000000" w:themeColor="text1"/>
        </w:rPr>
        <w:t>μm</w:t>
      </w:r>
      <w:proofErr w:type="spellEnd"/>
      <w:r w:rsidRPr="0040370C">
        <w:rPr>
          <w:rFonts w:ascii="Times New Roman" w:hAnsi="Times New Roman"/>
          <w:color w:val="000000" w:themeColor="text1"/>
        </w:rPr>
        <w:t xml:space="preserve"> particle size, Agilent); column temperature, 40°C; flow rate, 0.3 mL/min; mobile phase, 0.1% formic acid (mobile phase A) and 100% acetonitrile (mobile phase B). The gradient program was as follows: 0 to 2 min, 5-20% B; 2 to 4 min, 20-30% B; 4 to 8 min, 30-32% B; 8 to 12 min, 35-85% B; 12 to 15 min, 85-95%. The injection volume was 5 </w:t>
      </w:r>
      <w:proofErr w:type="spellStart"/>
      <w:r w:rsidRPr="0040370C">
        <w:rPr>
          <w:rFonts w:ascii="Times New Roman" w:hAnsi="Times New Roman"/>
          <w:color w:val="000000" w:themeColor="text1"/>
        </w:rPr>
        <w:t>μL</w:t>
      </w:r>
      <w:proofErr w:type="spellEnd"/>
      <w:r w:rsidRPr="0040370C">
        <w:rPr>
          <w:rFonts w:ascii="Times New Roman" w:hAnsi="Times New Roman"/>
          <w:color w:val="000000" w:themeColor="text1"/>
        </w:rPr>
        <w:t>.</w:t>
      </w:r>
    </w:p>
    <w:p w:rsidR="00B21A60" w:rsidRPr="0040370C" w:rsidRDefault="00B21A60" w:rsidP="0040370C">
      <w:pPr>
        <w:pStyle w:val="MDPI31text"/>
        <w:ind w:firstLine="0"/>
        <w:rPr>
          <w:rFonts w:ascii="Times New Roman" w:eastAsiaTheme="minorEastAsia" w:hAnsi="Times New Roman"/>
          <w:b/>
          <w:color w:val="000000" w:themeColor="text1"/>
          <w:lang w:eastAsia="zh-CN"/>
        </w:rPr>
      </w:pPr>
      <w:r w:rsidRPr="0040370C">
        <w:rPr>
          <w:rFonts w:ascii="Times New Roman" w:eastAsiaTheme="minorEastAsia" w:hAnsi="Times New Roman"/>
          <w:b/>
          <w:color w:val="000000" w:themeColor="text1"/>
          <w:lang w:eastAsia="zh-CN"/>
        </w:rPr>
        <w:t xml:space="preserve">Western Blot analysis </w:t>
      </w:r>
    </w:p>
    <w:p w:rsidR="00B21A60" w:rsidRPr="0040370C" w:rsidRDefault="00B21A60" w:rsidP="00B21A60">
      <w:pPr>
        <w:pStyle w:val="MDPI31text"/>
        <w:rPr>
          <w:rFonts w:ascii="Times New Roman" w:hAnsi="Times New Roman"/>
          <w:szCs w:val="20"/>
        </w:rPr>
      </w:pPr>
      <w:r w:rsidRPr="0040370C">
        <w:rPr>
          <w:rFonts w:ascii="Times New Roman" w:eastAsiaTheme="minorEastAsia" w:hAnsi="Times New Roman"/>
          <w:szCs w:val="20"/>
          <w:lang w:eastAsia="zh-CN"/>
        </w:rPr>
        <w:t>B</w:t>
      </w:r>
      <w:r w:rsidRPr="0040370C">
        <w:rPr>
          <w:rFonts w:ascii="Times New Roman" w:hAnsi="Times New Roman"/>
          <w:szCs w:val="20"/>
        </w:rPr>
        <w:t xml:space="preserve">riefly, cells were fixed in 4% paraformaldehyde for 15 min, at room temperature. Next, the cells were washed twice with ice-cold PBS and </w:t>
      </w:r>
      <w:proofErr w:type="spellStart"/>
      <w:r w:rsidRPr="0040370C">
        <w:rPr>
          <w:rFonts w:ascii="Times New Roman" w:hAnsi="Times New Roman"/>
          <w:szCs w:val="20"/>
        </w:rPr>
        <w:t>permeabilized</w:t>
      </w:r>
      <w:proofErr w:type="spellEnd"/>
      <w:r w:rsidRPr="0040370C">
        <w:rPr>
          <w:rFonts w:ascii="Times New Roman" w:hAnsi="Times New Roman"/>
          <w:szCs w:val="20"/>
        </w:rPr>
        <w:t xml:space="preserve"> with 0.1% Triton X 100. The cells were then incubated with 10% normal goat serum for 1 h at 37°C to block non-specific antibody binding. Further, the A549 cells were incubated with the primary antibodies at 4°C overnight. The cells were washed thrice with PBS. The cells were incubated with the secondary antibodies (1:1000) at 4°C for 2 h. Additionally, the cells were incubated with 4′</w:t>
      </w:r>
      <w:proofErr w:type="gramStart"/>
      <w:r w:rsidRPr="0040370C">
        <w:rPr>
          <w:rFonts w:ascii="Times New Roman" w:hAnsi="Times New Roman"/>
          <w:szCs w:val="20"/>
        </w:rPr>
        <w:t>,6</w:t>
      </w:r>
      <w:proofErr w:type="gramEnd"/>
      <w:r w:rsidRPr="0040370C">
        <w:rPr>
          <w:rFonts w:ascii="Times New Roman" w:hAnsi="Times New Roman"/>
          <w:szCs w:val="20"/>
        </w:rPr>
        <w:t>-diamidino-2-phenylindole (DAPI) for 10 min. The images were captured and analyzed under a fluorescence microscope (Olympus Corp., Tokyo, Japan).</w:t>
      </w:r>
    </w:p>
    <w:p w:rsidR="0097304F" w:rsidRPr="0040370C" w:rsidRDefault="00B21A60" w:rsidP="0040370C">
      <w:pPr>
        <w:pStyle w:val="MDPI31text"/>
        <w:rPr>
          <w:rFonts w:ascii="Times New Roman" w:eastAsiaTheme="minorEastAsia" w:hAnsi="Times New Roman"/>
          <w:szCs w:val="20"/>
          <w:lang w:eastAsia="zh-CN"/>
        </w:rPr>
      </w:pPr>
      <w:r w:rsidRPr="0040370C">
        <w:rPr>
          <w:rFonts w:ascii="Times New Roman" w:hAnsi="Times New Roman"/>
          <w:szCs w:val="20"/>
        </w:rPr>
        <w:t xml:space="preserve">For western blotting analysis, equal amounts of proteins (10 </w:t>
      </w:r>
      <w:proofErr w:type="spellStart"/>
      <w:r w:rsidRPr="0040370C">
        <w:rPr>
          <w:rFonts w:ascii="Times New Roman" w:hAnsi="Times New Roman"/>
          <w:szCs w:val="20"/>
        </w:rPr>
        <w:t>μg</w:t>
      </w:r>
      <w:proofErr w:type="spellEnd"/>
      <w:r w:rsidRPr="0040370C">
        <w:rPr>
          <w:rFonts w:ascii="Times New Roman" w:hAnsi="Times New Roman"/>
          <w:szCs w:val="20"/>
        </w:rPr>
        <w:t xml:space="preserve"> of cell protein and 30 </w:t>
      </w:r>
      <w:proofErr w:type="spellStart"/>
      <w:r w:rsidRPr="0040370C">
        <w:rPr>
          <w:rFonts w:ascii="Times New Roman" w:hAnsi="Times New Roman"/>
          <w:szCs w:val="20"/>
        </w:rPr>
        <w:t>μg</w:t>
      </w:r>
      <w:proofErr w:type="spellEnd"/>
      <w:r w:rsidRPr="0040370C">
        <w:rPr>
          <w:rFonts w:ascii="Times New Roman" w:hAnsi="Times New Roman"/>
          <w:szCs w:val="20"/>
        </w:rPr>
        <w:t xml:space="preserve"> of lung tissue protein) were subjected to </w:t>
      </w:r>
      <w:proofErr w:type="spellStart"/>
      <w:r w:rsidRPr="0040370C">
        <w:rPr>
          <w:rFonts w:ascii="Times New Roman" w:hAnsi="Times New Roman"/>
          <w:szCs w:val="20"/>
        </w:rPr>
        <w:t>to</w:t>
      </w:r>
      <w:proofErr w:type="spellEnd"/>
      <w:r w:rsidRPr="0040370C">
        <w:rPr>
          <w:rFonts w:ascii="Times New Roman" w:hAnsi="Times New Roman"/>
          <w:szCs w:val="20"/>
        </w:rPr>
        <w:t xml:space="preserve"> sodium dodecyl sulfate-polyacrylamide gel electrophoresis (SDS-PAGE) and then transferred to a </w:t>
      </w:r>
      <w:proofErr w:type="spellStart"/>
      <w:r w:rsidRPr="0040370C">
        <w:rPr>
          <w:rFonts w:ascii="Times New Roman" w:hAnsi="Times New Roman"/>
          <w:szCs w:val="20"/>
        </w:rPr>
        <w:t>polyvinylidene</w:t>
      </w:r>
      <w:proofErr w:type="spellEnd"/>
      <w:r w:rsidRPr="0040370C">
        <w:rPr>
          <w:rFonts w:ascii="Times New Roman" w:hAnsi="Times New Roman"/>
          <w:szCs w:val="20"/>
        </w:rPr>
        <w:t xml:space="preserve"> fluoride (PVDF) membrane. The membrane was then incubated with the following antibodies overnight at 4°C: anti-p-JNK (1:3000), anti-p65 (1:3000), anti-JNK (1:3000), anti-p-p38 (1:3000), anti-p-ERK1/2 antibodies (1:3000), anti-p-p65 (1:2500), anti-p38 (1:2500), anti-ERK1/2 (1:2500), anti-</w:t>
      </w:r>
      <w:proofErr w:type="spellStart"/>
      <w:r w:rsidRPr="0040370C">
        <w:rPr>
          <w:rFonts w:ascii="Times New Roman" w:hAnsi="Times New Roman"/>
          <w:szCs w:val="20"/>
        </w:rPr>
        <w:t>Bax</w:t>
      </w:r>
      <w:proofErr w:type="spellEnd"/>
      <w:r w:rsidRPr="0040370C">
        <w:rPr>
          <w:rFonts w:ascii="Times New Roman" w:hAnsi="Times New Roman"/>
          <w:szCs w:val="20"/>
        </w:rPr>
        <w:t xml:space="preserve"> (1:3500), anti-Bcl-2 (1:3000), anti-cleaved caspase-3 (1:3500), and anti- cleaved caspase-9 (1:3500) antibodies. Next, the membrane was incubated with the peroxidase-conjugated antibody (1:6000, Millipore, Billerica, MA) at 25 °C for 1.5 h. β-actin (1:4500) was used as a loading control. The protein bands were visualized by </w:t>
      </w:r>
      <w:proofErr w:type="spellStart"/>
      <w:r w:rsidRPr="0040370C">
        <w:rPr>
          <w:rFonts w:ascii="Times New Roman" w:hAnsi="Times New Roman"/>
          <w:szCs w:val="20"/>
        </w:rPr>
        <w:t>chemiluminescence</w:t>
      </w:r>
      <w:proofErr w:type="spellEnd"/>
      <w:r w:rsidRPr="0040370C">
        <w:rPr>
          <w:rFonts w:ascii="Times New Roman" w:hAnsi="Times New Roman"/>
          <w:szCs w:val="20"/>
        </w:rPr>
        <w:t xml:space="preserve"> and imaged using the Auto </w:t>
      </w:r>
      <w:proofErr w:type="spellStart"/>
      <w:r w:rsidRPr="0040370C">
        <w:rPr>
          <w:rFonts w:ascii="Times New Roman" w:hAnsi="Times New Roman"/>
          <w:szCs w:val="20"/>
        </w:rPr>
        <w:t>Chemi</w:t>
      </w:r>
      <w:proofErr w:type="spellEnd"/>
      <w:r w:rsidRPr="0040370C">
        <w:rPr>
          <w:rFonts w:ascii="Times New Roman" w:hAnsi="Times New Roman"/>
          <w:szCs w:val="20"/>
        </w:rPr>
        <w:t xml:space="preserve"> Imaging System (UVP LLC, Upland, CA). The </w:t>
      </w:r>
      <w:proofErr w:type="spellStart"/>
      <w:r w:rsidRPr="0040370C">
        <w:rPr>
          <w:rFonts w:ascii="Times New Roman" w:hAnsi="Times New Roman"/>
          <w:szCs w:val="20"/>
        </w:rPr>
        <w:t>densitometric</w:t>
      </w:r>
      <w:proofErr w:type="spellEnd"/>
      <w:r w:rsidRPr="0040370C">
        <w:rPr>
          <w:rFonts w:ascii="Times New Roman" w:hAnsi="Times New Roman"/>
          <w:szCs w:val="20"/>
        </w:rPr>
        <w:t xml:space="preserve"> quantification of bands was performed using the MCID Elite software (</w:t>
      </w:r>
      <w:proofErr w:type="spellStart"/>
      <w:r w:rsidRPr="0040370C">
        <w:rPr>
          <w:rFonts w:ascii="Times New Roman" w:hAnsi="Times New Roman"/>
          <w:szCs w:val="20"/>
        </w:rPr>
        <w:t>InterFocus</w:t>
      </w:r>
      <w:proofErr w:type="spellEnd"/>
      <w:r w:rsidRPr="0040370C">
        <w:rPr>
          <w:rFonts w:ascii="Times New Roman" w:hAnsi="Times New Roman"/>
          <w:szCs w:val="20"/>
        </w:rPr>
        <w:t xml:space="preserve"> Imaging Ltd., Linton, UK). Each assay was performed in triplicates. The results were averaged over three independent experiments. </w:t>
      </w:r>
    </w:p>
    <w:p w:rsidR="0097304F" w:rsidRPr="0040370C" w:rsidRDefault="0097304F" w:rsidP="0040370C">
      <w:pPr>
        <w:pStyle w:val="MDPI31text"/>
        <w:ind w:firstLine="0"/>
        <w:rPr>
          <w:rFonts w:ascii="Times New Roman" w:eastAsiaTheme="minorEastAsia" w:hAnsi="Times New Roman"/>
          <w:b/>
          <w:szCs w:val="20"/>
          <w:lang w:eastAsia="zh-CN"/>
        </w:rPr>
      </w:pPr>
      <w:r w:rsidRPr="0040370C">
        <w:rPr>
          <w:rFonts w:ascii="Times New Roman" w:eastAsiaTheme="minorEastAsia" w:hAnsi="Times New Roman"/>
          <w:b/>
          <w:szCs w:val="20"/>
          <w:lang w:eastAsia="zh-CN"/>
        </w:rPr>
        <w:t xml:space="preserve">Flow </w:t>
      </w:r>
      <w:proofErr w:type="spellStart"/>
      <w:r w:rsidRPr="0040370C">
        <w:rPr>
          <w:rFonts w:ascii="Times New Roman" w:eastAsiaTheme="minorEastAsia" w:hAnsi="Times New Roman"/>
          <w:b/>
          <w:szCs w:val="20"/>
          <w:lang w:eastAsia="zh-CN"/>
        </w:rPr>
        <w:t>cytometry</w:t>
      </w:r>
      <w:proofErr w:type="spellEnd"/>
      <w:r w:rsidRPr="0040370C">
        <w:rPr>
          <w:rFonts w:ascii="Times New Roman" w:eastAsiaTheme="minorEastAsia" w:hAnsi="Times New Roman"/>
          <w:b/>
          <w:szCs w:val="20"/>
          <w:lang w:eastAsia="zh-CN"/>
        </w:rPr>
        <w:t xml:space="preserve"> detection</w:t>
      </w:r>
    </w:p>
    <w:p w:rsidR="0097304F" w:rsidRPr="0040370C" w:rsidRDefault="0097304F" w:rsidP="0097304F">
      <w:pPr>
        <w:pStyle w:val="MDPI31text"/>
        <w:rPr>
          <w:rFonts w:ascii="Times New Roman" w:hAnsi="Times New Roman"/>
          <w:szCs w:val="20"/>
        </w:rPr>
      </w:pPr>
      <w:r w:rsidRPr="0040370C">
        <w:rPr>
          <w:rFonts w:ascii="Times New Roman" w:hAnsi="Times New Roman"/>
          <w:szCs w:val="20"/>
        </w:rPr>
        <w:t xml:space="preserve">The BALF </w:t>
      </w:r>
      <w:r w:rsidRPr="0040370C">
        <w:rPr>
          <w:rFonts w:ascii="Times New Roman" w:eastAsiaTheme="minorEastAsia" w:hAnsi="Times New Roman"/>
          <w:szCs w:val="20"/>
          <w:lang w:eastAsia="zh-CN"/>
        </w:rPr>
        <w:t xml:space="preserve">cells were </w:t>
      </w:r>
      <w:r w:rsidRPr="0040370C">
        <w:rPr>
          <w:rFonts w:ascii="Times New Roman" w:hAnsi="Times New Roman"/>
          <w:szCs w:val="20"/>
        </w:rPr>
        <w:t xml:space="preserve">incubated with fluorescein </w:t>
      </w:r>
      <w:proofErr w:type="spellStart"/>
      <w:r w:rsidRPr="0040370C">
        <w:rPr>
          <w:rFonts w:ascii="Times New Roman" w:hAnsi="Times New Roman"/>
          <w:szCs w:val="20"/>
        </w:rPr>
        <w:t>isothiocyanate</w:t>
      </w:r>
      <w:proofErr w:type="spellEnd"/>
      <w:r w:rsidRPr="0040370C">
        <w:rPr>
          <w:rFonts w:ascii="Times New Roman" w:hAnsi="Times New Roman"/>
          <w:szCs w:val="20"/>
        </w:rPr>
        <w:t xml:space="preserve"> (FITC)-conjugated anti-rat CD3 and </w:t>
      </w:r>
      <w:proofErr w:type="spellStart"/>
      <w:r w:rsidRPr="0040370C">
        <w:rPr>
          <w:rFonts w:ascii="Times New Roman" w:hAnsi="Times New Roman"/>
          <w:szCs w:val="20"/>
        </w:rPr>
        <w:t>allophycocyanin</w:t>
      </w:r>
      <w:proofErr w:type="spellEnd"/>
      <w:r w:rsidRPr="0040370C">
        <w:rPr>
          <w:rFonts w:ascii="Times New Roman" w:hAnsi="Times New Roman"/>
          <w:szCs w:val="20"/>
        </w:rPr>
        <w:t xml:space="preserve"> (APC)/Cy7-conjugated anti-rat CD4 antibodies at 4°C for 30 min. After washing, the cells were fixed and </w:t>
      </w:r>
      <w:proofErr w:type="spellStart"/>
      <w:r w:rsidRPr="0040370C">
        <w:rPr>
          <w:rFonts w:ascii="Times New Roman" w:hAnsi="Times New Roman"/>
          <w:szCs w:val="20"/>
        </w:rPr>
        <w:t>permeabilized</w:t>
      </w:r>
      <w:proofErr w:type="spellEnd"/>
      <w:r w:rsidRPr="0040370C">
        <w:rPr>
          <w:rFonts w:ascii="Times New Roman" w:hAnsi="Times New Roman"/>
          <w:szCs w:val="20"/>
        </w:rPr>
        <w:t xml:space="preserve"> using the </w:t>
      </w:r>
      <w:proofErr w:type="spellStart"/>
      <w:r w:rsidRPr="0040370C">
        <w:rPr>
          <w:rFonts w:ascii="Times New Roman" w:hAnsi="Times New Roman"/>
          <w:szCs w:val="20"/>
        </w:rPr>
        <w:t>Fix&amp;Perm</w:t>
      </w:r>
      <w:proofErr w:type="spellEnd"/>
      <w:r w:rsidRPr="0040370C">
        <w:rPr>
          <w:rFonts w:ascii="Times New Roman" w:hAnsi="Times New Roman"/>
          <w:szCs w:val="20"/>
        </w:rPr>
        <w:t xml:space="preserve"> kit (BD biosciences). For TNF-α and IFN-γ assay, cells were incubated with the APC-conjugated anti-TNF-α and </w:t>
      </w:r>
      <w:proofErr w:type="spellStart"/>
      <w:r w:rsidRPr="0040370C">
        <w:rPr>
          <w:rFonts w:ascii="Times New Roman" w:hAnsi="Times New Roman"/>
          <w:szCs w:val="20"/>
        </w:rPr>
        <w:t>phycoerythrin</w:t>
      </w:r>
      <w:proofErr w:type="spellEnd"/>
      <w:r w:rsidRPr="0040370C">
        <w:rPr>
          <w:rFonts w:ascii="Times New Roman" w:hAnsi="Times New Roman"/>
          <w:szCs w:val="20"/>
        </w:rPr>
        <w:t xml:space="preserve"> (PE)-conjugated anti-interferon (IFN)-γ, respectively, for 60 min at 4°C. For IL-18 detection, cells were stained with </w:t>
      </w:r>
      <w:r w:rsidRPr="0040370C">
        <w:rPr>
          <w:rFonts w:ascii="Times New Roman" w:hAnsi="Times New Roman"/>
          <w:szCs w:val="20"/>
        </w:rPr>
        <w:lastRenderedPageBreak/>
        <w:t xml:space="preserve">FITC conjugated anti-rat CD68 antibody (ED1, Invitrogen), and then incubated with </w:t>
      </w:r>
      <w:proofErr w:type="spellStart"/>
      <w:r w:rsidRPr="0040370C">
        <w:rPr>
          <w:rFonts w:ascii="Times New Roman" w:hAnsi="Times New Roman"/>
          <w:szCs w:val="20"/>
        </w:rPr>
        <w:t>biotinylated</w:t>
      </w:r>
      <w:proofErr w:type="spellEnd"/>
      <w:r w:rsidRPr="0040370C">
        <w:rPr>
          <w:rFonts w:ascii="Times New Roman" w:hAnsi="Times New Roman"/>
          <w:szCs w:val="20"/>
        </w:rPr>
        <w:t xml:space="preserve"> anti-rat IL-18 (R&amp;D Systems) antibody and PE conjugated streptavidin after fixing and </w:t>
      </w:r>
      <w:proofErr w:type="spellStart"/>
      <w:r w:rsidRPr="0040370C">
        <w:rPr>
          <w:rFonts w:ascii="Times New Roman" w:hAnsi="Times New Roman"/>
          <w:szCs w:val="20"/>
        </w:rPr>
        <w:t>permeabilizing</w:t>
      </w:r>
      <w:proofErr w:type="spellEnd"/>
      <w:r w:rsidRPr="0040370C">
        <w:rPr>
          <w:rFonts w:ascii="Times New Roman" w:hAnsi="Times New Roman"/>
          <w:szCs w:val="20"/>
        </w:rPr>
        <w:t xml:space="preserve">. The samples were analyzed in a flow cytometer (Beckman). </w:t>
      </w:r>
    </w:p>
    <w:p w:rsidR="0097304F" w:rsidRPr="0040370C" w:rsidRDefault="00D33CB6" w:rsidP="0040370C">
      <w:pPr>
        <w:pStyle w:val="MDPI31text"/>
        <w:ind w:firstLine="0"/>
        <w:rPr>
          <w:rFonts w:ascii="Times New Roman" w:eastAsiaTheme="minorEastAsia" w:hAnsi="Times New Roman"/>
          <w:b/>
          <w:szCs w:val="20"/>
          <w:lang w:eastAsia="zh-CN"/>
        </w:rPr>
      </w:pPr>
      <w:r w:rsidRPr="0040370C">
        <w:rPr>
          <w:rFonts w:ascii="Times New Roman" w:eastAsiaTheme="minorEastAsia" w:hAnsi="Times New Roman"/>
          <w:b/>
          <w:szCs w:val="20"/>
          <w:lang w:eastAsia="zh-CN"/>
        </w:rPr>
        <w:t>ELISA detection</w:t>
      </w:r>
    </w:p>
    <w:p w:rsidR="00D33CB6" w:rsidRPr="0040370C" w:rsidRDefault="00D33CB6" w:rsidP="00D33CB6">
      <w:pPr>
        <w:pStyle w:val="MDPI31text"/>
        <w:rPr>
          <w:rFonts w:ascii="Times New Roman" w:hAnsi="Times New Roman"/>
          <w:szCs w:val="20"/>
        </w:rPr>
      </w:pPr>
      <w:r w:rsidRPr="0040370C">
        <w:rPr>
          <w:rFonts w:ascii="Times New Roman" w:hAnsi="Times New Roman"/>
          <w:szCs w:val="20"/>
        </w:rPr>
        <w:t xml:space="preserve">Briefly, 0.1 mL of the diluted rat serum sample was added to the pre-coated wells of 96-well plate, sealed and incubated at 37°C for 90 min. Next, 0.1 mL of the </w:t>
      </w:r>
      <w:proofErr w:type="spellStart"/>
      <w:r w:rsidRPr="0040370C">
        <w:rPr>
          <w:rFonts w:ascii="Times New Roman" w:hAnsi="Times New Roman"/>
          <w:szCs w:val="20"/>
        </w:rPr>
        <w:t>biotinylated</w:t>
      </w:r>
      <w:proofErr w:type="spellEnd"/>
      <w:r w:rsidRPr="0040370C">
        <w:rPr>
          <w:rFonts w:ascii="Times New Roman" w:hAnsi="Times New Roman"/>
          <w:szCs w:val="20"/>
        </w:rPr>
        <w:t xml:space="preserve"> anti-rat detection antibody working solution was added into each well and incubated at 37°C for 60 min. Further, horseradish peroxidase (HRP)-conjugated streptavidin was added to the reaction mixture. The reaction mixture was then incubated with 3</w:t>
      </w:r>
      <w:proofErr w:type="gramStart"/>
      <w:r w:rsidRPr="0040370C">
        <w:rPr>
          <w:rFonts w:ascii="Times New Roman" w:hAnsi="Times New Roman"/>
          <w:szCs w:val="20"/>
        </w:rPr>
        <w:t>,3</w:t>
      </w:r>
      <w:proofErr w:type="gramEnd"/>
      <w:r w:rsidRPr="0040370C">
        <w:rPr>
          <w:rFonts w:ascii="Times New Roman" w:hAnsi="Times New Roman"/>
          <w:szCs w:val="20"/>
        </w:rPr>
        <w:t>′,5,5′-tetramethylbenzidine (TMB) and stop solution (2 M H</w:t>
      </w:r>
      <w:r w:rsidRPr="0040370C">
        <w:rPr>
          <w:rFonts w:ascii="Times New Roman" w:hAnsi="Times New Roman"/>
          <w:szCs w:val="20"/>
          <w:vertAlign w:val="subscript"/>
        </w:rPr>
        <w:t>2</w:t>
      </w:r>
      <w:r w:rsidRPr="0040370C">
        <w:rPr>
          <w:rFonts w:ascii="Times New Roman" w:hAnsi="Times New Roman"/>
          <w:szCs w:val="20"/>
        </w:rPr>
        <w:t>SO</w:t>
      </w:r>
      <w:r w:rsidRPr="0040370C">
        <w:rPr>
          <w:rFonts w:ascii="Times New Roman" w:hAnsi="Times New Roman"/>
          <w:szCs w:val="20"/>
          <w:vertAlign w:val="subscript"/>
        </w:rPr>
        <w:t>4</w:t>
      </w:r>
      <w:r w:rsidRPr="0040370C">
        <w:rPr>
          <w:rFonts w:ascii="Times New Roman" w:hAnsi="Times New Roman"/>
          <w:szCs w:val="20"/>
        </w:rPr>
        <w:t xml:space="preserve">). The optical density (OD) at 450 nm of the reaction mixture was measured using the </w:t>
      </w:r>
      <w:proofErr w:type="spellStart"/>
      <w:r w:rsidRPr="0040370C">
        <w:rPr>
          <w:rFonts w:ascii="Times New Roman" w:hAnsi="Times New Roman"/>
          <w:szCs w:val="20"/>
        </w:rPr>
        <w:t>microplate</w:t>
      </w:r>
      <w:proofErr w:type="spellEnd"/>
      <w:r w:rsidRPr="0040370C">
        <w:rPr>
          <w:rFonts w:ascii="Times New Roman" w:hAnsi="Times New Roman"/>
          <w:szCs w:val="20"/>
        </w:rPr>
        <w:t xml:space="preserve"> reader (</w:t>
      </w:r>
      <w:proofErr w:type="spellStart"/>
      <w:r w:rsidRPr="0040370C">
        <w:rPr>
          <w:rFonts w:ascii="Times New Roman" w:hAnsi="Times New Roman"/>
          <w:szCs w:val="20"/>
        </w:rPr>
        <w:t>multiskan</w:t>
      </w:r>
      <w:proofErr w:type="spellEnd"/>
      <w:r w:rsidRPr="0040370C">
        <w:rPr>
          <w:rFonts w:ascii="Times New Roman" w:hAnsi="Times New Roman"/>
          <w:szCs w:val="20"/>
        </w:rPr>
        <w:t xml:space="preserve"> spectrum) (Thermo </w:t>
      </w:r>
      <w:proofErr w:type="spellStart"/>
      <w:r w:rsidRPr="0040370C">
        <w:rPr>
          <w:rFonts w:ascii="Times New Roman" w:hAnsi="Times New Roman"/>
          <w:szCs w:val="20"/>
        </w:rPr>
        <w:t>Multiskan</w:t>
      </w:r>
      <w:proofErr w:type="spellEnd"/>
      <w:r w:rsidRPr="0040370C">
        <w:rPr>
          <w:rFonts w:ascii="Times New Roman" w:hAnsi="Times New Roman"/>
          <w:szCs w:val="20"/>
        </w:rPr>
        <w:t xml:space="preserve"> GO, # V124126, Thermo Scientific, Shanghai, China). </w:t>
      </w:r>
    </w:p>
    <w:p w:rsidR="00D33CB6" w:rsidRPr="0040370C" w:rsidRDefault="00420AC6" w:rsidP="0040370C">
      <w:pPr>
        <w:pStyle w:val="MDPI31text"/>
        <w:ind w:firstLine="0"/>
        <w:rPr>
          <w:rFonts w:ascii="Times New Roman" w:eastAsiaTheme="minorEastAsia" w:hAnsi="Times New Roman"/>
          <w:b/>
          <w:szCs w:val="20"/>
          <w:lang w:eastAsia="zh-CN"/>
        </w:rPr>
      </w:pPr>
      <w:r w:rsidRPr="0040370C">
        <w:rPr>
          <w:rFonts w:ascii="Times New Roman" w:eastAsiaTheme="minorEastAsia" w:hAnsi="Times New Roman"/>
          <w:b/>
          <w:szCs w:val="20"/>
          <w:lang w:eastAsia="zh-CN"/>
        </w:rPr>
        <w:t xml:space="preserve">IHC Staining </w:t>
      </w:r>
    </w:p>
    <w:p w:rsidR="00420AC6" w:rsidRPr="0040370C" w:rsidRDefault="0040370C" w:rsidP="00420AC6">
      <w:pPr>
        <w:pStyle w:val="MDPI31text"/>
        <w:rPr>
          <w:rFonts w:ascii="Times New Roman" w:hAnsi="Times New Roman"/>
          <w:szCs w:val="20"/>
        </w:rPr>
      </w:pPr>
      <w:r>
        <w:rPr>
          <w:rFonts w:ascii="Times New Roman" w:hAnsi="Times New Roman"/>
          <w:szCs w:val="20"/>
        </w:rPr>
        <w:t>In brief</w:t>
      </w:r>
      <w:r w:rsidR="00420AC6" w:rsidRPr="0040370C">
        <w:rPr>
          <w:rFonts w:ascii="Times New Roman" w:hAnsi="Times New Roman"/>
          <w:szCs w:val="20"/>
        </w:rPr>
        <w:t xml:space="preserve">, the lung tissue sections were rehydrated in a series of graded ethanol solutions and incubated with 0.3% H2O2 overnight at 4 °C to block the endogenous peroxidase activity. Next, the sections (5 slides per animal) were incubated with the specific primary antibodies against p-JNK (1:200), p-P38 (1:400), p-ERK1/2 (1:200), p-P65 (1:200), </w:t>
      </w:r>
      <w:proofErr w:type="spellStart"/>
      <w:r w:rsidR="00420AC6" w:rsidRPr="0040370C">
        <w:rPr>
          <w:rFonts w:ascii="Times New Roman" w:hAnsi="Times New Roman"/>
          <w:szCs w:val="20"/>
        </w:rPr>
        <w:t>Bax</w:t>
      </w:r>
      <w:proofErr w:type="spellEnd"/>
      <w:r w:rsidR="00420AC6" w:rsidRPr="0040370C">
        <w:rPr>
          <w:rFonts w:ascii="Times New Roman" w:hAnsi="Times New Roman"/>
          <w:szCs w:val="20"/>
        </w:rPr>
        <w:t xml:space="preserve"> (1:300), Caspase-3 (1:300), Caspase-9 (1:100) for 12 h at 4°C. The slides were then stained with 3</w:t>
      </w:r>
      <w:proofErr w:type="gramStart"/>
      <w:r w:rsidR="00420AC6" w:rsidRPr="0040370C">
        <w:rPr>
          <w:rFonts w:ascii="Times New Roman" w:hAnsi="Times New Roman"/>
          <w:szCs w:val="20"/>
        </w:rPr>
        <w:t>,3</w:t>
      </w:r>
      <w:proofErr w:type="gramEnd"/>
      <w:r w:rsidR="00420AC6" w:rsidRPr="0040370C">
        <w:rPr>
          <w:rFonts w:ascii="Times New Roman" w:hAnsi="Times New Roman"/>
          <w:szCs w:val="20"/>
        </w:rPr>
        <w:t xml:space="preserve">′-diaminobenzidine (DAB). The images were captured at 20X magnification and five fields were analyzed in each slide. The slides were scanned using Panoramic Scan (3DHISTECH Ltd, Budapest, Hungary) and the IHC staining intensity was quantified using the </w:t>
      </w:r>
      <w:proofErr w:type="spellStart"/>
      <w:r w:rsidR="00420AC6" w:rsidRPr="0040370C">
        <w:rPr>
          <w:rFonts w:ascii="Times New Roman" w:hAnsi="Times New Roman"/>
          <w:szCs w:val="20"/>
        </w:rPr>
        <w:t>Caseviewer</w:t>
      </w:r>
      <w:proofErr w:type="spellEnd"/>
      <w:r w:rsidR="00420AC6" w:rsidRPr="0040370C">
        <w:rPr>
          <w:rFonts w:ascii="Times New Roman" w:hAnsi="Times New Roman"/>
          <w:szCs w:val="20"/>
        </w:rPr>
        <w:t xml:space="preserve"> Software (</w:t>
      </w:r>
      <w:proofErr w:type="spellStart"/>
      <w:r w:rsidR="00420AC6" w:rsidRPr="0040370C">
        <w:rPr>
          <w:rFonts w:ascii="Times New Roman" w:hAnsi="Times New Roman"/>
          <w:szCs w:val="20"/>
        </w:rPr>
        <w:t>QuantCenter</w:t>
      </w:r>
      <w:proofErr w:type="spellEnd"/>
      <w:r w:rsidR="00420AC6" w:rsidRPr="0040370C">
        <w:rPr>
          <w:rFonts w:ascii="Times New Roman" w:hAnsi="Times New Roman"/>
          <w:szCs w:val="20"/>
        </w:rPr>
        <w:t xml:space="preserve"> version, 2.0.0.61665, 3DHISTECH Ltd, Budapest, Hungary).</w:t>
      </w:r>
    </w:p>
    <w:p w:rsidR="00B21A60" w:rsidRPr="0040370C" w:rsidRDefault="00B21A60" w:rsidP="000C4943">
      <w:pPr>
        <w:pStyle w:val="MDPI31text"/>
        <w:rPr>
          <w:rFonts w:ascii="Times New Roman" w:eastAsiaTheme="minorEastAsia" w:hAnsi="Times New Roman"/>
          <w:color w:val="000000" w:themeColor="text1"/>
          <w:szCs w:val="20"/>
          <w:lang w:eastAsia="zh-CN"/>
        </w:rPr>
      </w:pPr>
    </w:p>
    <w:p w:rsidR="00BD062A" w:rsidRPr="0040370C" w:rsidRDefault="00BD062A">
      <w:pPr>
        <w:rPr>
          <w:rFonts w:ascii="Times New Roman" w:hAnsi="Times New Roman" w:cs="Times New Roman"/>
        </w:rPr>
      </w:pPr>
    </w:p>
    <w:p w:rsidR="005F5164" w:rsidRPr="0040370C" w:rsidRDefault="005F5164">
      <w:pPr>
        <w:rPr>
          <w:rFonts w:ascii="Times New Roman" w:hAnsi="Times New Roman" w:cs="Times New Roman"/>
          <w:b/>
          <w:snapToGrid w:val="0"/>
          <w:color w:val="000000"/>
          <w:kern w:val="0"/>
          <w:sz w:val="20"/>
          <w:szCs w:val="20"/>
          <w:lang w:bidi="en-US"/>
        </w:rPr>
      </w:pPr>
      <w:r w:rsidRPr="0040370C">
        <w:rPr>
          <w:rFonts w:ascii="Times New Roman" w:hAnsi="Times New Roman" w:cs="Times New Roman"/>
          <w:b/>
          <w:snapToGrid w:val="0"/>
          <w:color w:val="000000"/>
          <w:kern w:val="0"/>
          <w:sz w:val="20"/>
          <w:szCs w:val="20"/>
          <w:lang w:bidi="en-US"/>
        </w:rPr>
        <w:t>Results:</w:t>
      </w:r>
    </w:p>
    <w:p w:rsidR="005F5164" w:rsidRPr="0040370C" w:rsidRDefault="005F5164" w:rsidP="005F5164">
      <w:pPr>
        <w:pStyle w:val="MDPI21heading1"/>
        <w:jc w:val="both"/>
        <w:rPr>
          <w:rFonts w:ascii="Times New Roman" w:eastAsiaTheme="minorEastAsia" w:hAnsi="Times New Roman"/>
          <w:szCs w:val="20"/>
          <w:lang w:eastAsia="zh-CN"/>
        </w:rPr>
      </w:pPr>
      <w:r w:rsidRPr="0040370C">
        <w:rPr>
          <w:rFonts w:ascii="Times New Roman" w:eastAsiaTheme="minorEastAsia" w:hAnsi="Times New Roman"/>
          <w:szCs w:val="20"/>
          <w:lang w:eastAsia="zh-CN"/>
        </w:rPr>
        <w:t>TNF-α signal pathway involved in pneumonia</w:t>
      </w:r>
    </w:p>
    <w:p w:rsidR="005F5164" w:rsidRPr="0040370C" w:rsidRDefault="005F5164" w:rsidP="005F5164">
      <w:pPr>
        <w:pStyle w:val="MDPI21heading1"/>
        <w:ind w:firstLineChars="200" w:firstLine="400"/>
        <w:jc w:val="both"/>
        <w:rPr>
          <w:rFonts w:ascii="Times New Roman" w:eastAsiaTheme="minorEastAsia" w:hAnsi="Times New Roman"/>
          <w:b w:val="0"/>
          <w:szCs w:val="20"/>
          <w:lang w:eastAsia="zh-CN"/>
        </w:rPr>
      </w:pPr>
      <w:r w:rsidRPr="0040370C">
        <w:rPr>
          <w:rFonts w:ascii="Times New Roman" w:hAnsi="Times New Roman"/>
          <w:b w:val="0"/>
          <w:szCs w:val="20"/>
        </w:rPr>
        <w:t xml:space="preserve">In total, 25,294 genes were detected in the GSE110147 dataset. Of these, 3,899 genes were differentially expressed in the pneumonia group (1,066 </w:t>
      </w:r>
      <w:proofErr w:type="spellStart"/>
      <w:r w:rsidRPr="0040370C">
        <w:rPr>
          <w:rFonts w:ascii="Times New Roman" w:hAnsi="Times New Roman"/>
          <w:b w:val="0"/>
          <w:szCs w:val="20"/>
        </w:rPr>
        <w:t>upregulated</w:t>
      </w:r>
      <w:proofErr w:type="spellEnd"/>
      <w:r w:rsidRPr="0040370C">
        <w:rPr>
          <w:rFonts w:ascii="Times New Roman" w:hAnsi="Times New Roman"/>
          <w:b w:val="0"/>
          <w:szCs w:val="20"/>
        </w:rPr>
        <w:t xml:space="preserve"> genes and 2,833 </w:t>
      </w:r>
      <w:proofErr w:type="spellStart"/>
      <w:r w:rsidRPr="0040370C">
        <w:rPr>
          <w:rFonts w:ascii="Times New Roman" w:hAnsi="Times New Roman"/>
          <w:b w:val="0"/>
          <w:szCs w:val="20"/>
        </w:rPr>
        <w:t>downregulated</w:t>
      </w:r>
      <w:proofErr w:type="spellEnd"/>
      <w:r w:rsidRPr="0040370C">
        <w:rPr>
          <w:rFonts w:ascii="Times New Roman" w:hAnsi="Times New Roman"/>
          <w:b w:val="0"/>
          <w:szCs w:val="20"/>
        </w:rPr>
        <w:t xml:space="preserve"> genes). These differentially expressed genes were further screened based on the following criteria to obtain 227 genes (70 </w:t>
      </w:r>
      <w:proofErr w:type="spellStart"/>
      <w:r w:rsidRPr="0040370C">
        <w:rPr>
          <w:rFonts w:ascii="Times New Roman" w:hAnsi="Times New Roman"/>
          <w:b w:val="0"/>
          <w:szCs w:val="20"/>
        </w:rPr>
        <w:t>upregulated</w:t>
      </w:r>
      <w:proofErr w:type="spellEnd"/>
      <w:r w:rsidRPr="0040370C">
        <w:rPr>
          <w:rFonts w:ascii="Times New Roman" w:hAnsi="Times New Roman"/>
          <w:b w:val="0"/>
          <w:szCs w:val="20"/>
        </w:rPr>
        <w:t xml:space="preserve"> and 157 </w:t>
      </w:r>
      <w:proofErr w:type="spellStart"/>
      <w:r w:rsidRPr="0040370C">
        <w:rPr>
          <w:rFonts w:ascii="Times New Roman" w:hAnsi="Times New Roman"/>
          <w:b w:val="0"/>
          <w:szCs w:val="20"/>
        </w:rPr>
        <w:t>downregulated</w:t>
      </w:r>
      <w:proofErr w:type="spellEnd"/>
      <w:r w:rsidRPr="0040370C">
        <w:rPr>
          <w:rFonts w:ascii="Times New Roman" w:hAnsi="Times New Roman"/>
          <w:b w:val="0"/>
          <w:szCs w:val="20"/>
        </w:rPr>
        <w:t xml:space="preserve"> genes): false discovery rate (FDR) cutoff value, 0.0001; minimum FC, 5. The signaling pathways in which these 227 genes are enriched were identified in the iDEP.90 database (http://bioinformatics.sdstate.edu/idep/). Of these 227 genes, 28 (15 </w:t>
      </w:r>
      <w:proofErr w:type="spellStart"/>
      <w:r w:rsidRPr="0040370C">
        <w:rPr>
          <w:rFonts w:ascii="Times New Roman" w:hAnsi="Times New Roman"/>
          <w:b w:val="0"/>
          <w:szCs w:val="20"/>
        </w:rPr>
        <w:t>upregulated</w:t>
      </w:r>
      <w:proofErr w:type="spellEnd"/>
      <w:r w:rsidRPr="0040370C">
        <w:rPr>
          <w:rFonts w:ascii="Times New Roman" w:hAnsi="Times New Roman"/>
          <w:b w:val="0"/>
          <w:szCs w:val="20"/>
        </w:rPr>
        <w:t xml:space="preserve"> and 13 </w:t>
      </w:r>
      <w:proofErr w:type="spellStart"/>
      <w:r w:rsidRPr="0040370C">
        <w:rPr>
          <w:rFonts w:ascii="Times New Roman" w:hAnsi="Times New Roman"/>
          <w:b w:val="0"/>
          <w:szCs w:val="20"/>
        </w:rPr>
        <w:t>downregulated</w:t>
      </w:r>
      <w:proofErr w:type="spellEnd"/>
      <w:r w:rsidRPr="0040370C">
        <w:rPr>
          <w:rFonts w:ascii="Times New Roman" w:hAnsi="Times New Roman"/>
          <w:b w:val="0"/>
          <w:szCs w:val="20"/>
        </w:rPr>
        <w:t xml:space="preserve"> between pneumonia and healthy control groups) genes were significantly associated with the TNF-α signaling pathway (p&lt;0.00001 and |log FC|&gt;5) (</w:t>
      </w:r>
      <w:r w:rsidR="00453025" w:rsidRPr="0040370C">
        <w:rPr>
          <w:rFonts w:ascii="Times New Roman" w:eastAsiaTheme="minorEastAsia" w:hAnsi="Times New Roman"/>
          <w:b w:val="0"/>
          <w:szCs w:val="20"/>
          <w:lang w:eastAsia="zh-CN"/>
        </w:rPr>
        <w:t>S</w:t>
      </w:r>
      <w:r w:rsidR="00453025" w:rsidRPr="0040370C">
        <w:rPr>
          <w:rFonts w:ascii="Times New Roman" w:hAnsi="Times New Roman"/>
          <w:b w:val="0"/>
          <w:szCs w:val="20"/>
        </w:rPr>
        <w:t>upplementa</w:t>
      </w:r>
      <w:r w:rsidR="009257F3" w:rsidRPr="0040370C">
        <w:rPr>
          <w:rFonts w:ascii="Times New Roman" w:eastAsiaTheme="minorEastAsia" w:hAnsi="Times New Roman"/>
          <w:b w:val="0"/>
          <w:szCs w:val="20"/>
          <w:lang w:eastAsia="zh-CN"/>
        </w:rPr>
        <w:t>l</w:t>
      </w:r>
      <w:r w:rsidR="00453025" w:rsidRPr="0040370C">
        <w:rPr>
          <w:rFonts w:ascii="Times New Roman" w:eastAsiaTheme="minorEastAsia" w:hAnsi="Times New Roman"/>
          <w:b w:val="0"/>
          <w:szCs w:val="20"/>
          <w:lang w:eastAsia="zh-CN"/>
        </w:rPr>
        <w:t xml:space="preserve"> </w:t>
      </w:r>
      <w:r w:rsidRPr="0040370C">
        <w:rPr>
          <w:rFonts w:ascii="Times New Roman" w:hAnsi="Times New Roman"/>
          <w:b w:val="0"/>
          <w:szCs w:val="20"/>
        </w:rPr>
        <w:t>Fig</w:t>
      </w:r>
      <w:r w:rsidR="004C7F81" w:rsidRPr="0040370C">
        <w:rPr>
          <w:rFonts w:ascii="Times New Roman" w:eastAsiaTheme="minorEastAsia" w:hAnsi="Times New Roman"/>
          <w:b w:val="0"/>
          <w:szCs w:val="20"/>
          <w:lang w:eastAsia="zh-CN"/>
        </w:rPr>
        <w:t>ure</w:t>
      </w:r>
      <w:r w:rsidRPr="0040370C">
        <w:rPr>
          <w:rFonts w:ascii="Times New Roman" w:hAnsi="Times New Roman"/>
          <w:b w:val="0"/>
          <w:szCs w:val="20"/>
        </w:rPr>
        <w:t xml:space="preserve"> </w:t>
      </w:r>
      <w:r w:rsidR="009257F3" w:rsidRPr="0040370C">
        <w:rPr>
          <w:rFonts w:ascii="Times New Roman" w:eastAsiaTheme="minorEastAsia" w:hAnsi="Times New Roman"/>
          <w:b w:val="0"/>
          <w:szCs w:val="20"/>
          <w:lang w:eastAsia="zh-CN"/>
        </w:rPr>
        <w:t>S</w:t>
      </w:r>
      <w:r w:rsidRPr="0040370C">
        <w:rPr>
          <w:rFonts w:ascii="Times New Roman" w:hAnsi="Times New Roman"/>
          <w:b w:val="0"/>
          <w:szCs w:val="20"/>
        </w:rPr>
        <w:t>1</w:t>
      </w:r>
      <w:r w:rsidRPr="0040370C">
        <w:rPr>
          <w:rFonts w:ascii="Times New Roman" w:eastAsiaTheme="minorEastAsia" w:hAnsi="Times New Roman"/>
          <w:b w:val="0"/>
          <w:szCs w:val="20"/>
          <w:lang w:eastAsia="zh-CN"/>
        </w:rPr>
        <w:t>a</w:t>
      </w:r>
      <w:r w:rsidRPr="0040370C">
        <w:rPr>
          <w:rFonts w:ascii="Times New Roman" w:hAnsi="Times New Roman"/>
          <w:b w:val="0"/>
          <w:szCs w:val="20"/>
        </w:rPr>
        <w:t>). The cellular biological functions mediated by these 28 genes are shown in</w:t>
      </w:r>
      <w:r w:rsidR="00453025" w:rsidRPr="0040370C">
        <w:rPr>
          <w:rFonts w:ascii="Times New Roman" w:eastAsiaTheme="minorEastAsia" w:hAnsi="Times New Roman"/>
          <w:b w:val="0"/>
          <w:szCs w:val="20"/>
          <w:lang w:eastAsia="zh-CN"/>
        </w:rPr>
        <w:t xml:space="preserve"> S</w:t>
      </w:r>
      <w:r w:rsidR="00453025" w:rsidRPr="0040370C">
        <w:rPr>
          <w:rFonts w:ascii="Times New Roman" w:hAnsi="Times New Roman"/>
          <w:b w:val="0"/>
          <w:szCs w:val="20"/>
        </w:rPr>
        <w:t>upplementa</w:t>
      </w:r>
      <w:r w:rsidR="009257F3" w:rsidRPr="0040370C">
        <w:rPr>
          <w:rFonts w:ascii="Times New Roman" w:eastAsiaTheme="minorEastAsia" w:hAnsi="Times New Roman"/>
          <w:b w:val="0"/>
          <w:szCs w:val="20"/>
          <w:lang w:eastAsia="zh-CN"/>
        </w:rPr>
        <w:t>l</w:t>
      </w:r>
      <w:r w:rsidRPr="0040370C">
        <w:rPr>
          <w:rFonts w:ascii="Times New Roman" w:hAnsi="Times New Roman"/>
          <w:b w:val="0"/>
          <w:szCs w:val="20"/>
        </w:rPr>
        <w:t xml:space="preserve"> </w:t>
      </w:r>
      <w:r w:rsidR="004C7F81" w:rsidRPr="0040370C">
        <w:rPr>
          <w:rFonts w:ascii="Times New Roman" w:hAnsi="Times New Roman"/>
          <w:b w:val="0"/>
          <w:szCs w:val="20"/>
        </w:rPr>
        <w:t>Fig</w:t>
      </w:r>
      <w:r w:rsidR="004C7F81" w:rsidRPr="0040370C">
        <w:rPr>
          <w:rFonts w:ascii="Times New Roman" w:eastAsiaTheme="minorEastAsia" w:hAnsi="Times New Roman"/>
          <w:b w:val="0"/>
          <w:szCs w:val="20"/>
          <w:lang w:eastAsia="zh-CN"/>
        </w:rPr>
        <w:t>ure</w:t>
      </w:r>
      <w:r w:rsidRPr="0040370C">
        <w:rPr>
          <w:rFonts w:ascii="Times New Roman" w:hAnsi="Times New Roman"/>
          <w:b w:val="0"/>
          <w:szCs w:val="20"/>
        </w:rPr>
        <w:t xml:space="preserve"> </w:t>
      </w:r>
      <w:r w:rsidR="009257F3" w:rsidRPr="0040370C">
        <w:rPr>
          <w:rFonts w:ascii="Times New Roman" w:eastAsiaTheme="minorEastAsia" w:hAnsi="Times New Roman"/>
          <w:b w:val="0"/>
          <w:szCs w:val="20"/>
          <w:lang w:eastAsia="zh-CN"/>
        </w:rPr>
        <w:t>S</w:t>
      </w:r>
      <w:r w:rsidRPr="0040370C">
        <w:rPr>
          <w:rFonts w:ascii="Times New Roman" w:hAnsi="Times New Roman"/>
          <w:b w:val="0"/>
          <w:szCs w:val="20"/>
        </w:rPr>
        <w:t>1</w:t>
      </w:r>
      <w:r w:rsidRPr="0040370C">
        <w:rPr>
          <w:rFonts w:ascii="Times New Roman" w:eastAsiaTheme="minorEastAsia" w:hAnsi="Times New Roman"/>
          <w:b w:val="0"/>
          <w:szCs w:val="20"/>
          <w:lang w:eastAsia="zh-CN"/>
        </w:rPr>
        <w:t>b</w:t>
      </w:r>
      <w:r w:rsidRPr="0040370C">
        <w:rPr>
          <w:rFonts w:ascii="Times New Roman" w:hAnsi="Times New Roman"/>
          <w:b w:val="0"/>
          <w:szCs w:val="20"/>
        </w:rPr>
        <w:t>. The interactions between all genes were analyzed using the String database (https://string-db.org/) (</w:t>
      </w:r>
      <w:r w:rsidR="00453025" w:rsidRPr="0040370C">
        <w:rPr>
          <w:rFonts w:ascii="Times New Roman" w:eastAsiaTheme="minorEastAsia" w:hAnsi="Times New Roman"/>
          <w:b w:val="0"/>
          <w:szCs w:val="20"/>
          <w:lang w:eastAsia="zh-CN"/>
        </w:rPr>
        <w:t>S</w:t>
      </w:r>
      <w:r w:rsidR="00453025" w:rsidRPr="0040370C">
        <w:rPr>
          <w:rFonts w:ascii="Times New Roman" w:hAnsi="Times New Roman"/>
          <w:b w:val="0"/>
          <w:szCs w:val="20"/>
        </w:rPr>
        <w:t>upplementa</w:t>
      </w:r>
      <w:r w:rsidR="009257F3" w:rsidRPr="0040370C">
        <w:rPr>
          <w:rFonts w:ascii="Times New Roman" w:eastAsiaTheme="minorEastAsia" w:hAnsi="Times New Roman"/>
          <w:b w:val="0"/>
          <w:szCs w:val="20"/>
          <w:lang w:eastAsia="zh-CN"/>
        </w:rPr>
        <w:t>l</w:t>
      </w:r>
      <w:r w:rsidR="00453025" w:rsidRPr="0040370C">
        <w:rPr>
          <w:rFonts w:ascii="Times New Roman" w:hAnsi="Times New Roman"/>
          <w:b w:val="0"/>
          <w:szCs w:val="20"/>
        </w:rPr>
        <w:t xml:space="preserve"> </w:t>
      </w:r>
      <w:r w:rsidR="004C7F81" w:rsidRPr="0040370C">
        <w:rPr>
          <w:rFonts w:ascii="Times New Roman" w:hAnsi="Times New Roman"/>
          <w:b w:val="0"/>
          <w:szCs w:val="20"/>
        </w:rPr>
        <w:t>Fig</w:t>
      </w:r>
      <w:r w:rsidR="004C7F81" w:rsidRPr="0040370C">
        <w:rPr>
          <w:rFonts w:ascii="Times New Roman" w:eastAsiaTheme="minorEastAsia" w:hAnsi="Times New Roman"/>
          <w:b w:val="0"/>
          <w:szCs w:val="20"/>
          <w:lang w:eastAsia="zh-CN"/>
        </w:rPr>
        <w:t>ure</w:t>
      </w:r>
      <w:r w:rsidRPr="0040370C">
        <w:rPr>
          <w:rFonts w:ascii="Times New Roman" w:hAnsi="Times New Roman"/>
          <w:b w:val="0"/>
          <w:szCs w:val="20"/>
        </w:rPr>
        <w:t xml:space="preserve"> </w:t>
      </w:r>
      <w:r w:rsidR="009257F3" w:rsidRPr="0040370C">
        <w:rPr>
          <w:rFonts w:ascii="Times New Roman" w:eastAsiaTheme="minorEastAsia" w:hAnsi="Times New Roman"/>
          <w:b w:val="0"/>
          <w:szCs w:val="20"/>
          <w:lang w:eastAsia="zh-CN"/>
        </w:rPr>
        <w:t>S</w:t>
      </w:r>
      <w:r w:rsidRPr="0040370C">
        <w:rPr>
          <w:rFonts w:ascii="Times New Roman" w:hAnsi="Times New Roman"/>
          <w:b w:val="0"/>
          <w:szCs w:val="20"/>
        </w:rPr>
        <w:t>1</w:t>
      </w:r>
      <w:r w:rsidRPr="0040370C">
        <w:rPr>
          <w:rFonts w:ascii="Times New Roman" w:eastAsiaTheme="minorEastAsia" w:hAnsi="Times New Roman"/>
          <w:b w:val="0"/>
          <w:szCs w:val="20"/>
          <w:lang w:eastAsia="zh-CN"/>
        </w:rPr>
        <w:t>c</w:t>
      </w:r>
      <w:r w:rsidRPr="0040370C">
        <w:rPr>
          <w:rFonts w:ascii="Times New Roman" w:hAnsi="Times New Roman"/>
          <w:b w:val="0"/>
          <w:szCs w:val="20"/>
        </w:rPr>
        <w:t>). The clinical data revealed that pneumonia is associated with TNF-α-induced signaling pathways.</w:t>
      </w:r>
      <w:r w:rsidR="00453025" w:rsidRPr="0040370C">
        <w:rPr>
          <w:rFonts w:ascii="Times New Roman" w:eastAsiaTheme="minorEastAsia" w:hAnsi="Times New Roman"/>
          <w:b w:val="0"/>
          <w:szCs w:val="20"/>
          <w:lang w:eastAsia="zh-CN"/>
        </w:rPr>
        <w:t xml:space="preserve"> </w:t>
      </w:r>
    </w:p>
    <w:p w:rsidR="0001192D" w:rsidRPr="0040370C" w:rsidRDefault="00F50421" w:rsidP="005F5164">
      <w:pPr>
        <w:pStyle w:val="MDPI21heading1"/>
        <w:ind w:firstLineChars="200" w:firstLine="400"/>
        <w:jc w:val="both"/>
        <w:rPr>
          <w:rFonts w:ascii="Times New Roman" w:eastAsiaTheme="minorEastAsia" w:hAnsi="Times New Roman"/>
          <w:b w:val="0"/>
          <w:szCs w:val="20"/>
          <w:lang w:eastAsia="zh-CN"/>
        </w:rPr>
      </w:pPr>
      <w:r w:rsidRPr="0040370C">
        <w:rPr>
          <w:rFonts w:ascii="Times New Roman" w:eastAsiaTheme="minorEastAsia" w:hAnsi="Times New Roman"/>
          <w:b w:val="0"/>
          <w:noProof/>
          <w:snapToGrid/>
          <w:szCs w:val="20"/>
          <w:lang w:eastAsia="zh-CN" w:bidi="ar-SA"/>
        </w:rPr>
        <w:lastRenderedPageBreak/>
        <w:drawing>
          <wp:inline distT="0" distB="0" distL="0" distR="0" wp14:anchorId="39156069" wp14:editId="04206A00">
            <wp:extent cx="5041392" cy="7513320"/>
            <wp:effectExtent l="0" t="0" r="698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 Figure 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1392" cy="7513320"/>
                    </a:xfrm>
                    <a:prstGeom prst="rect">
                      <a:avLst/>
                    </a:prstGeom>
                  </pic:spPr>
                </pic:pic>
              </a:graphicData>
            </a:graphic>
          </wp:inline>
        </w:drawing>
      </w:r>
    </w:p>
    <w:p w:rsidR="004C7F81" w:rsidRPr="0040370C" w:rsidRDefault="004C7F81" w:rsidP="00606053">
      <w:pPr>
        <w:pStyle w:val="MDPI21heading1"/>
        <w:jc w:val="both"/>
        <w:rPr>
          <w:rFonts w:ascii="Times New Roman" w:eastAsiaTheme="minorEastAsia" w:hAnsi="Times New Roman"/>
          <w:b w:val="0"/>
          <w:lang w:eastAsia="zh-CN"/>
        </w:rPr>
      </w:pPr>
      <w:proofErr w:type="gramStart"/>
      <w:r w:rsidRPr="0040370C">
        <w:rPr>
          <w:rFonts w:ascii="Times New Roman" w:eastAsiaTheme="minorEastAsia" w:hAnsi="Times New Roman"/>
          <w:szCs w:val="20"/>
          <w:lang w:eastAsia="zh-CN"/>
        </w:rPr>
        <w:t>Supplementa</w:t>
      </w:r>
      <w:r w:rsidR="009257F3" w:rsidRPr="0040370C">
        <w:rPr>
          <w:rFonts w:ascii="Times New Roman" w:eastAsiaTheme="minorEastAsia" w:hAnsi="Times New Roman"/>
          <w:szCs w:val="20"/>
          <w:lang w:eastAsia="zh-CN"/>
        </w:rPr>
        <w:t>l</w:t>
      </w:r>
      <w:r w:rsidRPr="0040370C">
        <w:rPr>
          <w:rFonts w:ascii="Times New Roman" w:eastAsiaTheme="minorEastAsia" w:hAnsi="Times New Roman"/>
          <w:szCs w:val="20"/>
          <w:lang w:eastAsia="zh-CN"/>
        </w:rPr>
        <w:t xml:space="preserve"> Figure </w:t>
      </w:r>
      <w:r w:rsidR="009257F3" w:rsidRPr="0040370C">
        <w:rPr>
          <w:rFonts w:ascii="Times New Roman" w:eastAsiaTheme="minorEastAsia" w:hAnsi="Times New Roman"/>
          <w:szCs w:val="20"/>
          <w:lang w:eastAsia="zh-CN"/>
        </w:rPr>
        <w:t>S</w:t>
      </w:r>
      <w:r w:rsidRPr="0040370C">
        <w:rPr>
          <w:rFonts w:ascii="Times New Roman" w:eastAsiaTheme="minorEastAsia" w:hAnsi="Times New Roman"/>
          <w:szCs w:val="20"/>
          <w:lang w:eastAsia="zh-CN"/>
        </w:rPr>
        <w:t>1.</w:t>
      </w:r>
      <w:proofErr w:type="gramEnd"/>
      <w:r w:rsidRPr="0040370C">
        <w:rPr>
          <w:rFonts w:ascii="Times New Roman" w:eastAsiaTheme="minorEastAsia" w:hAnsi="Times New Roman"/>
          <w:szCs w:val="20"/>
          <w:lang w:eastAsia="zh-CN"/>
        </w:rPr>
        <w:t xml:space="preserve"> Tumor necrosis factor (TNF)-α signaling pathway is involved in pneumonia. </w:t>
      </w:r>
      <w:r w:rsidRPr="0040370C">
        <w:rPr>
          <w:rFonts w:ascii="Times New Roman" w:eastAsiaTheme="minorEastAsia" w:hAnsi="Times New Roman"/>
          <w:b w:val="0"/>
          <w:szCs w:val="20"/>
          <w:lang w:eastAsia="zh-CN"/>
        </w:rPr>
        <w:t xml:space="preserve">(a) The </w:t>
      </w:r>
      <w:proofErr w:type="spellStart"/>
      <w:r w:rsidRPr="0040370C">
        <w:rPr>
          <w:rFonts w:ascii="Times New Roman" w:eastAsiaTheme="minorEastAsia" w:hAnsi="Times New Roman"/>
          <w:b w:val="0"/>
          <w:szCs w:val="20"/>
          <w:lang w:eastAsia="zh-CN"/>
        </w:rPr>
        <w:t>thermogram</w:t>
      </w:r>
      <w:proofErr w:type="spellEnd"/>
      <w:r w:rsidRPr="0040370C">
        <w:rPr>
          <w:rFonts w:ascii="Times New Roman" w:eastAsiaTheme="minorEastAsia" w:hAnsi="Times New Roman"/>
          <w:b w:val="0"/>
          <w:szCs w:val="20"/>
          <w:lang w:eastAsia="zh-CN"/>
        </w:rPr>
        <w:t xml:space="preserve"> shows 28 significantly differentially expressed genes, including 15 </w:t>
      </w:r>
      <w:proofErr w:type="spellStart"/>
      <w:r w:rsidRPr="0040370C">
        <w:rPr>
          <w:rFonts w:ascii="Times New Roman" w:eastAsiaTheme="minorEastAsia" w:hAnsi="Times New Roman"/>
          <w:b w:val="0"/>
          <w:szCs w:val="20"/>
          <w:lang w:eastAsia="zh-CN"/>
        </w:rPr>
        <w:t>upregulated</w:t>
      </w:r>
      <w:proofErr w:type="spellEnd"/>
      <w:r w:rsidRPr="0040370C">
        <w:rPr>
          <w:rFonts w:ascii="Times New Roman" w:eastAsiaTheme="minorEastAsia" w:hAnsi="Times New Roman"/>
          <w:b w:val="0"/>
          <w:szCs w:val="20"/>
          <w:lang w:eastAsia="zh-CN"/>
        </w:rPr>
        <w:t xml:space="preserve"> and 13 </w:t>
      </w:r>
      <w:proofErr w:type="spellStart"/>
      <w:r w:rsidRPr="0040370C">
        <w:rPr>
          <w:rFonts w:ascii="Times New Roman" w:eastAsiaTheme="minorEastAsia" w:hAnsi="Times New Roman"/>
          <w:b w:val="0"/>
          <w:szCs w:val="20"/>
          <w:lang w:eastAsia="zh-CN"/>
        </w:rPr>
        <w:t>downregulated</w:t>
      </w:r>
      <w:proofErr w:type="spellEnd"/>
      <w:r w:rsidRPr="0040370C">
        <w:rPr>
          <w:rFonts w:ascii="Times New Roman" w:eastAsiaTheme="minorEastAsia" w:hAnsi="Times New Roman"/>
          <w:b w:val="0"/>
          <w:szCs w:val="20"/>
          <w:lang w:eastAsia="zh-CN"/>
        </w:rPr>
        <w:t xml:space="preserve"> genes, between the pneumonia and healthy control groups. These genes were screened from the gene expression array dataset GSE110147. (b) The top 30 cellular biological functions in which these 28 genes are enriched are shown. (c) Interaction network between 28 differentially expressed genes were analyzed in the String database (</w:t>
      </w:r>
      <w:hyperlink r:id="rId9" w:history="1">
        <w:r w:rsidRPr="0040370C">
          <w:rPr>
            <w:rStyle w:val="a3"/>
            <w:rFonts w:ascii="Times New Roman" w:eastAsiaTheme="minorEastAsia" w:hAnsi="Times New Roman"/>
            <w:b w:val="0"/>
            <w:szCs w:val="20"/>
            <w:lang w:eastAsia="zh-CN"/>
          </w:rPr>
          <w:t>https://string-db.org/</w:t>
        </w:r>
      </w:hyperlink>
      <w:r w:rsidRPr="0040370C">
        <w:rPr>
          <w:rFonts w:ascii="Times New Roman" w:eastAsiaTheme="minorEastAsia" w:hAnsi="Times New Roman"/>
          <w:b w:val="0"/>
          <w:szCs w:val="20"/>
          <w:lang w:eastAsia="zh-CN"/>
        </w:rPr>
        <w:t>).</w:t>
      </w:r>
    </w:p>
    <w:p w:rsidR="00606053" w:rsidRPr="0040370C" w:rsidRDefault="00606053" w:rsidP="00606053">
      <w:pPr>
        <w:pStyle w:val="MDPI21heading1"/>
        <w:jc w:val="both"/>
        <w:rPr>
          <w:rFonts w:ascii="Times New Roman" w:eastAsiaTheme="minorEastAsia" w:hAnsi="Times New Roman"/>
          <w:szCs w:val="20"/>
          <w:lang w:eastAsia="zh-CN"/>
        </w:rPr>
      </w:pPr>
      <w:r w:rsidRPr="0040370C">
        <w:rPr>
          <w:rFonts w:ascii="Times New Roman" w:eastAsiaTheme="minorEastAsia" w:hAnsi="Times New Roman"/>
          <w:szCs w:val="20"/>
          <w:lang w:eastAsia="zh-CN"/>
        </w:rPr>
        <w:lastRenderedPageBreak/>
        <w:t xml:space="preserve">Chemical components in </w:t>
      </w:r>
      <w:r w:rsidR="00224F1B" w:rsidRPr="0040370C">
        <w:rPr>
          <w:rFonts w:ascii="Times New Roman" w:eastAsiaTheme="minorEastAsia" w:hAnsi="Times New Roman"/>
          <w:szCs w:val="20"/>
          <w:lang w:eastAsia="zh-CN"/>
        </w:rPr>
        <w:t>Bi-Yuan-Tong-</w:t>
      </w:r>
      <w:proofErr w:type="spellStart"/>
      <w:r w:rsidR="00224F1B" w:rsidRPr="0040370C">
        <w:rPr>
          <w:rFonts w:ascii="Times New Roman" w:eastAsiaTheme="minorEastAsia" w:hAnsi="Times New Roman"/>
          <w:szCs w:val="20"/>
          <w:lang w:eastAsia="zh-CN"/>
        </w:rPr>
        <w:t>Qiao</w:t>
      </w:r>
      <w:proofErr w:type="spellEnd"/>
      <w:r w:rsidR="00224F1B" w:rsidRPr="0040370C">
        <w:rPr>
          <w:rFonts w:ascii="Times New Roman" w:eastAsiaTheme="minorEastAsia" w:hAnsi="Times New Roman"/>
          <w:szCs w:val="20"/>
          <w:lang w:eastAsia="zh-CN"/>
        </w:rPr>
        <w:t xml:space="preserve"> granule (BYTQG)</w:t>
      </w:r>
      <w:r w:rsidRPr="0040370C">
        <w:rPr>
          <w:rFonts w:ascii="Times New Roman" w:eastAsiaTheme="minorEastAsia" w:hAnsi="Times New Roman"/>
          <w:szCs w:val="20"/>
          <w:lang w:eastAsia="zh-CN"/>
        </w:rPr>
        <w:t xml:space="preserve"> and network pharmacology analysis</w:t>
      </w:r>
    </w:p>
    <w:p w:rsidR="00606053" w:rsidRPr="0040370C" w:rsidRDefault="00606053" w:rsidP="00606053">
      <w:pPr>
        <w:pStyle w:val="MDPI21heading1"/>
        <w:ind w:firstLineChars="200" w:firstLine="400"/>
        <w:jc w:val="both"/>
        <w:rPr>
          <w:rFonts w:ascii="Times New Roman" w:eastAsiaTheme="minorEastAsia" w:hAnsi="Times New Roman"/>
          <w:b w:val="0"/>
          <w:lang w:eastAsia="zh-CN"/>
        </w:rPr>
      </w:pPr>
      <w:r w:rsidRPr="0040370C">
        <w:rPr>
          <w:rFonts w:ascii="Times New Roman" w:hAnsi="Times New Roman"/>
          <w:b w:val="0"/>
        </w:rPr>
        <w:t>The UPLC/MS analysis identified 10 components in the positive and negative [M+H] modes. Gamma-</w:t>
      </w:r>
      <w:proofErr w:type="spellStart"/>
      <w:r w:rsidRPr="0040370C">
        <w:rPr>
          <w:rFonts w:ascii="Times New Roman" w:hAnsi="Times New Roman"/>
          <w:b w:val="0"/>
        </w:rPr>
        <w:t>aminobutyric</w:t>
      </w:r>
      <w:proofErr w:type="spellEnd"/>
      <w:r w:rsidRPr="0040370C">
        <w:rPr>
          <w:rFonts w:ascii="Times New Roman" w:hAnsi="Times New Roman"/>
          <w:b w:val="0"/>
        </w:rPr>
        <w:t xml:space="preserve"> acid (GABA), </w:t>
      </w:r>
      <w:proofErr w:type="spellStart"/>
      <w:r w:rsidRPr="0040370C">
        <w:rPr>
          <w:rFonts w:ascii="Times New Roman" w:hAnsi="Times New Roman"/>
          <w:b w:val="0"/>
        </w:rPr>
        <w:t>hydrangeic</w:t>
      </w:r>
      <w:proofErr w:type="spellEnd"/>
      <w:r w:rsidRPr="0040370C">
        <w:rPr>
          <w:rFonts w:ascii="Times New Roman" w:hAnsi="Times New Roman"/>
          <w:b w:val="0"/>
        </w:rPr>
        <w:t xml:space="preserve"> acid, limonene, </w:t>
      </w:r>
      <w:proofErr w:type="spellStart"/>
      <w:r w:rsidRPr="0040370C">
        <w:rPr>
          <w:rFonts w:ascii="Times New Roman" w:hAnsi="Times New Roman"/>
          <w:b w:val="0"/>
        </w:rPr>
        <w:t>phillygenin</w:t>
      </w:r>
      <w:proofErr w:type="spellEnd"/>
      <w:r w:rsidRPr="0040370C">
        <w:rPr>
          <w:rFonts w:ascii="Times New Roman" w:hAnsi="Times New Roman"/>
          <w:b w:val="0"/>
        </w:rPr>
        <w:t xml:space="preserve">, </w:t>
      </w:r>
      <w:proofErr w:type="spellStart"/>
      <w:r w:rsidRPr="0040370C">
        <w:rPr>
          <w:rFonts w:ascii="Times New Roman" w:hAnsi="Times New Roman"/>
          <w:b w:val="0"/>
        </w:rPr>
        <w:t>miltionone</w:t>
      </w:r>
      <w:proofErr w:type="spellEnd"/>
      <w:r w:rsidRPr="0040370C">
        <w:rPr>
          <w:rFonts w:ascii="Times New Roman" w:hAnsi="Times New Roman"/>
          <w:b w:val="0"/>
        </w:rPr>
        <w:t xml:space="preserve"> I, and </w:t>
      </w:r>
      <w:proofErr w:type="spellStart"/>
      <w:r w:rsidRPr="0040370C">
        <w:rPr>
          <w:rFonts w:ascii="Times New Roman" w:hAnsi="Times New Roman"/>
          <w:b w:val="0"/>
        </w:rPr>
        <w:t>baicalein</w:t>
      </w:r>
      <w:proofErr w:type="spellEnd"/>
      <w:r w:rsidRPr="0040370C">
        <w:rPr>
          <w:rFonts w:ascii="Times New Roman" w:hAnsi="Times New Roman"/>
          <w:b w:val="0"/>
        </w:rPr>
        <w:t xml:space="preserve"> were identified in the [M+H</w:t>
      </w:r>
      <w:proofErr w:type="gramStart"/>
      <w:r w:rsidRPr="0040370C">
        <w:rPr>
          <w:rFonts w:ascii="Times New Roman" w:hAnsi="Times New Roman"/>
          <w:b w:val="0"/>
        </w:rPr>
        <w:t>]+</w:t>
      </w:r>
      <w:proofErr w:type="gramEnd"/>
      <w:r w:rsidRPr="0040370C">
        <w:rPr>
          <w:rFonts w:ascii="Times New Roman" w:hAnsi="Times New Roman"/>
          <w:b w:val="0"/>
        </w:rPr>
        <w:t xml:space="preserve"> mode, while </w:t>
      </w:r>
      <w:proofErr w:type="spellStart"/>
      <w:r w:rsidRPr="0040370C">
        <w:rPr>
          <w:rFonts w:ascii="Times New Roman" w:hAnsi="Times New Roman"/>
          <w:b w:val="0"/>
        </w:rPr>
        <w:t>eicosanol</w:t>
      </w:r>
      <w:proofErr w:type="spellEnd"/>
      <w:r w:rsidRPr="0040370C">
        <w:rPr>
          <w:rFonts w:ascii="Times New Roman" w:hAnsi="Times New Roman"/>
          <w:b w:val="0"/>
        </w:rPr>
        <w:t>, ephedrine, N-</w:t>
      </w:r>
      <w:proofErr w:type="spellStart"/>
      <w:r w:rsidRPr="0040370C">
        <w:rPr>
          <w:rFonts w:ascii="Times New Roman" w:hAnsi="Times New Roman"/>
          <w:b w:val="0"/>
        </w:rPr>
        <w:t>methylephedrine</w:t>
      </w:r>
      <w:proofErr w:type="spellEnd"/>
      <w:r w:rsidRPr="0040370C">
        <w:rPr>
          <w:rFonts w:ascii="Times New Roman" w:hAnsi="Times New Roman"/>
          <w:b w:val="0"/>
        </w:rPr>
        <w:t xml:space="preserve">, and </w:t>
      </w:r>
      <w:proofErr w:type="spellStart"/>
      <w:r w:rsidRPr="0040370C">
        <w:rPr>
          <w:rFonts w:ascii="Times New Roman" w:hAnsi="Times New Roman"/>
          <w:b w:val="0"/>
        </w:rPr>
        <w:t>chrysanthenone</w:t>
      </w:r>
      <w:proofErr w:type="spellEnd"/>
      <w:r w:rsidRPr="0040370C">
        <w:rPr>
          <w:rFonts w:ascii="Times New Roman" w:hAnsi="Times New Roman"/>
          <w:b w:val="0"/>
        </w:rPr>
        <w:t xml:space="preserve"> were identified in the [M-H]− mode (</w:t>
      </w:r>
      <w:r w:rsidR="004C7F81" w:rsidRPr="0040370C">
        <w:rPr>
          <w:rFonts w:ascii="Times New Roman" w:eastAsiaTheme="minorEastAsia" w:hAnsi="Times New Roman"/>
          <w:b w:val="0"/>
          <w:lang w:eastAsia="zh-CN"/>
        </w:rPr>
        <w:t>Supplementa</w:t>
      </w:r>
      <w:r w:rsidR="009257F3" w:rsidRPr="0040370C">
        <w:rPr>
          <w:rFonts w:ascii="Times New Roman" w:eastAsiaTheme="minorEastAsia" w:hAnsi="Times New Roman"/>
          <w:b w:val="0"/>
          <w:lang w:eastAsia="zh-CN"/>
        </w:rPr>
        <w:t>l</w:t>
      </w:r>
      <w:r w:rsidR="004C7F81" w:rsidRPr="0040370C">
        <w:rPr>
          <w:rFonts w:ascii="Times New Roman" w:eastAsiaTheme="minorEastAsia" w:hAnsi="Times New Roman"/>
          <w:b w:val="0"/>
          <w:lang w:eastAsia="zh-CN"/>
        </w:rPr>
        <w:t xml:space="preserve"> Figure</w:t>
      </w:r>
      <w:r w:rsidRPr="0040370C">
        <w:rPr>
          <w:rFonts w:ascii="Times New Roman" w:hAnsi="Times New Roman"/>
          <w:b w:val="0"/>
        </w:rPr>
        <w:t xml:space="preserve"> </w:t>
      </w:r>
      <w:r w:rsidR="009257F3" w:rsidRPr="0040370C">
        <w:rPr>
          <w:rFonts w:ascii="Times New Roman" w:eastAsiaTheme="minorEastAsia" w:hAnsi="Times New Roman"/>
          <w:b w:val="0"/>
          <w:lang w:eastAsia="zh-CN"/>
        </w:rPr>
        <w:t>S</w:t>
      </w:r>
      <w:r w:rsidRPr="0040370C">
        <w:rPr>
          <w:rFonts w:ascii="Times New Roman" w:hAnsi="Times New Roman"/>
          <w:b w:val="0"/>
        </w:rPr>
        <w:t>3</w:t>
      </w:r>
      <w:r w:rsidRPr="0040370C">
        <w:rPr>
          <w:rFonts w:ascii="Times New Roman" w:eastAsiaTheme="minorEastAsia" w:hAnsi="Times New Roman"/>
          <w:b w:val="0"/>
          <w:lang w:eastAsia="zh-CN"/>
        </w:rPr>
        <w:t>a</w:t>
      </w:r>
      <w:r w:rsidRPr="0040370C">
        <w:rPr>
          <w:rFonts w:ascii="Times New Roman" w:hAnsi="Times New Roman"/>
          <w:b w:val="0"/>
        </w:rPr>
        <w:t xml:space="preserve">). The respective chemical structures of these 10 chemicals of </w:t>
      </w:r>
      <w:r w:rsidR="00ED6BAF" w:rsidRPr="0040370C">
        <w:rPr>
          <w:rFonts w:ascii="Times New Roman" w:hAnsi="Times New Roman"/>
          <w:b w:val="0"/>
        </w:rPr>
        <w:t>ethanol extracts of BYTQG</w:t>
      </w:r>
      <w:r w:rsidRPr="0040370C">
        <w:rPr>
          <w:rFonts w:ascii="Times New Roman" w:hAnsi="Times New Roman"/>
          <w:b w:val="0"/>
        </w:rPr>
        <w:t xml:space="preserve"> are shown in </w:t>
      </w:r>
      <w:r w:rsidR="004C7F81" w:rsidRPr="0040370C">
        <w:rPr>
          <w:rFonts w:ascii="Times New Roman" w:eastAsiaTheme="minorEastAsia" w:hAnsi="Times New Roman"/>
          <w:b w:val="0"/>
          <w:lang w:eastAsia="zh-CN"/>
        </w:rPr>
        <w:t>Supplementa</w:t>
      </w:r>
      <w:r w:rsidR="009257F3" w:rsidRPr="0040370C">
        <w:rPr>
          <w:rFonts w:ascii="Times New Roman" w:eastAsiaTheme="minorEastAsia" w:hAnsi="Times New Roman"/>
          <w:b w:val="0"/>
          <w:lang w:eastAsia="zh-CN"/>
        </w:rPr>
        <w:t>l</w:t>
      </w:r>
      <w:r w:rsidR="004C7F81" w:rsidRPr="0040370C">
        <w:rPr>
          <w:rFonts w:ascii="Times New Roman" w:hAnsi="Times New Roman"/>
          <w:b w:val="0"/>
          <w:szCs w:val="20"/>
        </w:rPr>
        <w:t xml:space="preserve"> Fig</w:t>
      </w:r>
      <w:r w:rsidR="004C7F81" w:rsidRPr="0040370C">
        <w:rPr>
          <w:rFonts w:ascii="Times New Roman" w:eastAsiaTheme="minorEastAsia" w:hAnsi="Times New Roman"/>
          <w:b w:val="0"/>
          <w:szCs w:val="20"/>
          <w:lang w:eastAsia="zh-CN"/>
        </w:rPr>
        <w:t>ure</w:t>
      </w:r>
      <w:r w:rsidRPr="0040370C">
        <w:rPr>
          <w:rFonts w:ascii="Times New Roman" w:hAnsi="Times New Roman"/>
          <w:b w:val="0"/>
        </w:rPr>
        <w:t xml:space="preserve"> </w:t>
      </w:r>
      <w:r w:rsidR="009257F3" w:rsidRPr="0040370C">
        <w:rPr>
          <w:rFonts w:ascii="Times New Roman" w:eastAsiaTheme="minorEastAsia" w:hAnsi="Times New Roman"/>
          <w:b w:val="0"/>
          <w:lang w:eastAsia="zh-CN"/>
        </w:rPr>
        <w:t>S</w:t>
      </w:r>
      <w:r w:rsidRPr="0040370C">
        <w:rPr>
          <w:rFonts w:ascii="Times New Roman" w:hAnsi="Times New Roman"/>
          <w:b w:val="0"/>
        </w:rPr>
        <w:t>3</w:t>
      </w:r>
      <w:r w:rsidRPr="0040370C">
        <w:rPr>
          <w:rFonts w:ascii="Times New Roman" w:eastAsiaTheme="minorEastAsia" w:hAnsi="Times New Roman"/>
          <w:b w:val="0"/>
          <w:lang w:eastAsia="zh-CN"/>
        </w:rPr>
        <w:t>b</w:t>
      </w:r>
      <w:r w:rsidRPr="0040370C">
        <w:rPr>
          <w:rFonts w:ascii="Times New Roman" w:hAnsi="Times New Roman"/>
          <w:b w:val="0"/>
        </w:rPr>
        <w:t xml:space="preserve">. The top 20 KEGG pathways in which the target proteins of </w:t>
      </w:r>
      <w:r w:rsidR="00783FF5" w:rsidRPr="00783FF5">
        <w:rPr>
          <w:rFonts w:ascii="Times New Roman" w:hAnsi="Times New Roman"/>
          <w:b w:val="0"/>
        </w:rPr>
        <w:t>ethanol extracts of BYTQG</w:t>
      </w:r>
      <w:r w:rsidRPr="0040370C">
        <w:rPr>
          <w:rFonts w:ascii="Times New Roman" w:hAnsi="Times New Roman"/>
          <w:b w:val="0"/>
        </w:rPr>
        <w:t xml:space="preserve"> components predicted by BATMAN-TCM are enriched and shown in </w:t>
      </w:r>
      <w:r w:rsidR="004C7F81" w:rsidRPr="0040370C">
        <w:rPr>
          <w:rFonts w:ascii="Times New Roman" w:eastAsiaTheme="minorEastAsia" w:hAnsi="Times New Roman"/>
          <w:b w:val="0"/>
          <w:lang w:eastAsia="zh-CN"/>
        </w:rPr>
        <w:t>Supplementa</w:t>
      </w:r>
      <w:r w:rsidR="009257F3" w:rsidRPr="0040370C">
        <w:rPr>
          <w:rFonts w:ascii="Times New Roman" w:eastAsiaTheme="minorEastAsia" w:hAnsi="Times New Roman"/>
          <w:b w:val="0"/>
          <w:lang w:eastAsia="zh-CN"/>
        </w:rPr>
        <w:t>l</w:t>
      </w:r>
      <w:r w:rsidR="004C7F81" w:rsidRPr="0040370C">
        <w:rPr>
          <w:rFonts w:ascii="Times New Roman" w:hAnsi="Times New Roman"/>
          <w:b w:val="0"/>
          <w:szCs w:val="20"/>
        </w:rPr>
        <w:t xml:space="preserve"> Fig</w:t>
      </w:r>
      <w:r w:rsidR="004C7F81" w:rsidRPr="0040370C">
        <w:rPr>
          <w:rFonts w:ascii="Times New Roman" w:eastAsiaTheme="minorEastAsia" w:hAnsi="Times New Roman"/>
          <w:b w:val="0"/>
          <w:szCs w:val="20"/>
          <w:lang w:eastAsia="zh-CN"/>
        </w:rPr>
        <w:t>ure</w:t>
      </w:r>
      <w:r w:rsidRPr="0040370C">
        <w:rPr>
          <w:rFonts w:ascii="Times New Roman" w:hAnsi="Times New Roman"/>
          <w:b w:val="0"/>
        </w:rPr>
        <w:t xml:space="preserve"> </w:t>
      </w:r>
      <w:r w:rsidR="009257F3" w:rsidRPr="0040370C">
        <w:rPr>
          <w:rFonts w:ascii="Times New Roman" w:eastAsiaTheme="minorEastAsia" w:hAnsi="Times New Roman"/>
          <w:b w:val="0"/>
          <w:lang w:eastAsia="zh-CN"/>
        </w:rPr>
        <w:t>S</w:t>
      </w:r>
      <w:r w:rsidRPr="0040370C">
        <w:rPr>
          <w:rFonts w:ascii="Times New Roman" w:hAnsi="Times New Roman"/>
          <w:b w:val="0"/>
        </w:rPr>
        <w:t>3</w:t>
      </w:r>
      <w:r w:rsidRPr="0040370C">
        <w:rPr>
          <w:rFonts w:ascii="Times New Roman" w:eastAsiaTheme="minorEastAsia" w:hAnsi="Times New Roman"/>
          <w:b w:val="0"/>
          <w:lang w:eastAsia="zh-CN"/>
        </w:rPr>
        <w:t>c</w:t>
      </w:r>
      <w:r w:rsidRPr="0040370C">
        <w:rPr>
          <w:rFonts w:ascii="Times New Roman" w:hAnsi="Times New Roman"/>
          <w:b w:val="0"/>
        </w:rPr>
        <w:t xml:space="preserve">. One of the highest numbers of target proteins (27 proteins) was associated with the TNF-α signaling pathway. </w:t>
      </w:r>
    </w:p>
    <w:p w:rsidR="005F5164" w:rsidRPr="0040370C" w:rsidRDefault="00F50421">
      <w:pPr>
        <w:rPr>
          <w:rFonts w:ascii="Times New Roman" w:hAnsi="Times New Roman" w:cs="Times New Roman"/>
        </w:rPr>
      </w:pPr>
      <w:r w:rsidRPr="0040370C">
        <w:rPr>
          <w:rFonts w:ascii="Times New Roman" w:hAnsi="Times New Roman" w:cs="Times New Roman"/>
          <w:noProof/>
        </w:rPr>
        <w:drawing>
          <wp:inline distT="0" distB="0" distL="0" distR="0" wp14:anchorId="6A8F2AE9" wp14:editId="116E0D3B">
            <wp:extent cx="5041392" cy="4407408"/>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 Figure 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1392" cy="4407408"/>
                    </a:xfrm>
                    <a:prstGeom prst="rect">
                      <a:avLst/>
                    </a:prstGeom>
                  </pic:spPr>
                </pic:pic>
              </a:graphicData>
            </a:graphic>
          </wp:inline>
        </w:drawing>
      </w:r>
    </w:p>
    <w:p w:rsidR="004C7F81" w:rsidRPr="0040370C" w:rsidRDefault="004C7F81">
      <w:pPr>
        <w:rPr>
          <w:rFonts w:ascii="Times New Roman" w:hAnsi="Times New Roman" w:cs="Times New Roman"/>
          <w:sz w:val="20"/>
          <w:szCs w:val="20"/>
        </w:rPr>
      </w:pPr>
      <w:proofErr w:type="gramStart"/>
      <w:r w:rsidRPr="0040370C">
        <w:rPr>
          <w:rFonts w:ascii="Times New Roman" w:hAnsi="Times New Roman" w:cs="Times New Roman"/>
          <w:b/>
          <w:sz w:val="20"/>
          <w:szCs w:val="20"/>
        </w:rPr>
        <w:t>Supplementa</w:t>
      </w:r>
      <w:r w:rsidR="009257F3" w:rsidRPr="0040370C">
        <w:rPr>
          <w:rFonts w:ascii="Times New Roman" w:hAnsi="Times New Roman" w:cs="Times New Roman"/>
          <w:b/>
          <w:sz w:val="20"/>
          <w:szCs w:val="20"/>
        </w:rPr>
        <w:t>l</w:t>
      </w:r>
      <w:r w:rsidRPr="0040370C">
        <w:rPr>
          <w:rFonts w:ascii="Times New Roman" w:hAnsi="Times New Roman" w:cs="Times New Roman"/>
          <w:b/>
          <w:sz w:val="20"/>
          <w:szCs w:val="20"/>
        </w:rPr>
        <w:t xml:space="preserve"> Figure </w:t>
      </w:r>
      <w:r w:rsidR="009257F3" w:rsidRPr="0040370C">
        <w:rPr>
          <w:rFonts w:ascii="Times New Roman" w:hAnsi="Times New Roman" w:cs="Times New Roman"/>
          <w:b/>
          <w:sz w:val="20"/>
          <w:szCs w:val="20"/>
        </w:rPr>
        <w:t>S</w:t>
      </w:r>
      <w:r w:rsidRPr="0040370C">
        <w:rPr>
          <w:rFonts w:ascii="Times New Roman" w:hAnsi="Times New Roman" w:cs="Times New Roman"/>
          <w:b/>
          <w:sz w:val="20"/>
          <w:szCs w:val="20"/>
        </w:rPr>
        <w:t>2.</w:t>
      </w:r>
      <w:proofErr w:type="gramEnd"/>
      <w:r w:rsidRPr="0040370C">
        <w:rPr>
          <w:rFonts w:ascii="Times New Roman" w:hAnsi="Times New Roman" w:cs="Times New Roman"/>
          <w:sz w:val="20"/>
          <w:szCs w:val="20"/>
        </w:rPr>
        <w:t xml:space="preserve"> </w:t>
      </w:r>
      <w:r w:rsidR="00224F1B" w:rsidRPr="0040370C">
        <w:rPr>
          <w:rFonts w:ascii="Times New Roman" w:hAnsi="Times New Roman" w:cs="Times New Roman"/>
          <w:b/>
          <w:sz w:val="20"/>
          <w:szCs w:val="20"/>
        </w:rPr>
        <w:t>Chemical components in the ethanol extract of Bi-Yuan-Tong-</w:t>
      </w:r>
      <w:proofErr w:type="spellStart"/>
      <w:r w:rsidR="00224F1B" w:rsidRPr="0040370C">
        <w:rPr>
          <w:rFonts w:ascii="Times New Roman" w:hAnsi="Times New Roman" w:cs="Times New Roman"/>
          <w:b/>
          <w:sz w:val="20"/>
          <w:szCs w:val="20"/>
        </w:rPr>
        <w:t>Qiao</w:t>
      </w:r>
      <w:proofErr w:type="spellEnd"/>
      <w:r w:rsidR="00224F1B" w:rsidRPr="0040370C">
        <w:rPr>
          <w:rFonts w:ascii="Times New Roman" w:hAnsi="Times New Roman" w:cs="Times New Roman"/>
          <w:b/>
          <w:sz w:val="20"/>
          <w:szCs w:val="20"/>
        </w:rPr>
        <w:t xml:space="preserve"> granule (BYTQG) and network pharmacology analysis. </w:t>
      </w:r>
      <w:r w:rsidR="00224F1B" w:rsidRPr="0040370C">
        <w:rPr>
          <w:rFonts w:ascii="Times New Roman" w:hAnsi="Times New Roman" w:cs="Times New Roman"/>
          <w:sz w:val="20"/>
          <w:szCs w:val="20"/>
        </w:rPr>
        <w:t xml:space="preserve">Ten chemical components were identified in </w:t>
      </w:r>
      <w:r w:rsidR="00ED6BAF" w:rsidRPr="0040370C">
        <w:rPr>
          <w:rFonts w:ascii="Times New Roman" w:hAnsi="Times New Roman" w:cs="Times New Roman"/>
          <w:sz w:val="20"/>
          <w:szCs w:val="20"/>
        </w:rPr>
        <w:t>ethanol extracts of BYTQG</w:t>
      </w:r>
      <w:r w:rsidR="00224F1B" w:rsidRPr="0040370C">
        <w:rPr>
          <w:rFonts w:ascii="Times New Roman" w:hAnsi="Times New Roman" w:cs="Times New Roman"/>
          <w:sz w:val="20"/>
          <w:szCs w:val="20"/>
        </w:rPr>
        <w:t xml:space="preserve"> by liquid chromatography-mass spectrometry (LC/MS) analysis. (a) In the [M+H</w:t>
      </w:r>
      <w:proofErr w:type="gramStart"/>
      <w:r w:rsidR="00224F1B" w:rsidRPr="0040370C">
        <w:rPr>
          <w:rFonts w:ascii="Times New Roman" w:hAnsi="Times New Roman" w:cs="Times New Roman"/>
          <w:sz w:val="20"/>
          <w:szCs w:val="20"/>
        </w:rPr>
        <w:t>]+</w:t>
      </w:r>
      <w:proofErr w:type="gramEnd"/>
      <w:r w:rsidR="00224F1B" w:rsidRPr="0040370C">
        <w:rPr>
          <w:rFonts w:ascii="Times New Roman" w:hAnsi="Times New Roman" w:cs="Times New Roman"/>
          <w:sz w:val="20"/>
          <w:szCs w:val="20"/>
        </w:rPr>
        <w:t xml:space="preserve"> mode, the following six components were identified: 1. gamma-</w:t>
      </w:r>
      <w:proofErr w:type="spellStart"/>
      <w:r w:rsidR="00224F1B" w:rsidRPr="0040370C">
        <w:rPr>
          <w:rFonts w:ascii="Times New Roman" w:hAnsi="Times New Roman" w:cs="Times New Roman"/>
          <w:sz w:val="20"/>
          <w:szCs w:val="20"/>
        </w:rPr>
        <w:t>aminobutyric</w:t>
      </w:r>
      <w:proofErr w:type="spellEnd"/>
      <w:r w:rsidR="00224F1B" w:rsidRPr="0040370C">
        <w:rPr>
          <w:rFonts w:ascii="Times New Roman" w:hAnsi="Times New Roman" w:cs="Times New Roman"/>
          <w:sz w:val="20"/>
          <w:szCs w:val="20"/>
        </w:rPr>
        <w:t xml:space="preserve"> acid; 2. </w:t>
      </w:r>
      <w:proofErr w:type="spellStart"/>
      <w:r w:rsidR="00224F1B" w:rsidRPr="0040370C">
        <w:rPr>
          <w:rFonts w:ascii="Times New Roman" w:hAnsi="Times New Roman" w:cs="Times New Roman"/>
          <w:sz w:val="20"/>
          <w:szCs w:val="20"/>
        </w:rPr>
        <w:t>hydrangeic</w:t>
      </w:r>
      <w:proofErr w:type="spellEnd"/>
      <w:r w:rsidR="00224F1B" w:rsidRPr="0040370C">
        <w:rPr>
          <w:rFonts w:ascii="Times New Roman" w:hAnsi="Times New Roman" w:cs="Times New Roman"/>
          <w:sz w:val="20"/>
          <w:szCs w:val="20"/>
        </w:rPr>
        <w:t xml:space="preserve"> acid; 3. limonene; 4. </w:t>
      </w:r>
      <w:proofErr w:type="spellStart"/>
      <w:r w:rsidR="00224F1B" w:rsidRPr="0040370C">
        <w:rPr>
          <w:rFonts w:ascii="Times New Roman" w:hAnsi="Times New Roman" w:cs="Times New Roman"/>
          <w:sz w:val="20"/>
          <w:szCs w:val="20"/>
        </w:rPr>
        <w:t>phillygenin</w:t>
      </w:r>
      <w:proofErr w:type="spellEnd"/>
      <w:r w:rsidR="00224F1B" w:rsidRPr="0040370C">
        <w:rPr>
          <w:rFonts w:ascii="Times New Roman" w:hAnsi="Times New Roman" w:cs="Times New Roman"/>
          <w:sz w:val="20"/>
          <w:szCs w:val="20"/>
        </w:rPr>
        <w:t xml:space="preserve">; 5. </w:t>
      </w:r>
      <w:proofErr w:type="spellStart"/>
      <w:r w:rsidR="00224F1B" w:rsidRPr="0040370C">
        <w:rPr>
          <w:rFonts w:ascii="Times New Roman" w:hAnsi="Times New Roman" w:cs="Times New Roman"/>
          <w:sz w:val="20"/>
          <w:szCs w:val="20"/>
        </w:rPr>
        <w:t>miltlone</w:t>
      </w:r>
      <w:proofErr w:type="spellEnd"/>
      <w:r w:rsidR="00224F1B" w:rsidRPr="0040370C">
        <w:rPr>
          <w:rFonts w:ascii="Times New Roman" w:hAnsi="Times New Roman" w:cs="Times New Roman"/>
          <w:sz w:val="20"/>
          <w:szCs w:val="20"/>
        </w:rPr>
        <w:t xml:space="preserve"> I; 6. </w:t>
      </w:r>
      <w:proofErr w:type="spellStart"/>
      <w:r w:rsidR="00224F1B" w:rsidRPr="0040370C">
        <w:rPr>
          <w:rFonts w:ascii="Times New Roman" w:hAnsi="Times New Roman" w:cs="Times New Roman"/>
          <w:sz w:val="20"/>
          <w:szCs w:val="20"/>
        </w:rPr>
        <w:t>baicalein</w:t>
      </w:r>
      <w:proofErr w:type="spellEnd"/>
      <w:r w:rsidR="00224F1B" w:rsidRPr="0040370C">
        <w:rPr>
          <w:rFonts w:ascii="Times New Roman" w:hAnsi="Times New Roman" w:cs="Times New Roman"/>
          <w:sz w:val="20"/>
          <w:szCs w:val="20"/>
        </w:rPr>
        <w:t>. In the [M−H</w:t>
      </w:r>
      <w:proofErr w:type="gramStart"/>
      <w:r w:rsidR="00224F1B" w:rsidRPr="0040370C">
        <w:rPr>
          <w:rFonts w:ascii="Times New Roman" w:hAnsi="Times New Roman" w:cs="Times New Roman"/>
          <w:sz w:val="20"/>
          <w:szCs w:val="20"/>
        </w:rPr>
        <w:t>]−</w:t>
      </w:r>
      <w:proofErr w:type="gramEnd"/>
      <w:r w:rsidR="00224F1B" w:rsidRPr="0040370C">
        <w:rPr>
          <w:rFonts w:ascii="Times New Roman" w:hAnsi="Times New Roman" w:cs="Times New Roman"/>
          <w:sz w:val="20"/>
          <w:szCs w:val="20"/>
        </w:rPr>
        <w:t xml:space="preserve"> mode, the following four components were identified: 7. </w:t>
      </w:r>
      <w:proofErr w:type="spellStart"/>
      <w:r w:rsidR="00224F1B" w:rsidRPr="0040370C">
        <w:rPr>
          <w:rFonts w:ascii="Times New Roman" w:hAnsi="Times New Roman" w:cs="Times New Roman"/>
          <w:sz w:val="20"/>
          <w:szCs w:val="20"/>
        </w:rPr>
        <w:t>eicosanol</w:t>
      </w:r>
      <w:proofErr w:type="spellEnd"/>
      <w:r w:rsidR="00224F1B" w:rsidRPr="0040370C">
        <w:rPr>
          <w:rFonts w:ascii="Times New Roman" w:hAnsi="Times New Roman" w:cs="Times New Roman"/>
          <w:sz w:val="20"/>
          <w:szCs w:val="20"/>
        </w:rPr>
        <w:t>; 8. ephedrine; 9. N-</w:t>
      </w:r>
      <w:proofErr w:type="spellStart"/>
      <w:r w:rsidR="00224F1B" w:rsidRPr="0040370C">
        <w:rPr>
          <w:rFonts w:ascii="Times New Roman" w:hAnsi="Times New Roman" w:cs="Times New Roman"/>
          <w:sz w:val="20"/>
          <w:szCs w:val="20"/>
        </w:rPr>
        <w:t>methylephedrine</w:t>
      </w:r>
      <w:proofErr w:type="spellEnd"/>
      <w:r w:rsidR="00224F1B" w:rsidRPr="0040370C">
        <w:rPr>
          <w:rFonts w:ascii="Times New Roman" w:hAnsi="Times New Roman" w:cs="Times New Roman"/>
          <w:sz w:val="20"/>
          <w:szCs w:val="20"/>
        </w:rPr>
        <w:t xml:space="preserve">; 10. </w:t>
      </w:r>
      <w:proofErr w:type="spellStart"/>
      <w:proofErr w:type="gramStart"/>
      <w:r w:rsidR="00224F1B" w:rsidRPr="0040370C">
        <w:rPr>
          <w:rFonts w:ascii="Times New Roman" w:hAnsi="Times New Roman" w:cs="Times New Roman"/>
          <w:sz w:val="20"/>
          <w:szCs w:val="20"/>
        </w:rPr>
        <w:t>chrysanthenone</w:t>
      </w:r>
      <w:proofErr w:type="spellEnd"/>
      <w:proofErr w:type="gramEnd"/>
      <w:r w:rsidR="00224F1B" w:rsidRPr="0040370C">
        <w:rPr>
          <w:rFonts w:ascii="Times New Roman" w:hAnsi="Times New Roman" w:cs="Times New Roman"/>
          <w:sz w:val="20"/>
          <w:szCs w:val="20"/>
        </w:rPr>
        <w:t xml:space="preserve">. (b) Chemical structures of the ten compounds from </w:t>
      </w:r>
      <w:r w:rsidR="00783FF5" w:rsidRPr="0040370C">
        <w:rPr>
          <w:rFonts w:ascii="Times New Roman" w:hAnsi="Times New Roman" w:cs="Times New Roman"/>
          <w:sz w:val="20"/>
          <w:szCs w:val="20"/>
        </w:rPr>
        <w:t>ethanol extracts of BYTQG</w:t>
      </w:r>
      <w:r w:rsidR="00224F1B" w:rsidRPr="0040370C">
        <w:rPr>
          <w:rFonts w:ascii="Times New Roman" w:hAnsi="Times New Roman" w:cs="Times New Roman"/>
          <w:sz w:val="20"/>
          <w:szCs w:val="20"/>
        </w:rPr>
        <w:t xml:space="preserve">. (c) The top 20 Kyoto Encyclopedia of Genes and Genomes (KEGG) pathways in which the target proteins of </w:t>
      </w:r>
      <w:r w:rsidR="00783FF5" w:rsidRPr="0040370C">
        <w:rPr>
          <w:rFonts w:ascii="Times New Roman" w:hAnsi="Times New Roman" w:cs="Times New Roman"/>
          <w:sz w:val="20"/>
          <w:szCs w:val="20"/>
        </w:rPr>
        <w:t>ethanol extracts of BYTQG</w:t>
      </w:r>
      <w:r w:rsidR="00224F1B" w:rsidRPr="0040370C">
        <w:rPr>
          <w:rFonts w:ascii="Times New Roman" w:hAnsi="Times New Roman" w:cs="Times New Roman"/>
          <w:sz w:val="20"/>
          <w:szCs w:val="20"/>
        </w:rPr>
        <w:t xml:space="preserve"> are enriched.</w:t>
      </w:r>
    </w:p>
    <w:sectPr w:rsidR="004C7F81" w:rsidRPr="004037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726C" w:rsidRDefault="0093726C" w:rsidP="00453025">
      <w:r>
        <w:separator/>
      </w:r>
    </w:p>
  </w:endnote>
  <w:endnote w:type="continuationSeparator" w:id="0">
    <w:p w:rsidR="0093726C" w:rsidRDefault="0093726C" w:rsidP="00453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726C" w:rsidRDefault="0093726C" w:rsidP="00453025">
      <w:r>
        <w:separator/>
      </w:r>
    </w:p>
  </w:footnote>
  <w:footnote w:type="continuationSeparator" w:id="0">
    <w:p w:rsidR="0093726C" w:rsidRDefault="0093726C" w:rsidP="004530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62A"/>
    <w:rsid w:val="0001192D"/>
    <w:rsid w:val="00020323"/>
    <w:rsid w:val="000274EF"/>
    <w:rsid w:val="000C4943"/>
    <w:rsid w:val="00125CB5"/>
    <w:rsid w:val="00162561"/>
    <w:rsid w:val="001962B4"/>
    <w:rsid w:val="002048B7"/>
    <w:rsid w:val="00224F1B"/>
    <w:rsid w:val="0027113F"/>
    <w:rsid w:val="002D0924"/>
    <w:rsid w:val="002D7686"/>
    <w:rsid w:val="002F131F"/>
    <w:rsid w:val="002F3123"/>
    <w:rsid w:val="00303410"/>
    <w:rsid w:val="00387BAF"/>
    <w:rsid w:val="003E7CF5"/>
    <w:rsid w:val="0040370C"/>
    <w:rsid w:val="00420AC6"/>
    <w:rsid w:val="00453025"/>
    <w:rsid w:val="004667C9"/>
    <w:rsid w:val="00490ADB"/>
    <w:rsid w:val="004C7F81"/>
    <w:rsid w:val="00532A48"/>
    <w:rsid w:val="005F5164"/>
    <w:rsid w:val="00606053"/>
    <w:rsid w:val="00783FF5"/>
    <w:rsid w:val="007D0D98"/>
    <w:rsid w:val="00803014"/>
    <w:rsid w:val="0084040C"/>
    <w:rsid w:val="008F65CE"/>
    <w:rsid w:val="009257F3"/>
    <w:rsid w:val="00926EDC"/>
    <w:rsid w:val="0093726C"/>
    <w:rsid w:val="00954ED8"/>
    <w:rsid w:val="0097304F"/>
    <w:rsid w:val="00996914"/>
    <w:rsid w:val="00A36367"/>
    <w:rsid w:val="00AF35C5"/>
    <w:rsid w:val="00B00D82"/>
    <w:rsid w:val="00B21A60"/>
    <w:rsid w:val="00BD062A"/>
    <w:rsid w:val="00BD1483"/>
    <w:rsid w:val="00BE4E07"/>
    <w:rsid w:val="00CC0883"/>
    <w:rsid w:val="00D33CB6"/>
    <w:rsid w:val="00DC0E26"/>
    <w:rsid w:val="00ED6BAF"/>
    <w:rsid w:val="00EE625E"/>
    <w:rsid w:val="00F50421"/>
    <w:rsid w:val="00F94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D062A"/>
    <w:rPr>
      <w:color w:val="0000FF" w:themeColor="hyperlink"/>
      <w:u w:val="single"/>
    </w:rPr>
  </w:style>
  <w:style w:type="paragraph" w:customStyle="1" w:styleId="MDPI31text">
    <w:name w:val="MDPI_3.1_text"/>
    <w:qFormat/>
    <w:rsid w:val="00BD062A"/>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customStyle="1" w:styleId="MDPI12title">
    <w:name w:val="MDPI_1.2_title"/>
    <w:next w:val="a"/>
    <w:qFormat/>
    <w:rsid w:val="000C4943"/>
    <w:pPr>
      <w:adjustRightInd w:val="0"/>
      <w:snapToGrid w:val="0"/>
      <w:spacing w:after="240" w:line="400" w:lineRule="exact"/>
    </w:pPr>
    <w:rPr>
      <w:rFonts w:ascii="Palatino Linotype" w:eastAsia="Times New Roman" w:hAnsi="Palatino Linotype" w:cs="Times New Roman"/>
      <w:b/>
      <w:snapToGrid w:val="0"/>
      <w:color w:val="000000"/>
      <w:kern w:val="0"/>
      <w:sz w:val="36"/>
      <w:szCs w:val="20"/>
      <w:lang w:eastAsia="de-DE" w:bidi="en-US"/>
    </w:rPr>
  </w:style>
  <w:style w:type="paragraph" w:customStyle="1" w:styleId="MDPI21heading1">
    <w:name w:val="MDPI_2.1_heading1"/>
    <w:basedOn w:val="a"/>
    <w:qFormat/>
    <w:rsid w:val="005F5164"/>
    <w:pPr>
      <w:widowControl/>
      <w:adjustRightInd w:val="0"/>
      <w:snapToGrid w:val="0"/>
      <w:spacing w:before="240" w:after="120" w:line="260" w:lineRule="atLeast"/>
      <w:jc w:val="left"/>
      <w:outlineLvl w:val="0"/>
    </w:pPr>
    <w:rPr>
      <w:rFonts w:ascii="Palatino Linotype" w:eastAsia="Times New Roman" w:hAnsi="Palatino Linotype" w:cs="Times New Roman"/>
      <w:b/>
      <w:snapToGrid w:val="0"/>
      <w:color w:val="000000"/>
      <w:kern w:val="0"/>
      <w:sz w:val="20"/>
      <w:lang w:eastAsia="de-DE" w:bidi="en-US"/>
    </w:rPr>
  </w:style>
  <w:style w:type="paragraph" w:styleId="a4">
    <w:name w:val="header"/>
    <w:basedOn w:val="a"/>
    <w:link w:val="Char"/>
    <w:uiPriority w:val="99"/>
    <w:unhideWhenUsed/>
    <w:rsid w:val="004530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53025"/>
    <w:rPr>
      <w:sz w:val="18"/>
      <w:szCs w:val="18"/>
    </w:rPr>
  </w:style>
  <w:style w:type="paragraph" w:styleId="a5">
    <w:name w:val="footer"/>
    <w:basedOn w:val="a"/>
    <w:link w:val="Char0"/>
    <w:uiPriority w:val="99"/>
    <w:unhideWhenUsed/>
    <w:rsid w:val="00453025"/>
    <w:pPr>
      <w:tabs>
        <w:tab w:val="center" w:pos="4153"/>
        <w:tab w:val="right" w:pos="8306"/>
      </w:tabs>
      <w:snapToGrid w:val="0"/>
      <w:jc w:val="left"/>
    </w:pPr>
    <w:rPr>
      <w:sz w:val="18"/>
      <w:szCs w:val="18"/>
    </w:rPr>
  </w:style>
  <w:style w:type="character" w:customStyle="1" w:styleId="Char0">
    <w:name w:val="页脚 Char"/>
    <w:basedOn w:val="a0"/>
    <w:link w:val="a5"/>
    <w:uiPriority w:val="99"/>
    <w:rsid w:val="00453025"/>
    <w:rPr>
      <w:sz w:val="18"/>
      <w:szCs w:val="18"/>
    </w:rPr>
  </w:style>
  <w:style w:type="paragraph" w:styleId="a6">
    <w:name w:val="Balloon Text"/>
    <w:basedOn w:val="a"/>
    <w:link w:val="Char1"/>
    <w:uiPriority w:val="99"/>
    <w:semiHidden/>
    <w:unhideWhenUsed/>
    <w:rsid w:val="0001192D"/>
    <w:rPr>
      <w:sz w:val="18"/>
      <w:szCs w:val="18"/>
    </w:rPr>
  </w:style>
  <w:style w:type="character" w:customStyle="1" w:styleId="Char1">
    <w:name w:val="批注框文本 Char"/>
    <w:basedOn w:val="a0"/>
    <w:link w:val="a6"/>
    <w:uiPriority w:val="99"/>
    <w:semiHidden/>
    <w:rsid w:val="0001192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D062A"/>
    <w:rPr>
      <w:color w:val="0000FF" w:themeColor="hyperlink"/>
      <w:u w:val="single"/>
    </w:rPr>
  </w:style>
  <w:style w:type="paragraph" w:customStyle="1" w:styleId="MDPI31text">
    <w:name w:val="MDPI_3.1_text"/>
    <w:qFormat/>
    <w:rsid w:val="00BD062A"/>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customStyle="1" w:styleId="MDPI12title">
    <w:name w:val="MDPI_1.2_title"/>
    <w:next w:val="a"/>
    <w:qFormat/>
    <w:rsid w:val="000C4943"/>
    <w:pPr>
      <w:adjustRightInd w:val="0"/>
      <w:snapToGrid w:val="0"/>
      <w:spacing w:after="240" w:line="400" w:lineRule="exact"/>
    </w:pPr>
    <w:rPr>
      <w:rFonts w:ascii="Palatino Linotype" w:eastAsia="Times New Roman" w:hAnsi="Palatino Linotype" w:cs="Times New Roman"/>
      <w:b/>
      <w:snapToGrid w:val="0"/>
      <w:color w:val="000000"/>
      <w:kern w:val="0"/>
      <w:sz w:val="36"/>
      <w:szCs w:val="20"/>
      <w:lang w:eastAsia="de-DE" w:bidi="en-US"/>
    </w:rPr>
  </w:style>
  <w:style w:type="paragraph" w:customStyle="1" w:styleId="MDPI21heading1">
    <w:name w:val="MDPI_2.1_heading1"/>
    <w:basedOn w:val="a"/>
    <w:qFormat/>
    <w:rsid w:val="005F5164"/>
    <w:pPr>
      <w:widowControl/>
      <w:adjustRightInd w:val="0"/>
      <w:snapToGrid w:val="0"/>
      <w:spacing w:before="240" w:after="120" w:line="260" w:lineRule="atLeast"/>
      <w:jc w:val="left"/>
      <w:outlineLvl w:val="0"/>
    </w:pPr>
    <w:rPr>
      <w:rFonts w:ascii="Palatino Linotype" w:eastAsia="Times New Roman" w:hAnsi="Palatino Linotype" w:cs="Times New Roman"/>
      <w:b/>
      <w:snapToGrid w:val="0"/>
      <w:color w:val="000000"/>
      <w:kern w:val="0"/>
      <w:sz w:val="20"/>
      <w:lang w:eastAsia="de-DE" w:bidi="en-US"/>
    </w:rPr>
  </w:style>
  <w:style w:type="paragraph" w:styleId="a4">
    <w:name w:val="header"/>
    <w:basedOn w:val="a"/>
    <w:link w:val="Char"/>
    <w:uiPriority w:val="99"/>
    <w:unhideWhenUsed/>
    <w:rsid w:val="004530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53025"/>
    <w:rPr>
      <w:sz w:val="18"/>
      <w:szCs w:val="18"/>
    </w:rPr>
  </w:style>
  <w:style w:type="paragraph" w:styleId="a5">
    <w:name w:val="footer"/>
    <w:basedOn w:val="a"/>
    <w:link w:val="Char0"/>
    <w:uiPriority w:val="99"/>
    <w:unhideWhenUsed/>
    <w:rsid w:val="00453025"/>
    <w:pPr>
      <w:tabs>
        <w:tab w:val="center" w:pos="4153"/>
        <w:tab w:val="right" w:pos="8306"/>
      </w:tabs>
      <w:snapToGrid w:val="0"/>
      <w:jc w:val="left"/>
    </w:pPr>
    <w:rPr>
      <w:sz w:val="18"/>
      <w:szCs w:val="18"/>
    </w:rPr>
  </w:style>
  <w:style w:type="character" w:customStyle="1" w:styleId="Char0">
    <w:name w:val="页脚 Char"/>
    <w:basedOn w:val="a0"/>
    <w:link w:val="a5"/>
    <w:uiPriority w:val="99"/>
    <w:rsid w:val="00453025"/>
    <w:rPr>
      <w:sz w:val="18"/>
      <w:szCs w:val="18"/>
    </w:rPr>
  </w:style>
  <w:style w:type="paragraph" w:styleId="a6">
    <w:name w:val="Balloon Text"/>
    <w:basedOn w:val="a"/>
    <w:link w:val="Char1"/>
    <w:uiPriority w:val="99"/>
    <w:semiHidden/>
    <w:unhideWhenUsed/>
    <w:rsid w:val="0001192D"/>
    <w:rPr>
      <w:sz w:val="18"/>
      <w:szCs w:val="18"/>
    </w:rPr>
  </w:style>
  <w:style w:type="character" w:customStyle="1" w:styleId="Char1">
    <w:name w:val="批注框文本 Char"/>
    <w:basedOn w:val="a0"/>
    <w:link w:val="a6"/>
    <w:uiPriority w:val="99"/>
    <w:semiHidden/>
    <w:rsid w:val="0001192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hyperlink" Target="https://string-db.or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hyperlink" Target="https://string-db.or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Pages>
  <Words>1430</Words>
  <Characters>8152</Characters>
  <Application>Microsoft Office Word</Application>
  <DocSecurity>0</DocSecurity>
  <Lines>67</Lines>
  <Paragraphs>19</Paragraphs>
  <ScaleCrop>false</ScaleCrop>
  <Company>HP</Company>
  <LinksUpToDate>false</LinksUpToDate>
  <CharactersWithSpaces>9563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18</cp:revision>
  <dcterms:created xsi:type="dcterms:W3CDTF">2021-04-09T03:02:00Z</dcterms:created>
  <dcterms:modified xsi:type="dcterms:W3CDTF">2021-04-14T06:15:00Z</dcterms:modified>
</cp:coreProperties>
</file>