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7647E1" w14:textId="77777777" w:rsidR="00CE0E8F" w:rsidRPr="00B4695D" w:rsidRDefault="00CE0E8F" w:rsidP="00CE0E8F">
      <w:pPr>
        <w:spacing w:line="360" w:lineRule="auto"/>
        <w:jc w:val="both"/>
        <w:rPr>
          <w:rFonts w:ascii="Times New Roman" w:eastAsia="Times New Roman" w:hAnsi="Times New Roman" w:cs="Times New Roman"/>
          <w:b/>
          <w:color w:val="000000" w:themeColor="text1"/>
          <w:sz w:val="29"/>
          <w:szCs w:val="29"/>
        </w:rPr>
      </w:pPr>
      <w:r w:rsidRPr="009B735D">
        <w:rPr>
          <w:rFonts w:ascii="Times New Roman" w:eastAsia="Times New Roman" w:hAnsi="Times New Roman" w:cs="Times New Roman"/>
          <w:b/>
          <w:color w:val="000000" w:themeColor="text1"/>
          <w:sz w:val="29"/>
          <w:szCs w:val="29"/>
          <w:highlight w:val="yellow"/>
        </w:rPr>
        <w:t>Synthesis of Ag/Cu decorated 3D self-assembled nanowire TiO</w:t>
      </w:r>
      <w:r w:rsidRPr="009B735D">
        <w:rPr>
          <w:rFonts w:ascii="Times New Roman" w:eastAsia="Times New Roman" w:hAnsi="Times New Roman" w:cs="Times New Roman"/>
          <w:b/>
          <w:color w:val="000000" w:themeColor="text1"/>
          <w:sz w:val="29"/>
          <w:szCs w:val="29"/>
          <w:highlight w:val="yellow"/>
          <w:vertAlign w:val="subscript"/>
        </w:rPr>
        <w:t>2</w:t>
      </w:r>
      <w:r w:rsidRPr="009B735D">
        <w:rPr>
          <w:rFonts w:ascii="Times New Roman" w:eastAsia="Times New Roman" w:hAnsi="Times New Roman" w:cs="Times New Roman"/>
          <w:b/>
          <w:color w:val="000000" w:themeColor="text1"/>
          <w:sz w:val="29"/>
          <w:szCs w:val="29"/>
          <w:highlight w:val="yellow"/>
        </w:rPr>
        <w:t xml:space="preserve"> Photocatalyst for Hydrogen Production: A Promising Pathway towards Sustainable Energy Generation</w:t>
      </w:r>
    </w:p>
    <w:p w14:paraId="2287B880" w14:textId="77777777" w:rsidR="00DF4551" w:rsidRPr="00BE5514" w:rsidRDefault="00DF4551" w:rsidP="00DF4551">
      <w:pPr>
        <w:spacing w:line="360" w:lineRule="auto"/>
        <w:jc w:val="both"/>
        <w:rPr>
          <w:rFonts w:ascii="Times New Roman" w:eastAsia="Times New Roman" w:hAnsi="Times New Roman" w:cs="Times New Roman"/>
          <w:b/>
          <w:color w:val="000000" w:themeColor="text1"/>
          <w:sz w:val="29"/>
          <w:szCs w:val="29"/>
        </w:rPr>
      </w:pPr>
    </w:p>
    <w:p w14:paraId="4BBDC1D8" w14:textId="77777777" w:rsidR="00DF4551" w:rsidRDefault="00DF4551" w:rsidP="00DF4551">
      <w:pPr>
        <w:spacing w:line="360" w:lineRule="auto"/>
        <w:jc w:val="center"/>
        <w:rPr>
          <w:rFonts w:ascii="Times New Roman" w:eastAsia="Times New Roman" w:hAnsi="Times New Roman" w:cs="Times New Roman"/>
          <w:highlight w:val="yellow"/>
        </w:rPr>
      </w:pPr>
      <w:r>
        <w:rPr>
          <w:rFonts w:ascii="Times New Roman" w:eastAsia="Times New Roman" w:hAnsi="Times New Roman" w:cs="Times New Roman"/>
        </w:rPr>
        <w:t>Sachin Wadhai and Pragati Thakur</w:t>
      </w:r>
      <w:r>
        <w:rPr>
          <w:rFonts w:ascii="Times New Roman" w:eastAsia="Times New Roman" w:hAnsi="Times New Roman" w:cs="Times New Roman"/>
          <w:vertAlign w:val="superscript"/>
        </w:rPr>
        <w:t>*</w:t>
      </w:r>
    </w:p>
    <w:p w14:paraId="49C24FEA" w14:textId="77777777" w:rsidR="00DF4551" w:rsidRDefault="00DF4551" w:rsidP="00DF4551">
      <w:pPr>
        <w:spacing w:line="360" w:lineRule="auto"/>
        <w:jc w:val="center"/>
        <w:rPr>
          <w:rFonts w:ascii="Times New Roman" w:eastAsia="Times New Roman" w:hAnsi="Times New Roman" w:cs="Times New Roman"/>
        </w:rPr>
      </w:pPr>
      <w:r>
        <w:rPr>
          <w:rFonts w:ascii="Times New Roman" w:eastAsia="Times New Roman" w:hAnsi="Times New Roman" w:cs="Times New Roman"/>
        </w:rPr>
        <w:t xml:space="preserve">Department of Chemistry, Savitribai Phule Pune University, </w:t>
      </w:r>
      <w:proofErr w:type="spellStart"/>
      <w:r>
        <w:rPr>
          <w:rFonts w:ascii="Times New Roman" w:eastAsia="Times New Roman" w:hAnsi="Times New Roman" w:cs="Times New Roman"/>
        </w:rPr>
        <w:t>Ganeshkhind</w:t>
      </w:r>
      <w:proofErr w:type="spellEnd"/>
      <w:r>
        <w:rPr>
          <w:rFonts w:ascii="Times New Roman" w:eastAsia="Times New Roman" w:hAnsi="Times New Roman" w:cs="Times New Roman"/>
        </w:rPr>
        <w:t>, Pune 411007, India</w:t>
      </w:r>
    </w:p>
    <w:p w14:paraId="3E8092AF" w14:textId="77777777" w:rsidR="00DF4551" w:rsidRPr="003513B5" w:rsidRDefault="00DF4551" w:rsidP="00DF4551">
      <w:pPr>
        <w:tabs>
          <w:tab w:val="center" w:pos="4513"/>
        </w:tabs>
        <w:spacing w:line="360" w:lineRule="auto"/>
        <w:rPr>
          <w:rFonts w:ascii="Times New Roman" w:eastAsia="Times New Roman" w:hAnsi="Times New Roman" w:cs="Times New Roman"/>
        </w:rPr>
      </w:pPr>
      <w:r>
        <w:rPr>
          <w:rFonts w:ascii="Times New Roman" w:eastAsia="Times New Roman" w:hAnsi="Times New Roman" w:cs="Times New Roman"/>
        </w:rPr>
        <w:tab/>
      </w:r>
      <w:r w:rsidRPr="003513B5">
        <w:rPr>
          <w:rFonts w:ascii="Times New Roman" w:eastAsia="Times New Roman" w:hAnsi="Times New Roman" w:cs="Times New Roman"/>
        </w:rPr>
        <w:t xml:space="preserve">*Corresponding author </w:t>
      </w:r>
      <w:r>
        <w:rPr>
          <w:rFonts w:ascii="Times New Roman" w:eastAsia="Times New Roman" w:hAnsi="Times New Roman" w:cs="Times New Roman"/>
        </w:rPr>
        <w:t xml:space="preserve">email </w:t>
      </w:r>
      <w:proofErr w:type="gramStart"/>
      <w:r>
        <w:rPr>
          <w:rFonts w:ascii="Times New Roman" w:eastAsia="Times New Roman" w:hAnsi="Times New Roman" w:cs="Times New Roman"/>
        </w:rPr>
        <w:t>ID :</w:t>
      </w:r>
      <w:proofErr w:type="gramEnd"/>
      <w:r>
        <w:rPr>
          <w:rFonts w:ascii="Times New Roman" w:eastAsia="Times New Roman" w:hAnsi="Times New Roman" w:cs="Times New Roman"/>
        </w:rPr>
        <w:t xml:space="preserve"> pragati.thakur@unipune.ac.in</w:t>
      </w:r>
    </w:p>
    <w:p w14:paraId="1E2D6CA3" w14:textId="77777777" w:rsidR="000C232D" w:rsidRDefault="00000000">
      <w:pPr>
        <w:tabs>
          <w:tab w:val="center" w:pos="4513"/>
        </w:tabs>
        <w:spacing w:line="360" w:lineRule="auto"/>
        <w:rPr>
          <w:rFonts w:ascii="Times New Roman" w:eastAsia="Times New Roman" w:hAnsi="Times New Roman" w:cs="Times New Roman"/>
        </w:rPr>
      </w:pPr>
      <w:r>
        <w:rPr>
          <w:rFonts w:ascii="Times New Roman" w:eastAsia="Times New Roman" w:hAnsi="Times New Roman" w:cs="Times New Roman"/>
        </w:rPr>
        <w:tab/>
      </w:r>
    </w:p>
    <w:p w14:paraId="4FAD5CEA" w14:textId="77777777" w:rsidR="000C232D" w:rsidRDefault="000C232D">
      <w:pPr>
        <w:spacing w:line="360" w:lineRule="auto"/>
        <w:rPr>
          <w:rFonts w:ascii="Times New Roman" w:eastAsia="Times New Roman" w:hAnsi="Times New Roman" w:cs="Times New Roman"/>
          <w:sz w:val="24"/>
          <w:szCs w:val="24"/>
        </w:rPr>
      </w:pPr>
    </w:p>
    <w:p w14:paraId="48D26396" w14:textId="77777777" w:rsidR="000C232D" w:rsidRDefault="000C232D">
      <w:pPr>
        <w:spacing w:line="360" w:lineRule="auto"/>
        <w:rPr>
          <w:rFonts w:ascii="Times New Roman" w:eastAsia="Times New Roman" w:hAnsi="Times New Roman" w:cs="Times New Roman"/>
        </w:rPr>
      </w:pPr>
    </w:p>
    <w:p w14:paraId="4A433E85" w14:textId="77777777" w:rsidR="000C232D" w:rsidRDefault="000C232D">
      <w:pPr>
        <w:spacing w:line="360" w:lineRule="auto"/>
        <w:rPr>
          <w:rFonts w:ascii="Times New Roman" w:eastAsia="Times New Roman" w:hAnsi="Times New Roman" w:cs="Times New Roman"/>
        </w:rPr>
      </w:pPr>
    </w:p>
    <w:p w14:paraId="10C243AB" w14:textId="77777777" w:rsidR="000C232D" w:rsidRDefault="000C232D">
      <w:pPr>
        <w:spacing w:line="360" w:lineRule="auto"/>
        <w:rPr>
          <w:rFonts w:ascii="Times New Roman" w:eastAsia="Times New Roman" w:hAnsi="Times New Roman" w:cs="Times New Roman"/>
        </w:rPr>
      </w:pPr>
    </w:p>
    <w:p w14:paraId="046BA9A9" w14:textId="77777777" w:rsidR="007D3231" w:rsidRDefault="007D3231" w:rsidP="007D3231">
      <w:pPr>
        <w:spacing w:line="360" w:lineRule="auto"/>
        <w:rPr>
          <w:rFonts w:ascii="Times New Roman" w:eastAsia="Times New Roman" w:hAnsi="Times New Roman" w:cs="Times New Roman"/>
          <w:b/>
          <w:i/>
        </w:rPr>
      </w:pPr>
      <w:r>
        <w:rPr>
          <w:rFonts w:ascii="Times New Roman" w:eastAsia="Times New Roman" w:hAnsi="Times New Roman" w:cs="Times New Roman"/>
          <w:b/>
          <w:i/>
        </w:rPr>
        <w:t xml:space="preserve">Keywords: </w:t>
      </w:r>
    </w:p>
    <w:p w14:paraId="2502F803" w14:textId="02F9C946" w:rsidR="009151A6" w:rsidRDefault="009151A6" w:rsidP="009151A6">
      <w:pPr>
        <w:spacing w:line="360" w:lineRule="auto"/>
        <w:rPr>
          <w:rFonts w:ascii="Times New Roman" w:eastAsia="Times New Roman" w:hAnsi="Times New Roman" w:cs="Times New Roman"/>
          <w:sz w:val="24"/>
          <w:szCs w:val="24"/>
        </w:rPr>
      </w:pPr>
      <w:r w:rsidRPr="00E069D4">
        <w:rPr>
          <w:rFonts w:ascii="Times New Roman" w:eastAsia="Times New Roman" w:hAnsi="Times New Roman" w:cs="Times New Roman"/>
          <w:sz w:val="24"/>
          <w:szCs w:val="24"/>
        </w:rPr>
        <w:t>Photocatalytic hydrogen production, titania</w:t>
      </w:r>
      <w:r w:rsidRPr="00C13B68">
        <w:rPr>
          <w:rFonts w:ascii="Times New Roman" w:eastAsia="Times New Roman" w:hAnsi="Times New Roman" w:cs="Times New Roman"/>
          <w:sz w:val="24"/>
          <w:szCs w:val="24"/>
          <w:highlight w:val="yellow"/>
        </w:rPr>
        <w:t>, photocatalys</w:t>
      </w:r>
      <w:r w:rsidR="00D176C4">
        <w:rPr>
          <w:rFonts w:ascii="Times New Roman" w:eastAsia="Times New Roman" w:hAnsi="Times New Roman" w:cs="Times New Roman"/>
          <w:sz w:val="24"/>
          <w:szCs w:val="24"/>
          <w:highlight w:val="yellow"/>
        </w:rPr>
        <w:t>is</w:t>
      </w:r>
      <w:r w:rsidRPr="00C13B68">
        <w:rPr>
          <w:rFonts w:ascii="Times New Roman" w:eastAsia="Times New Roman" w:hAnsi="Times New Roman" w:cs="Times New Roman"/>
          <w:sz w:val="24"/>
          <w:szCs w:val="24"/>
          <w:highlight w:val="yellow"/>
        </w:rPr>
        <w:t xml:space="preserve">, </w:t>
      </w:r>
      <w:r w:rsidRPr="00E069D4">
        <w:rPr>
          <w:rFonts w:ascii="Times New Roman" w:eastAsia="Times New Roman" w:hAnsi="Times New Roman" w:cs="Times New Roman"/>
          <w:sz w:val="24"/>
          <w:szCs w:val="24"/>
        </w:rPr>
        <w:t>morphological study, SPR effect, nanowire</w:t>
      </w:r>
    </w:p>
    <w:p w14:paraId="07AAB850" w14:textId="77777777" w:rsidR="000C232D" w:rsidRDefault="000C232D">
      <w:pPr>
        <w:spacing w:line="360" w:lineRule="auto"/>
        <w:rPr>
          <w:rFonts w:ascii="Times New Roman" w:eastAsia="Times New Roman" w:hAnsi="Times New Roman" w:cs="Times New Roman"/>
        </w:rPr>
      </w:pPr>
    </w:p>
    <w:p w14:paraId="3B6D8996" w14:textId="77777777" w:rsidR="000C232D" w:rsidRDefault="000C232D">
      <w:pPr>
        <w:spacing w:line="360" w:lineRule="auto"/>
        <w:rPr>
          <w:rFonts w:ascii="Times New Roman" w:eastAsia="Times New Roman" w:hAnsi="Times New Roman" w:cs="Times New Roman"/>
        </w:rPr>
      </w:pPr>
    </w:p>
    <w:p w14:paraId="744425FE" w14:textId="77777777" w:rsidR="000C232D" w:rsidRDefault="000C232D">
      <w:pPr>
        <w:spacing w:line="360" w:lineRule="auto"/>
        <w:rPr>
          <w:rFonts w:ascii="Times New Roman" w:eastAsia="Times New Roman" w:hAnsi="Times New Roman" w:cs="Times New Roman"/>
        </w:rPr>
      </w:pPr>
    </w:p>
    <w:p w14:paraId="75726DB1" w14:textId="77777777" w:rsidR="000C232D" w:rsidRDefault="000C232D">
      <w:pPr>
        <w:spacing w:line="360" w:lineRule="auto"/>
        <w:rPr>
          <w:rFonts w:ascii="Times New Roman" w:eastAsia="Times New Roman" w:hAnsi="Times New Roman" w:cs="Times New Roman"/>
        </w:rPr>
      </w:pPr>
    </w:p>
    <w:p w14:paraId="41E71936" w14:textId="77777777" w:rsidR="000C232D" w:rsidRDefault="000C232D">
      <w:pPr>
        <w:spacing w:line="360" w:lineRule="auto"/>
        <w:rPr>
          <w:rFonts w:ascii="Times New Roman" w:eastAsia="Times New Roman" w:hAnsi="Times New Roman" w:cs="Times New Roman"/>
        </w:rPr>
      </w:pPr>
    </w:p>
    <w:p w14:paraId="59BEF479" w14:textId="77777777" w:rsidR="000C232D" w:rsidRDefault="000C232D">
      <w:pPr>
        <w:spacing w:line="360" w:lineRule="auto"/>
        <w:rPr>
          <w:rFonts w:ascii="Times New Roman" w:eastAsia="Times New Roman" w:hAnsi="Times New Roman" w:cs="Times New Roman"/>
        </w:rPr>
      </w:pPr>
    </w:p>
    <w:p w14:paraId="0DB5A738" w14:textId="77777777" w:rsidR="000C232D" w:rsidRDefault="000C232D">
      <w:pPr>
        <w:spacing w:line="360" w:lineRule="auto"/>
        <w:rPr>
          <w:rFonts w:ascii="Times New Roman" w:eastAsia="Times New Roman" w:hAnsi="Times New Roman" w:cs="Times New Roman"/>
        </w:rPr>
      </w:pPr>
    </w:p>
    <w:p w14:paraId="0CDCB9FB" w14:textId="77777777" w:rsidR="000C232D" w:rsidRDefault="000C232D">
      <w:pPr>
        <w:spacing w:line="360" w:lineRule="auto"/>
        <w:rPr>
          <w:rFonts w:ascii="Times New Roman" w:eastAsia="Times New Roman" w:hAnsi="Times New Roman" w:cs="Times New Roman"/>
        </w:rPr>
      </w:pPr>
    </w:p>
    <w:p w14:paraId="580E949A" w14:textId="77777777" w:rsidR="000C232D" w:rsidRDefault="000C232D">
      <w:pPr>
        <w:spacing w:line="360" w:lineRule="auto"/>
        <w:rPr>
          <w:rFonts w:ascii="Times New Roman" w:eastAsia="Times New Roman" w:hAnsi="Times New Roman" w:cs="Times New Roman"/>
          <w:sz w:val="24"/>
          <w:szCs w:val="24"/>
        </w:rPr>
      </w:pPr>
    </w:p>
    <w:p w14:paraId="06BAF466" w14:textId="77777777" w:rsidR="00CE0410" w:rsidRDefault="00CE0410">
      <w:pPr>
        <w:spacing w:line="360" w:lineRule="auto"/>
        <w:rPr>
          <w:rFonts w:ascii="Times New Roman" w:eastAsia="Times New Roman" w:hAnsi="Times New Roman" w:cs="Times New Roman"/>
          <w:sz w:val="24"/>
          <w:szCs w:val="24"/>
        </w:rPr>
      </w:pPr>
    </w:p>
    <w:p w14:paraId="4267B289" w14:textId="34CCD499" w:rsidR="000C232D"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Experimental section, Figure S1 </w:t>
      </w:r>
      <w:r w:rsidR="00D95AC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w:t>
      </w:r>
      <w:r w:rsidR="00D95ACF">
        <w:rPr>
          <w:rFonts w:ascii="Times New Roman" w:eastAsia="Times New Roman" w:hAnsi="Times New Roman" w:cs="Times New Roman"/>
          <w:sz w:val="24"/>
          <w:szCs w:val="24"/>
        </w:rPr>
        <w:t>9</w:t>
      </w:r>
    </w:p>
    <w:p w14:paraId="1F38FC67" w14:textId="77777777" w:rsidR="000C232D" w:rsidRDefault="00000000">
      <w:pPr>
        <w:spacing w:after="200"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Experimental section</w:t>
      </w:r>
    </w:p>
    <w:p w14:paraId="6837AB98" w14:textId="7683906F" w:rsidR="000C232D" w:rsidRDefault="00594F71">
      <w:pPr>
        <w:spacing w:after="20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Synthesis of Pt decorated NWT (Pt-NWT)</w:t>
      </w:r>
    </w:p>
    <w:p w14:paraId="3ABEDE8E" w14:textId="280823BD" w:rsidR="000C232D" w:rsidRDefault="00000000">
      <w:pPr>
        <w:spacing w:after="200"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The decoration of Pt on NWT was carried out by photo-deposition method. Typically, 200 mg of NWT in 10% 100 mL methanol solution was taken and 0.132 mL of 0.08 M </w:t>
      </w:r>
      <w:proofErr w:type="spellStart"/>
      <w:r>
        <w:rPr>
          <w:rFonts w:ascii="Times New Roman" w:eastAsia="Times New Roman" w:hAnsi="Times New Roman" w:cs="Times New Roman"/>
          <w:sz w:val="24"/>
          <w:szCs w:val="24"/>
        </w:rPr>
        <w:t>Hexachloroplatinic</w:t>
      </w:r>
      <w:proofErr w:type="spellEnd"/>
      <w:r>
        <w:rPr>
          <w:rFonts w:ascii="Times New Roman" w:eastAsia="Times New Roman" w:hAnsi="Times New Roman" w:cs="Times New Roman"/>
          <w:sz w:val="24"/>
          <w:szCs w:val="24"/>
        </w:rPr>
        <w:t xml:space="preserve"> acid (H</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PtCl</w:t>
      </w:r>
      <w:r>
        <w:rPr>
          <w:rFonts w:ascii="Times New Roman" w:eastAsia="Times New Roman" w:hAnsi="Times New Roman" w:cs="Times New Roman"/>
          <w:sz w:val="24"/>
          <w:szCs w:val="24"/>
          <w:vertAlign w:val="subscript"/>
        </w:rPr>
        <w:t>6</w:t>
      </w:r>
      <w:r>
        <w:rPr>
          <w:rFonts w:ascii="Times New Roman" w:eastAsia="Times New Roman" w:hAnsi="Times New Roman" w:cs="Times New Roman"/>
          <w:sz w:val="24"/>
          <w:szCs w:val="24"/>
        </w:rPr>
        <w:t>) was added as a Pt precursor for the preparation of 1% Pt-NWT.</w:t>
      </w:r>
      <w:r>
        <w:rPr>
          <w:rFonts w:ascii="Times New Roman" w:eastAsia="Times New Roman" w:hAnsi="Times New Roman" w:cs="Times New Roman"/>
          <w:color w:val="0000FF"/>
          <w:sz w:val="24"/>
          <w:szCs w:val="24"/>
        </w:rPr>
        <w:t xml:space="preserve"> </w:t>
      </w:r>
      <w:r>
        <w:rPr>
          <w:rFonts w:ascii="Times New Roman" w:eastAsia="Times New Roman" w:hAnsi="Times New Roman" w:cs="Times New Roman"/>
          <w:sz w:val="24"/>
          <w:szCs w:val="24"/>
        </w:rPr>
        <w:t>Then this solution was irradiated under UV light for 3h, washed with distilled water and dried at 60</w:t>
      </w:r>
      <w:r>
        <w:rPr>
          <w:rFonts w:ascii="Times New Roman" w:eastAsia="Times New Roman" w:hAnsi="Times New Roman" w:cs="Times New Roman"/>
          <w:sz w:val="24"/>
          <w:szCs w:val="24"/>
          <w:vertAlign w:val="superscript"/>
        </w:rPr>
        <w:t xml:space="preserve">o </w:t>
      </w:r>
      <w:r>
        <w:rPr>
          <w:rFonts w:ascii="Times New Roman" w:eastAsia="Times New Roman" w:hAnsi="Times New Roman" w:cs="Times New Roman"/>
          <w:sz w:val="24"/>
          <w:szCs w:val="24"/>
        </w:rPr>
        <w:t>C</w:t>
      </w:r>
      <w:r>
        <w:rPr>
          <w:rFonts w:ascii="Times New Roman" w:eastAsia="Times New Roman" w:hAnsi="Times New Roman" w:cs="Times New Roman"/>
          <w:color w:val="0000FF"/>
          <w:sz w:val="24"/>
          <w:szCs w:val="24"/>
        </w:rPr>
        <w:t xml:space="preserve">. </w:t>
      </w:r>
      <w:r>
        <w:rPr>
          <w:rFonts w:ascii="Times New Roman" w:eastAsia="Times New Roman" w:hAnsi="Times New Roman" w:cs="Times New Roman"/>
          <w:sz w:val="24"/>
          <w:szCs w:val="24"/>
          <w:highlight w:val="white"/>
        </w:rPr>
        <w:t>Similarly, 0.2, 0.4, 0.5, 0.6 and 0.8 % Pt-NWT (Labelled as 0.2Pt-NWT, 0.4Pt-NWT, 0.5Pt-NWT, 0.6Pt-NWT and 0.8Pt-NWT) were synthesized by varying the amount of Pt precursor in the above synthesis method</w:t>
      </w:r>
      <w:r w:rsidR="00AF166B">
        <w:rPr>
          <w:rFonts w:ascii="Times New Roman" w:eastAsia="Times New Roman" w:hAnsi="Times New Roman" w:cs="Times New Roman"/>
          <w:sz w:val="24"/>
          <w:szCs w:val="24"/>
          <w:highlight w:val="white"/>
        </w:rPr>
        <w:t xml:space="preserve"> </w:t>
      </w:r>
      <w:r w:rsidR="00AF166B" w:rsidRPr="00231631">
        <w:rPr>
          <w:rFonts w:ascii="Times New Roman" w:eastAsia="Times New Roman" w:hAnsi="Times New Roman" w:cs="Times New Roman"/>
          <w:sz w:val="24"/>
          <w:szCs w:val="24"/>
        </w:rPr>
        <w:fldChar w:fldCharType="begin" w:fldLock="1"/>
      </w:r>
      <w:r w:rsidR="00C036D9" w:rsidRPr="00231631">
        <w:rPr>
          <w:rFonts w:ascii="Times New Roman" w:eastAsia="Times New Roman" w:hAnsi="Times New Roman" w:cs="Times New Roman"/>
          <w:sz w:val="24"/>
          <w:szCs w:val="24"/>
        </w:rPr>
        <w:instrText>ADDIN CSL_CITATION {"citationItems":[{"id":"ITEM-1","itemData":{"DOI":"10.1016/j.ijhydene.2017.10.089","ISSN":"03603199","abstract":"© 2017 Hydrogen Energy Publications LLC Easy synthesis of graphene based composite photocatalyst with the incorporation of minimal quantity of noble metals for the enhanced photocatalytic hydrogen evolution as well as photocatalytic degradation and mineralization of recalcitrant pollutants under solar irradiation is an urgent requirement from the clean energy and environment point of view all over the globe. Herein, we demonstrate the decoration of Pt by photodeposition method on the hydrothermally synthesized RGO-TiO 2 nanocomposite. The various photocatalysts synthesized were successfully characterized by XRD, FTIR, Raman, UV–visible absorption spectra, XPS, SEM and TEM techniques. The well characterized photocatalysts were further investigated for the photocatalytic hydrogen evolution studies of methanol water mixtures under UV as well as simulated solar light irradiation. The optimized Pt-RGO-TiO 2 (1 wt % Pt and 10 wt % RGO) composite was found to show 14 fold increase in the photocatalytic hydrogen evolution efficiency under UV light irradiation and 20 fold increase under simulated solar light irradiation as compared to bare TiO 2 under UV light irradiation. The ternary photocatalyst showed very good recycle and reuse capability up to 4 cycles. The optimized Pt-RGO-TiO 2 was further tested for the enhanced photocatalytic degradation and mineralization of pharmaceutical pollutant namely β blocker Propranolol under UV as well as simulated solar light irradiation. The obtained results showed 79% and 94% reduction in COD of Propranolol under UV and simulated solar light irradiation respectively. The appreciable enhancement in the photocatalytic activity of the Pt decorated RGO-TiO 2 photocatalyst as compared to bare TiO 2 under UV and simulated solar light can be attributed to the use of maximum range of solar spectrum along with their excellent properties of charge separation by RGO and Pt.","author":[{"dropping-particle":"","family":"Shinde","given":"Yogesh","non-dropping-particle":"","parse-names":false,"suffix":""},{"dropping-particle":"","family":"Wadhai","given":"Sachin","non-dropping-particle":"","parse-names":false,"suffix":""},{"dropping-particle":"","family":"Ponkshe","given":"Amruta","non-dropping-particle":"","parse-names":false,"suffix":""},{"dropping-particle":"","family":"Kapoor","given":"Sudhir","non-dropping-particle":"","parse-names":false,"suffix":""},{"dropping-particle":"","family":"Thakur","given":"Pragati","non-dropping-particle":"","parse-names":false,"suffix":""}],"container-title":"International Journal of Hydrogen Energy","id":"ITEM-1","issue":"8","issued":{"date-parts":[["2018","2"]]},"page":"4015-4027","title":"Decoration of Pt on the metal free RGO-TiO 2 composite photocatalyst for the enhanced photocatalytic hydrogen evolution and photocatalytic degradation of pharmaceutical pollutant β blocker","type":"article-journal","volume":"43"},"uris":["http://www.mendeley.com/documents/?uuid=683335ef-4228-368d-8439-e27e3bf94789"]}],"mendeley":{"formattedCitation":"(Shinde et al. 2018)","plainTextFormattedCitation":"(Shinde et al. 2018)","previouslyFormattedCitation":"(Shinde et al. 2018)"},"properties":{"noteIndex":0},"schema":"https://github.com/citation-style-language/schema/raw/master/csl-citation.json"}</w:instrText>
      </w:r>
      <w:r w:rsidR="00AF166B" w:rsidRPr="00231631">
        <w:rPr>
          <w:rFonts w:ascii="Times New Roman" w:eastAsia="Times New Roman" w:hAnsi="Times New Roman" w:cs="Times New Roman"/>
          <w:sz w:val="24"/>
          <w:szCs w:val="24"/>
        </w:rPr>
        <w:fldChar w:fldCharType="separate"/>
      </w:r>
      <w:r w:rsidR="00AF166B" w:rsidRPr="00231631">
        <w:rPr>
          <w:rFonts w:ascii="Times New Roman" w:eastAsia="Times New Roman" w:hAnsi="Times New Roman" w:cs="Times New Roman"/>
          <w:noProof/>
          <w:sz w:val="24"/>
          <w:szCs w:val="24"/>
        </w:rPr>
        <w:t>(Shinde et al. 2018)</w:t>
      </w:r>
      <w:r w:rsidR="00AF166B" w:rsidRPr="00231631">
        <w:rPr>
          <w:rFonts w:ascii="Times New Roman" w:eastAsia="Times New Roman" w:hAnsi="Times New Roman" w:cs="Times New Roman"/>
          <w:sz w:val="24"/>
          <w:szCs w:val="24"/>
        </w:rPr>
        <w:fldChar w:fldCharType="end"/>
      </w:r>
      <w:r w:rsidRPr="00231631">
        <w:rPr>
          <w:rFonts w:ascii="Times New Roman" w:eastAsia="Times New Roman" w:hAnsi="Times New Roman" w:cs="Times New Roman"/>
          <w:sz w:val="24"/>
          <w:szCs w:val="24"/>
        </w:rPr>
        <w:t>.</w:t>
      </w:r>
    </w:p>
    <w:p w14:paraId="476CBC7C" w14:textId="078150BD" w:rsidR="000C232D" w:rsidRDefault="00594F71">
      <w:pPr>
        <w:spacing w:after="20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Synthesis of Cu decorated NWT (Cu-NWT)</w:t>
      </w:r>
    </w:p>
    <w:p w14:paraId="746A1C3E" w14:textId="77777777" w:rsidR="00E60169" w:rsidRDefault="00000000" w:rsidP="00E60169">
      <w:pPr>
        <w:spacing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Cu decorated NWT was synthesized by photo-deposition method. For that, typically 0.02 M Copper sulphate solution has been prepared and calculated 1.58 mL of copper sulphate solution mixed with 200 mg of NWT in 10% methanol solution has been carried out for the preparation of 1.0% Cu photocatalyst.</w:t>
      </w:r>
      <w:r>
        <w:rPr>
          <w:rFonts w:ascii="Times New Roman" w:eastAsia="Times New Roman" w:hAnsi="Times New Roman" w:cs="Times New Roman"/>
          <w:color w:val="0000FF"/>
          <w:sz w:val="24"/>
          <w:szCs w:val="24"/>
        </w:rPr>
        <w:t xml:space="preserve"> </w:t>
      </w:r>
      <w:r>
        <w:rPr>
          <w:rFonts w:ascii="Times New Roman" w:eastAsia="Times New Roman" w:hAnsi="Times New Roman" w:cs="Times New Roman"/>
          <w:sz w:val="24"/>
          <w:szCs w:val="24"/>
        </w:rPr>
        <w:t>The solution has been irradiated in UV light for 3h, washed with distilled water and dried at 60</w:t>
      </w:r>
      <w:r>
        <w:rPr>
          <w:rFonts w:ascii="Times New Roman" w:eastAsia="Times New Roman" w:hAnsi="Times New Roman" w:cs="Times New Roman"/>
          <w:sz w:val="24"/>
          <w:szCs w:val="24"/>
          <w:vertAlign w:val="superscript"/>
        </w:rPr>
        <w:t xml:space="preserve">o </w:t>
      </w:r>
      <w:r>
        <w:rPr>
          <w:rFonts w:ascii="Times New Roman" w:eastAsia="Times New Roman" w:hAnsi="Times New Roman" w:cs="Times New Roman"/>
          <w:sz w:val="24"/>
          <w:szCs w:val="24"/>
        </w:rPr>
        <w:t>C. Different Cu % i.e., 0.5, 0.75, 1.0, 1.5 and 2.0 % decorated on NWT, labelled as 0.5Cu-NWT, 0.75Cu-NWT, 1.0Cu-NWT, 1.5Cu-NWT and 2.0Cu-NWT photocatalysts were synthesized by varying the copper sulphate solution.</w:t>
      </w:r>
    </w:p>
    <w:p w14:paraId="40A3366B" w14:textId="5D2BCD26" w:rsidR="000C232D" w:rsidRDefault="00000000" w:rsidP="00E60169">
      <w:pPr>
        <w:spacing w:after="200" w:line="360" w:lineRule="auto"/>
        <w:jc w:val="both"/>
      </w:pPr>
      <w:r>
        <w:rPr>
          <w:noProof/>
        </w:rPr>
        <w:drawing>
          <wp:inline distT="0" distB="0" distL="0" distR="0" wp14:anchorId="0BD14D49" wp14:editId="778EAEC0">
            <wp:extent cx="5731510" cy="2286635"/>
            <wp:effectExtent l="0" t="0" r="0" b="0"/>
            <wp:docPr id="34"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8"/>
                    <a:srcRect/>
                    <a:stretch>
                      <a:fillRect/>
                    </a:stretch>
                  </pic:blipFill>
                  <pic:spPr>
                    <a:xfrm>
                      <a:off x="0" y="0"/>
                      <a:ext cx="5731510" cy="2286635"/>
                    </a:xfrm>
                    <a:prstGeom prst="rect">
                      <a:avLst/>
                    </a:prstGeom>
                    <a:ln/>
                  </pic:spPr>
                </pic:pic>
              </a:graphicData>
            </a:graphic>
          </wp:inline>
        </w:drawing>
      </w:r>
    </w:p>
    <w:p w14:paraId="506B8B20" w14:textId="14707693" w:rsidR="000C232D" w:rsidRDefault="00000000">
      <w:pPr>
        <w:pBdr>
          <w:top w:val="nil"/>
          <w:left w:val="nil"/>
          <w:bottom w:val="nil"/>
          <w:right w:val="nil"/>
          <w:between w:val="nil"/>
        </w:pBdr>
        <w:spacing w:after="20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Fig. S1</w:t>
      </w:r>
      <w:r w:rsidR="004758B2">
        <w:rPr>
          <w:rFonts w:ascii="Times New Roman" w:eastAsia="Times New Roman" w:hAnsi="Times New Roman" w:cs="Times New Roman"/>
          <w:b/>
          <w:color w:val="000000"/>
          <w:sz w:val="24"/>
          <w:szCs w:val="24"/>
        </w:rPr>
        <w:t>.</w:t>
      </w:r>
      <w:r>
        <w:rPr>
          <w:rFonts w:ascii="Times New Roman" w:eastAsia="Times New Roman" w:hAnsi="Times New Roman" w:cs="Times New Roman"/>
          <w:b/>
          <w:color w:val="44546A"/>
          <w:sz w:val="24"/>
          <w:szCs w:val="24"/>
        </w:rPr>
        <w:t xml:space="preserve"> </w:t>
      </w:r>
      <w:r>
        <w:rPr>
          <w:rFonts w:ascii="Times New Roman" w:eastAsia="Times New Roman" w:hAnsi="Times New Roman" w:cs="Times New Roman"/>
          <w:color w:val="000000"/>
          <w:sz w:val="24"/>
          <w:szCs w:val="24"/>
        </w:rPr>
        <w:t>(a) Powder XRD pattern recorded on NWT, 0.2Pt-NWT, 0.4Pt-NWT, 0.5Pt-NWT, 0.6Pt-NWT, 0.8Pt-NWT and 1.0Pt-NWT photocatalysts, (b) Powder XRD pattern recorded on NWT 0.5Cu-NWT, 0.75Cu-NWT, 1.0Cu-NWT, 1.5Cu-NWT and 2.0Cu-NWT photocatalysts.</w:t>
      </w:r>
    </w:p>
    <w:p w14:paraId="48C525D0" w14:textId="524F931C" w:rsidR="000C232D" w:rsidRPr="00FD4E5C" w:rsidRDefault="00E4044C">
      <w:pPr>
        <w:keepNext/>
        <w:spacing w:line="360" w:lineRule="auto"/>
        <w:jc w:val="center"/>
        <w:rPr>
          <w:highlight w:val="yellow"/>
        </w:rPr>
      </w:pPr>
      <w:r w:rsidRPr="00FD4E5C">
        <w:rPr>
          <w:noProof/>
          <w:highlight w:val="yellow"/>
        </w:rPr>
        <w:lastRenderedPageBreak/>
        <w:drawing>
          <wp:inline distT="0" distB="0" distL="0" distR="0" wp14:anchorId="1FAF0F72" wp14:editId="271A9668">
            <wp:extent cx="3780165" cy="3448050"/>
            <wp:effectExtent l="0" t="0" r="0" b="0"/>
            <wp:docPr id="9661669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82437" cy="3450122"/>
                    </a:xfrm>
                    <a:prstGeom prst="rect">
                      <a:avLst/>
                    </a:prstGeom>
                    <a:noFill/>
                    <a:ln>
                      <a:noFill/>
                    </a:ln>
                  </pic:spPr>
                </pic:pic>
              </a:graphicData>
            </a:graphic>
          </wp:inline>
        </w:drawing>
      </w:r>
    </w:p>
    <w:p w14:paraId="4E487893" w14:textId="2C83D1E0" w:rsidR="000C232D" w:rsidRDefault="00000000">
      <w:pPr>
        <w:pBdr>
          <w:top w:val="nil"/>
          <w:left w:val="nil"/>
          <w:bottom w:val="nil"/>
          <w:right w:val="nil"/>
          <w:between w:val="nil"/>
        </w:pBdr>
        <w:spacing w:after="200" w:line="360" w:lineRule="auto"/>
        <w:jc w:val="both"/>
        <w:rPr>
          <w:i/>
          <w:color w:val="44546A"/>
          <w:sz w:val="18"/>
          <w:szCs w:val="18"/>
        </w:rPr>
      </w:pPr>
      <w:r w:rsidRPr="00FD4E5C">
        <w:rPr>
          <w:rFonts w:ascii="Times New Roman" w:eastAsia="Times New Roman" w:hAnsi="Times New Roman" w:cs="Times New Roman"/>
          <w:b/>
          <w:color w:val="000000"/>
          <w:sz w:val="24"/>
          <w:szCs w:val="24"/>
          <w:highlight w:val="yellow"/>
        </w:rPr>
        <w:t>Fig. S2</w:t>
      </w:r>
      <w:r w:rsidR="004758B2" w:rsidRPr="00FD4E5C">
        <w:rPr>
          <w:rFonts w:ascii="Times New Roman" w:eastAsia="Times New Roman" w:hAnsi="Times New Roman" w:cs="Times New Roman"/>
          <w:b/>
          <w:color w:val="000000"/>
          <w:sz w:val="24"/>
          <w:szCs w:val="24"/>
          <w:highlight w:val="yellow"/>
        </w:rPr>
        <w:t>.</w:t>
      </w:r>
      <w:r w:rsidRPr="00FD4E5C">
        <w:rPr>
          <w:rFonts w:ascii="Times New Roman" w:eastAsia="Times New Roman" w:hAnsi="Times New Roman" w:cs="Times New Roman"/>
          <w:b/>
          <w:color w:val="000000"/>
          <w:sz w:val="24"/>
          <w:szCs w:val="24"/>
          <w:highlight w:val="yellow"/>
        </w:rPr>
        <w:t xml:space="preserve"> </w:t>
      </w:r>
      <w:r w:rsidRPr="00FD4E5C">
        <w:rPr>
          <w:rFonts w:ascii="Times New Roman" w:eastAsia="Times New Roman" w:hAnsi="Times New Roman" w:cs="Times New Roman"/>
          <w:color w:val="000000"/>
          <w:sz w:val="24"/>
          <w:szCs w:val="24"/>
          <w:highlight w:val="yellow"/>
        </w:rPr>
        <w:t>FTIR spectra of NWT, 0.5Pt-NWT, 1.0Cu-NWT and 0.1Ag/1.0Cu-NWT photocatalysts.</w:t>
      </w:r>
      <w:r>
        <w:rPr>
          <w:i/>
          <w:color w:val="44546A"/>
          <w:sz w:val="18"/>
          <w:szCs w:val="18"/>
        </w:rPr>
        <w:t xml:space="preserve"> </w:t>
      </w:r>
    </w:p>
    <w:p w14:paraId="4D467B57" w14:textId="77777777" w:rsidR="000C232D" w:rsidRDefault="00000000">
      <w:pPr>
        <w:keepNext/>
        <w:tabs>
          <w:tab w:val="left" w:pos="3492"/>
        </w:tabs>
        <w:spacing w:after="0" w:line="360" w:lineRule="auto"/>
        <w:jc w:val="center"/>
      </w:pPr>
      <w:r>
        <w:rPr>
          <w:noProof/>
        </w:rPr>
        <w:drawing>
          <wp:inline distT="0" distB="0" distL="0" distR="0" wp14:anchorId="7E73A481" wp14:editId="357AE03A">
            <wp:extent cx="4391843" cy="3004613"/>
            <wp:effectExtent l="0" t="0" r="0" b="0"/>
            <wp:docPr id="3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4391843" cy="3004613"/>
                    </a:xfrm>
                    <a:prstGeom prst="rect">
                      <a:avLst/>
                    </a:prstGeom>
                    <a:ln/>
                  </pic:spPr>
                </pic:pic>
              </a:graphicData>
            </a:graphic>
          </wp:inline>
        </w:drawing>
      </w:r>
    </w:p>
    <w:p w14:paraId="23F68D94" w14:textId="772A92A5" w:rsidR="000C232D" w:rsidRPr="004C230E" w:rsidRDefault="00000000" w:rsidP="004C230E">
      <w:pPr>
        <w:pBdr>
          <w:top w:val="nil"/>
          <w:left w:val="nil"/>
          <w:bottom w:val="nil"/>
          <w:right w:val="nil"/>
          <w:between w:val="nil"/>
        </w:pBdr>
        <w:spacing w:after="20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Fig. S3</w:t>
      </w:r>
      <w:r w:rsidR="004758B2">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sz w:val="24"/>
          <w:szCs w:val="24"/>
        </w:rPr>
        <w:t>FESEM micrographs</w:t>
      </w:r>
      <w:r>
        <w:rPr>
          <w:rFonts w:ascii="Times New Roman" w:eastAsia="Times New Roman" w:hAnsi="Times New Roman" w:cs="Times New Roman"/>
          <w:color w:val="000000"/>
          <w:sz w:val="24"/>
          <w:szCs w:val="24"/>
        </w:rPr>
        <w:t xml:space="preserve"> of TiO</w:t>
      </w:r>
      <w:r>
        <w:rPr>
          <w:rFonts w:ascii="Times New Roman" w:eastAsia="Times New Roman" w:hAnsi="Times New Roman" w:cs="Times New Roman"/>
          <w:color w:val="000000"/>
          <w:sz w:val="24"/>
          <w:szCs w:val="24"/>
          <w:vertAlign w:val="subscript"/>
        </w:rPr>
        <w:t>2</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synthesized at</w:t>
      </w:r>
      <w:r>
        <w:rPr>
          <w:rFonts w:ascii="Times New Roman" w:eastAsia="Times New Roman" w:hAnsi="Times New Roman" w:cs="Times New Roman"/>
          <w:color w:val="000000"/>
          <w:sz w:val="24"/>
          <w:szCs w:val="24"/>
        </w:rPr>
        <w:t xml:space="preserve"> different NaOH concentrations (a) at 5M, (b) at 10M, (c) at 15M and (d) at 20M</w:t>
      </w:r>
      <w:r>
        <w:rPr>
          <w:rFonts w:ascii="Times New Roman" w:eastAsia="Times New Roman" w:hAnsi="Times New Roman" w:cs="Times New Roman"/>
          <w:sz w:val="24"/>
          <w:szCs w:val="24"/>
        </w:rPr>
        <w:t>.</w:t>
      </w:r>
    </w:p>
    <w:p w14:paraId="44A2197E" w14:textId="77777777" w:rsidR="000C232D" w:rsidRDefault="00000000">
      <w:pPr>
        <w:keepNext/>
        <w:spacing w:line="360" w:lineRule="auto"/>
        <w:jc w:val="center"/>
      </w:pPr>
      <w:r>
        <w:rPr>
          <w:noProof/>
        </w:rPr>
        <w:lastRenderedPageBreak/>
        <w:drawing>
          <wp:inline distT="0" distB="0" distL="0" distR="0" wp14:anchorId="45F8D22F" wp14:editId="75A428FE">
            <wp:extent cx="5731510" cy="3413760"/>
            <wp:effectExtent l="0" t="0" r="0" b="0"/>
            <wp:docPr id="38"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1"/>
                    <a:srcRect/>
                    <a:stretch>
                      <a:fillRect/>
                    </a:stretch>
                  </pic:blipFill>
                  <pic:spPr>
                    <a:xfrm>
                      <a:off x="0" y="0"/>
                      <a:ext cx="5731510" cy="3413760"/>
                    </a:xfrm>
                    <a:prstGeom prst="rect">
                      <a:avLst/>
                    </a:prstGeom>
                    <a:ln/>
                  </pic:spPr>
                </pic:pic>
              </a:graphicData>
            </a:graphic>
          </wp:inline>
        </w:drawing>
      </w:r>
    </w:p>
    <w:p w14:paraId="19B8CF7E" w14:textId="01D10F96" w:rsidR="000C232D" w:rsidRDefault="00000000">
      <w:pPr>
        <w:pBdr>
          <w:top w:val="nil"/>
          <w:left w:val="nil"/>
          <w:bottom w:val="nil"/>
          <w:right w:val="nil"/>
          <w:between w:val="nil"/>
        </w:pBdr>
        <w:spacing w:after="20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Fig. S4</w:t>
      </w:r>
      <w:r w:rsidR="004758B2">
        <w:rPr>
          <w:rFonts w:ascii="Times New Roman" w:eastAsia="Times New Roman" w:hAnsi="Times New Roman" w:cs="Times New Roman"/>
          <w:b/>
          <w:color w:val="000000"/>
          <w:sz w:val="24"/>
          <w:szCs w:val="24"/>
        </w:rPr>
        <w:t>.</w:t>
      </w:r>
      <w:r w:rsidR="008B1925">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(a-c) FESEM </w:t>
      </w:r>
      <w:r>
        <w:rPr>
          <w:rFonts w:ascii="Times New Roman" w:eastAsia="Times New Roman" w:hAnsi="Times New Roman" w:cs="Times New Roman"/>
          <w:sz w:val="24"/>
          <w:szCs w:val="24"/>
        </w:rPr>
        <w:t>micrograph</w:t>
      </w:r>
      <w:r>
        <w:rPr>
          <w:rFonts w:ascii="Times New Roman" w:eastAsia="Times New Roman" w:hAnsi="Times New Roman" w:cs="Times New Roman"/>
          <w:color w:val="000000"/>
          <w:sz w:val="24"/>
          <w:szCs w:val="24"/>
        </w:rPr>
        <w:t xml:space="preserve"> and (d) EDS report of NWT photocatalyst.</w:t>
      </w:r>
    </w:p>
    <w:p w14:paraId="61FCCAA5" w14:textId="77777777" w:rsidR="000C232D" w:rsidRDefault="00000000">
      <w:pPr>
        <w:keepNext/>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Figure S4d shows EDS spectra of NWT photocatalyst which confirms the presence of 78.82% O and 21.18% Ti atomic percentages. Figure S5d shows the HRTEM image of 0.5Pt-NWT shows the lattice fringes with a d-space value of 0.23 nm corresponding to the (111) plane of Pt and 0.326 nm corresponds to (101) plane of anatase TiO</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Figure S5h shows the HRTEM image of 1.0Cu-NWT shows the lattice fringes with a d-space value of 0.211 nm corresponding </w:t>
      </w:r>
      <w:r>
        <w:rPr>
          <w:rFonts w:ascii="Times New Roman" w:eastAsia="Times New Roman" w:hAnsi="Times New Roman" w:cs="Times New Roman"/>
          <w:sz w:val="24"/>
          <w:szCs w:val="24"/>
        </w:rPr>
        <w:lastRenderedPageBreak/>
        <w:t>to the (111) plane of Cu and 0.326 nm corresponds to (101) plane of anatase TiO</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Results depicted the presence of metal nanoparticles homogeneously dispersed on the NWT surface.</w:t>
      </w:r>
    </w:p>
    <w:p w14:paraId="39F70CC9" w14:textId="77777777" w:rsidR="000C232D" w:rsidRDefault="00000000">
      <w:pPr>
        <w:keepNext/>
        <w:spacing w:line="360" w:lineRule="auto"/>
        <w:jc w:val="center"/>
      </w:pPr>
      <w:r>
        <w:rPr>
          <w:noProof/>
        </w:rPr>
        <w:drawing>
          <wp:inline distT="0" distB="0" distL="0" distR="0" wp14:anchorId="35C582E6" wp14:editId="753B774F">
            <wp:extent cx="5731510" cy="2330450"/>
            <wp:effectExtent l="0" t="0" r="0" b="0"/>
            <wp:docPr id="37"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2"/>
                    <a:srcRect/>
                    <a:stretch>
                      <a:fillRect/>
                    </a:stretch>
                  </pic:blipFill>
                  <pic:spPr>
                    <a:xfrm>
                      <a:off x="0" y="0"/>
                      <a:ext cx="5731510" cy="2330450"/>
                    </a:xfrm>
                    <a:prstGeom prst="rect">
                      <a:avLst/>
                    </a:prstGeom>
                    <a:ln/>
                  </pic:spPr>
                </pic:pic>
              </a:graphicData>
            </a:graphic>
          </wp:inline>
        </w:drawing>
      </w:r>
    </w:p>
    <w:p w14:paraId="32D92B57" w14:textId="741C3504" w:rsidR="000C232D" w:rsidRDefault="00000000" w:rsidP="00E60169">
      <w:pPr>
        <w:pBdr>
          <w:top w:val="nil"/>
          <w:left w:val="nil"/>
          <w:bottom w:val="nil"/>
          <w:right w:val="nil"/>
          <w:between w:val="nil"/>
        </w:pBdr>
        <w:spacing w:after="200" w:line="360" w:lineRule="auto"/>
        <w:jc w:val="both"/>
      </w:pPr>
      <w:r>
        <w:rPr>
          <w:rFonts w:ascii="Times New Roman" w:eastAsia="Times New Roman" w:hAnsi="Times New Roman" w:cs="Times New Roman"/>
          <w:b/>
          <w:color w:val="000000"/>
          <w:sz w:val="24"/>
          <w:szCs w:val="24"/>
        </w:rPr>
        <w:t>Fig. S5</w:t>
      </w:r>
      <w:r w:rsidR="004758B2">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LR-HRTEM images of (a-d) 0.5Pt-NWT and (e-h) 1.0Cu-NWT photocatalysts.</w:t>
      </w:r>
      <w:r>
        <w:rPr>
          <w:noProof/>
        </w:rPr>
        <w:drawing>
          <wp:inline distT="0" distB="0" distL="0" distR="0" wp14:anchorId="055D1607" wp14:editId="5F22B5A0">
            <wp:extent cx="5814381" cy="4729163"/>
            <wp:effectExtent l="0" t="0" r="0" b="0"/>
            <wp:docPr id="3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3"/>
                    <a:srcRect/>
                    <a:stretch>
                      <a:fillRect/>
                    </a:stretch>
                  </pic:blipFill>
                  <pic:spPr>
                    <a:xfrm>
                      <a:off x="0" y="0"/>
                      <a:ext cx="5814381" cy="4729163"/>
                    </a:xfrm>
                    <a:prstGeom prst="rect">
                      <a:avLst/>
                    </a:prstGeom>
                    <a:ln/>
                  </pic:spPr>
                </pic:pic>
              </a:graphicData>
            </a:graphic>
          </wp:inline>
        </w:drawing>
      </w:r>
    </w:p>
    <w:p w14:paraId="506076C1" w14:textId="68D31A94" w:rsidR="000C232D" w:rsidRDefault="00000000">
      <w:pPr>
        <w:pBdr>
          <w:top w:val="nil"/>
          <w:left w:val="nil"/>
          <w:bottom w:val="nil"/>
          <w:right w:val="nil"/>
          <w:between w:val="nil"/>
        </w:pBdr>
        <w:spacing w:after="20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Fig. S6</w:t>
      </w:r>
      <w:r w:rsidR="004758B2">
        <w:rPr>
          <w:rFonts w:ascii="Times New Roman" w:eastAsia="Times New Roman" w:hAnsi="Times New Roman" w:cs="Times New Roman"/>
          <w:b/>
          <w:color w:val="000000"/>
          <w:sz w:val="24"/>
          <w:szCs w:val="24"/>
        </w:rPr>
        <w:t>.</w:t>
      </w:r>
      <w:r w:rsidR="008B1925">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b/>
          <w:color w:val="000000"/>
          <w:sz w:val="24"/>
          <w:szCs w:val="24"/>
        </w:rPr>
        <w:t>BET analysis of P25 TiO</w:t>
      </w:r>
      <w:r>
        <w:rPr>
          <w:rFonts w:ascii="Times New Roman" w:eastAsia="Times New Roman" w:hAnsi="Times New Roman" w:cs="Times New Roman"/>
          <w:b/>
          <w:color w:val="000000"/>
          <w:sz w:val="24"/>
          <w:szCs w:val="24"/>
          <w:vertAlign w:val="subscript"/>
        </w:rPr>
        <w:t xml:space="preserve">2 </w:t>
      </w:r>
      <w:r>
        <w:rPr>
          <w:rFonts w:ascii="Times New Roman" w:eastAsia="Times New Roman" w:hAnsi="Times New Roman" w:cs="Times New Roman"/>
          <w:b/>
          <w:color w:val="000000"/>
          <w:sz w:val="24"/>
          <w:szCs w:val="24"/>
        </w:rPr>
        <w:t>and NWT (a) nitrogen adsorption-desorption isotherm and (b-c) corresponding BET surface area plot.</w:t>
      </w:r>
    </w:p>
    <w:p w14:paraId="1FB8B543" w14:textId="77777777" w:rsidR="000C232D" w:rsidRDefault="00000000">
      <w:pPr>
        <w:keepNext/>
        <w:spacing w:line="360" w:lineRule="auto"/>
        <w:jc w:val="center"/>
      </w:pPr>
      <w:r>
        <w:rPr>
          <w:noProof/>
        </w:rPr>
        <w:lastRenderedPageBreak/>
        <w:drawing>
          <wp:inline distT="0" distB="0" distL="0" distR="0" wp14:anchorId="519EA5F9" wp14:editId="4E521C0B">
            <wp:extent cx="3470278" cy="2216502"/>
            <wp:effectExtent l="0" t="0" r="0" b="0"/>
            <wp:docPr id="31"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4"/>
                    <a:srcRect/>
                    <a:stretch>
                      <a:fillRect/>
                    </a:stretch>
                  </pic:blipFill>
                  <pic:spPr>
                    <a:xfrm>
                      <a:off x="0" y="0"/>
                      <a:ext cx="3470278" cy="2216502"/>
                    </a:xfrm>
                    <a:prstGeom prst="rect">
                      <a:avLst/>
                    </a:prstGeom>
                    <a:ln/>
                  </pic:spPr>
                </pic:pic>
              </a:graphicData>
            </a:graphic>
          </wp:inline>
        </w:drawing>
      </w:r>
    </w:p>
    <w:p w14:paraId="633F4F0E" w14:textId="77777777" w:rsidR="00E60169" w:rsidRDefault="00000000" w:rsidP="00E60169">
      <w:pPr>
        <w:pBdr>
          <w:top w:val="nil"/>
          <w:left w:val="nil"/>
          <w:bottom w:val="nil"/>
          <w:right w:val="nil"/>
          <w:between w:val="nil"/>
        </w:pBdr>
        <w:spacing w:after="20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Fig. S7</w:t>
      </w:r>
      <w:r w:rsidR="004758B2">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Schematic diagram of NWT showing light harvesting ability by repeated light interaction with NWTs.</w:t>
      </w:r>
    </w:p>
    <w:p w14:paraId="276DF832" w14:textId="25CA76E1" w:rsidR="000C232D" w:rsidRDefault="00000000" w:rsidP="00E60169">
      <w:pPr>
        <w:pBdr>
          <w:top w:val="nil"/>
          <w:left w:val="nil"/>
          <w:bottom w:val="nil"/>
          <w:right w:val="nil"/>
          <w:between w:val="nil"/>
        </w:pBdr>
        <w:spacing w:after="200" w:line="360" w:lineRule="auto"/>
        <w:jc w:val="both"/>
      </w:pPr>
      <w:r>
        <w:rPr>
          <w:noProof/>
        </w:rPr>
        <w:drawing>
          <wp:inline distT="0" distB="0" distL="0" distR="0" wp14:anchorId="3F0AC2FD" wp14:editId="1AE73A74">
            <wp:extent cx="5731510" cy="4549775"/>
            <wp:effectExtent l="0" t="0" r="0" b="0"/>
            <wp:docPr id="3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5"/>
                    <a:srcRect/>
                    <a:stretch>
                      <a:fillRect/>
                    </a:stretch>
                  </pic:blipFill>
                  <pic:spPr>
                    <a:xfrm>
                      <a:off x="0" y="0"/>
                      <a:ext cx="5731510" cy="4549775"/>
                    </a:xfrm>
                    <a:prstGeom prst="rect">
                      <a:avLst/>
                    </a:prstGeom>
                    <a:ln/>
                  </pic:spPr>
                </pic:pic>
              </a:graphicData>
            </a:graphic>
          </wp:inline>
        </w:drawing>
      </w:r>
    </w:p>
    <w:p w14:paraId="40D76E35" w14:textId="4B856880" w:rsidR="000C232D" w:rsidRDefault="00000000" w:rsidP="00CD3253">
      <w:pPr>
        <w:pBdr>
          <w:top w:val="nil"/>
          <w:left w:val="nil"/>
          <w:bottom w:val="nil"/>
          <w:right w:val="nil"/>
          <w:between w:val="nil"/>
        </w:pBdr>
        <w:spacing w:after="20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Fig. S8</w:t>
      </w:r>
      <w:r w:rsidR="004758B2">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XPS spectra of 0.5Pt-NWT photocatalyst (a) survey scan and high-resolution spectra of (b) Ti 2p, (c) O 1s and (d) Pt 4f.</w:t>
      </w:r>
    </w:p>
    <w:p w14:paraId="23ABAB24" w14:textId="47A8B0CE" w:rsidR="000C232D" w:rsidRDefault="00E60169" w:rsidP="00E60169">
      <w:pPr>
        <w:jc w:val="center"/>
      </w:pPr>
      <w:r>
        <w:rPr>
          <w:noProof/>
        </w:rPr>
        <w:lastRenderedPageBreak/>
        <w:drawing>
          <wp:inline distT="0" distB="0" distL="0" distR="0" wp14:anchorId="4A308EF4" wp14:editId="0B47A14D">
            <wp:extent cx="3793659" cy="3317875"/>
            <wp:effectExtent l="0" t="0" r="0" b="0"/>
            <wp:docPr id="15217947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04633" cy="3327473"/>
                    </a:xfrm>
                    <a:prstGeom prst="rect">
                      <a:avLst/>
                    </a:prstGeom>
                    <a:noFill/>
                    <a:ln>
                      <a:noFill/>
                    </a:ln>
                  </pic:spPr>
                </pic:pic>
              </a:graphicData>
            </a:graphic>
          </wp:inline>
        </w:drawing>
      </w:r>
    </w:p>
    <w:p w14:paraId="0F4A80EA" w14:textId="19885790" w:rsidR="00C036D9" w:rsidRPr="00E849A0" w:rsidRDefault="00E60169" w:rsidP="00E60169">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Fig. S9. </w:t>
      </w:r>
      <w:proofErr w:type="spellStart"/>
      <w:r w:rsidRPr="00E60169">
        <w:rPr>
          <w:rFonts w:ascii="Times New Roman" w:hAnsi="Times New Roman" w:cs="Times New Roman"/>
          <w:b/>
          <w:bCs/>
          <w:sz w:val="24"/>
          <w:szCs w:val="24"/>
        </w:rPr>
        <w:t>Tauc</w:t>
      </w:r>
      <w:proofErr w:type="spellEnd"/>
      <w:r w:rsidRPr="00E60169">
        <w:rPr>
          <w:rFonts w:ascii="Times New Roman" w:hAnsi="Times New Roman" w:cs="Times New Roman"/>
          <w:b/>
          <w:bCs/>
          <w:sz w:val="24"/>
          <w:szCs w:val="24"/>
        </w:rPr>
        <w:t xml:space="preserve"> plot graph of the optical band gap energy calculated by extrapolation of the linear part of (α</w:t>
      </w:r>
      <w:proofErr w:type="spellStart"/>
      <w:r w:rsidRPr="00E60169">
        <w:rPr>
          <w:rFonts w:ascii="Times New Roman" w:hAnsi="Times New Roman" w:cs="Times New Roman"/>
          <w:b/>
          <w:bCs/>
          <w:sz w:val="24"/>
          <w:szCs w:val="24"/>
        </w:rPr>
        <w:t>hν</w:t>
      </w:r>
      <w:proofErr w:type="spellEnd"/>
      <w:r w:rsidRPr="00E60169">
        <w:rPr>
          <w:rFonts w:ascii="Times New Roman" w:hAnsi="Times New Roman" w:cs="Times New Roman"/>
          <w:b/>
          <w:bCs/>
          <w:sz w:val="24"/>
          <w:szCs w:val="24"/>
        </w:rPr>
        <w:t>)</w:t>
      </w:r>
      <w:r w:rsidRPr="00E60169">
        <w:rPr>
          <w:rFonts w:ascii="Times New Roman" w:hAnsi="Times New Roman" w:cs="Times New Roman"/>
          <w:b/>
          <w:bCs/>
          <w:sz w:val="24"/>
          <w:szCs w:val="24"/>
          <w:vertAlign w:val="superscript"/>
        </w:rPr>
        <w:t>2</w:t>
      </w:r>
      <w:r w:rsidRPr="00E60169">
        <w:rPr>
          <w:rFonts w:ascii="Times New Roman" w:hAnsi="Times New Roman" w:cs="Times New Roman"/>
          <w:b/>
          <w:bCs/>
          <w:sz w:val="24"/>
          <w:szCs w:val="24"/>
        </w:rPr>
        <w:t xml:space="preserve"> versus (</w:t>
      </w:r>
      <w:proofErr w:type="spellStart"/>
      <w:r w:rsidRPr="00E60169">
        <w:rPr>
          <w:rFonts w:ascii="Times New Roman" w:hAnsi="Times New Roman" w:cs="Times New Roman"/>
          <w:b/>
          <w:bCs/>
          <w:sz w:val="24"/>
          <w:szCs w:val="24"/>
        </w:rPr>
        <w:t>hc</w:t>
      </w:r>
      <w:proofErr w:type="spellEnd"/>
      <w:r w:rsidRPr="00E60169">
        <w:rPr>
          <w:rFonts w:ascii="Times New Roman" w:hAnsi="Times New Roman" w:cs="Times New Roman"/>
          <w:b/>
          <w:bCs/>
          <w:sz w:val="24"/>
          <w:szCs w:val="24"/>
        </w:rPr>
        <w:t>/λ)</w:t>
      </w:r>
    </w:p>
    <w:p w14:paraId="480FE787" w14:textId="77777777" w:rsidR="00E60169" w:rsidRDefault="00E60169">
      <w:pPr>
        <w:rPr>
          <w:rFonts w:ascii="Times New Roman" w:hAnsi="Times New Roman" w:cs="Times New Roman"/>
          <w:b/>
          <w:bCs/>
          <w:sz w:val="24"/>
          <w:szCs w:val="24"/>
        </w:rPr>
      </w:pPr>
    </w:p>
    <w:p w14:paraId="0CD5D463" w14:textId="77777777" w:rsidR="00E60169" w:rsidRDefault="00E60169">
      <w:pPr>
        <w:rPr>
          <w:rFonts w:ascii="Times New Roman" w:hAnsi="Times New Roman" w:cs="Times New Roman"/>
          <w:b/>
          <w:bCs/>
          <w:sz w:val="24"/>
          <w:szCs w:val="24"/>
        </w:rPr>
      </w:pPr>
    </w:p>
    <w:p w14:paraId="1741FBAF" w14:textId="2532117E" w:rsidR="00C036D9" w:rsidRPr="00E849A0" w:rsidRDefault="00C036D9">
      <w:pPr>
        <w:rPr>
          <w:rFonts w:ascii="Times New Roman" w:hAnsi="Times New Roman" w:cs="Times New Roman"/>
          <w:b/>
          <w:bCs/>
          <w:sz w:val="24"/>
          <w:szCs w:val="24"/>
        </w:rPr>
      </w:pPr>
      <w:r w:rsidRPr="00E849A0">
        <w:rPr>
          <w:rFonts w:ascii="Times New Roman" w:hAnsi="Times New Roman" w:cs="Times New Roman"/>
          <w:b/>
          <w:bCs/>
          <w:sz w:val="24"/>
          <w:szCs w:val="24"/>
        </w:rPr>
        <w:t>References:</w:t>
      </w:r>
    </w:p>
    <w:p w14:paraId="4A987805" w14:textId="197A9490" w:rsidR="00C036D9" w:rsidRPr="009C4CF9" w:rsidRDefault="00C036D9" w:rsidP="00CF0A6A">
      <w:pPr>
        <w:widowControl w:val="0"/>
        <w:autoSpaceDE w:val="0"/>
        <w:autoSpaceDN w:val="0"/>
        <w:adjustRightInd w:val="0"/>
        <w:spacing w:line="360" w:lineRule="auto"/>
        <w:ind w:left="480" w:hanging="480"/>
        <w:jc w:val="both"/>
        <w:rPr>
          <w:rFonts w:ascii="Times New Roman" w:hAnsi="Times New Roman" w:cs="Times New Roman"/>
          <w:noProof/>
          <w:sz w:val="24"/>
          <w:szCs w:val="24"/>
        </w:rPr>
      </w:pPr>
      <w:r w:rsidRPr="009C4CF9">
        <w:rPr>
          <w:rFonts w:ascii="Times New Roman" w:hAnsi="Times New Roman" w:cs="Times New Roman"/>
          <w:sz w:val="24"/>
          <w:szCs w:val="24"/>
        </w:rPr>
        <w:fldChar w:fldCharType="begin" w:fldLock="1"/>
      </w:r>
      <w:r w:rsidRPr="009C4CF9">
        <w:rPr>
          <w:rFonts w:ascii="Times New Roman" w:hAnsi="Times New Roman" w:cs="Times New Roman"/>
          <w:sz w:val="24"/>
          <w:szCs w:val="24"/>
        </w:rPr>
        <w:instrText xml:space="preserve">ADDIN Mendeley Bibliography CSL_BIBLIOGRAPHY </w:instrText>
      </w:r>
      <w:r w:rsidRPr="009C4CF9">
        <w:rPr>
          <w:rFonts w:ascii="Times New Roman" w:hAnsi="Times New Roman" w:cs="Times New Roman"/>
          <w:sz w:val="24"/>
          <w:szCs w:val="24"/>
        </w:rPr>
        <w:fldChar w:fldCharType="separate"/>
      </w:r>
      <w:r w:rsidRPr="009C4CF9">
        <w:rPr>
          <w:rFonts w:ascii="Times New Roman" w:hAnsi="Times New Roman" w:cs="Times New Roman"/>
          <w:noProof/>
          <w:sz w:val="24"/>
          <w:szCs w:val="24"/>
        </w:rPr>
        <w:t>Shinde Y, Wadhai S, Ponkshe A, et al (2018) Decoration of Pt on the metal free RGO-TiO</w:t>
      </w:r>
      <w:r w:rsidRPr="009C4CF9">
        <w:rPr>
          <w:rFonts w:ascii="Times New Roman" w:hAnsi="Times New Roman" w:cs="Times New Roman"/>
          <w:noProof/>
          <w:sz w:val="24"/>
          <w:szCs w:val="24"/>
          <w:vertAlign w:val="subscript"/>
        </w:rPr>
        <w:t>2</w:t>
      </w:r>
      <w:r w:rsidRPr="009C4CF9">
        <w:rPr>
          <w:rFonts w:ascii="Times New Roman" w:hAnsi="Times New Roman" w:cs="Times New Roman"/>
          <w:noProof/>
          <w:sz w:val="24"/>
          <w:szCs w:val="24"/>
        </w:rPr>
        <w:t xml:space="preserve"> composite photocatalyst for the enhanced photocatalytic hydrogen evolution and photocatalytic degradation of pharmaceutical pollutant β blocker. Int J Hydrogen Energy 43:4015–4027. https://doi.org/10.1016/j.ijhydene.2017.10.089</w:t>
      </w:r>
    </w:p>
    <w:p w14:paraId="5CA658E4" w14:textId="47A1ADA9" w:rsidR="00C036D9" w:rsidRDefault="00C036D9" w:rsidP="00CF0A6A">
      <w:pPr>
        <w:spacing w:line="360" w:lineRule="auto"/>
        <w:jc w:val="both"/>
      </w:pPr>
      <w:r w:rsidRPr="009C4CF9">
        <w:rPr>
          <w:rFonts w:ascii="Times New Roman" w:hAnsi="Times New Roman" w:cs="Times New Roman"/>
          <w:sz w:val="24"/>
          <w:szCs w:val="24"/>
        </w:rPr>
        <w:fldChar w:fldCharType="end"/>
      </w:r>
    </w:p>
    <w:sectPr w:rsidR="00C036D9">
      <w:headerReference w:type="default" r:id="rId17"/>
      <w:pgSz w:w="11906" w:h="16838"/>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60CCF8" w14:textId="77777777" w:rsidR="004D4C61" w:rsidRDefault="004D4C61">
      <w:pPr>
        <w:spacing w:after="0" w:line="240" w:lineRule="auto"/>
      </w:pPr>
      <w:r>
        <w:separator/>
      </w:r>
    </w:p>
  </w:endnote>
  <w:endnote w:type="continuationSeparator" w:id="0">
    <w:p w14:paraId="1FA9A52F" w14:textId="77777777" w:rsidR="004D4C61" w:rsidRDefault="004D4C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089CB1" w14:textId="77777777" w:rsidR="004D4C61" w:rsidRDefault="004D4C61">
      <w:pPr>
        <w:spacing w:after="0" w:line="240" w:lineRule="auto"/>
      </w:pPr>
      <w:r>
        <w:separator/>
      </w:r>
    </w:p>
  </w:footnote>
  <w:footnote w:type="continuationSeparator" w:id="0">
    <w:p w14:paraId="51D0AFC6" w14:textId="77777777" w:rsidR="004D4C61" w:rsidRDefault="004D4C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844319" w14:textId="77777777" w:rsidR="000C232D" w:rsidRDefault="000C232D">
    <w:pPr>
      <w:pBdr>
        <w:top w:val="nil"/>
        <w:left w:val="nil"/>
        <w:bottom w:val="nil"/>
        <w:right w:val="nil"/>
        <w:between w:val="nil"/>
      </w:pBdr>
      <w:tabs>
        <w:tab w:val="center" w:pos="4513"/>
        <w:tab w:val="right" w:pos="9026"/>
      </w:tabs>
      <w:spacing w:after="0" w:line="240" w:lineRule="auto"/>
      <w:rPr>
        <w:color w:val="000000"/>
      </w:rPr>
    </w:pPr>
  </w:p>
  <w:p w14:paraId="750EE14F" w14:textId="77777777" w:rsidR="000C232D" w:rsidRDefault="000C232D">
    <w:pPr>
      <w:pBdr>
        <w:top w:val="nil"/>
        <w:left w:val="nil"/>
        <w:bottom w:val="nil"/>
        <w:right w:val="nil"/>
        <w:between w:val="nil"/>
      </w:pBdr>
      <w:tabs>
        <w:tab w:val="center" w:pos="4513"/>
        <w:tab w:val="right" w:pos="9026"/>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S2NDMwMrO0NAdCCyUdpeDU4uLM/DyQAsNaAFrtFtAsAAAA"/>
  </w:docVars>
  <w:rsids>
    <w:rsidRoot w:val="000C232D"/>
    <w:rsid w:val="00036077"/>
    <w:rsid w:val="000B6DFF"/>
    <w:rsid w:val="000C232D"/>
    <w:rsid w:val="0015682C"/>
    <w:rsid w:val="00180474"/>
    <w:rsid w:val="00206A23"/>
    <w:rsid w:val="00231631"/>
    <w:rsid w:val="00263BF5"/>
    <w:rsid w:val="00396312"/>
    <w:rsid w:val="003A46A7"/>
    <w:rsid w:val="003D4DCF"/>
    <w:rsid w:val="004530A0"/>
    <w:rsid w:val="004758B2"/>
    <w:rsid w:val="004C230E"/>
    <w:rsid w:val="004D4C61"/>
    <w:rsid w:val="00594F71"/>
    <w:rsid w:val="005A3AFB"/>
    <w:rsid w:val="007D3231"/>
    <w:rsid w:val="007F4614"/>
    <w:rsid w:val="008B1925"/>
    <w:rsid w:val="009151A6"/>
    <w:rsid w:val="00944B48"/>
    <w:rsid w:val="00973D73"/>
    <w:rsid w:val="009C4CF9"/>
    <w:rsid w:val="009D1D6E"/>
    <w:rsid w:val="00A57A83"/>
    <w:rsid w:val="00AF166B"/>
    <w:rsid w:val="00C036D9"/>
    <w:rsid w:val="00CD3253"/>
    <w:rsid w:val="00CE0410"/>
    <w:rsid w:val="00CE0E8F"/>
    <w:rsid w:val="00CF0A6A"/>
    <w:rsid w:val="00D176C4"/>
    <w:rsid w:val="00D446FA"/>
    <w:rsid w:val="00D95ACF"/>
    <w:rsid w:val="00DA4B98"/>
    <w:rsid w:val="00DF4551"/>
    <w:rsid w:val="00DF6BB0"/>
    <w:rsid w:val="00E069D4"/>
    <w:rsid w:val="00E4044C"/>
    <w:rsid w:val="00E45855"/>
    <w:rsid w:val="00E60169"/>
    <w:rsid w:val="00E65DC6"/>
    <w:rsid w:val="00E849A0"/>
    <w:rsid w:val="00E9746A"/>
    <w:rsid w:val="00F171CB"/>
    <w:rsid w:val="00FD4E5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507F4F"/>
  <w15:docId w15:val="{B7AE65CF-C16C-4D37-88F3-4E2D88AB8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EE8"/>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Caption">
    <w:name w:val="caption"/>
    <w:basedOn w:val="Normal"/>
    <w:next w:val="Normal"/>
    <w:uiPriority w:val="35"/>
    <w:unhideWhenUsed/>
    <w:qFormat/>
    <w:rsid w:val="00872331"/>
    <w:pPr>
      <w:spacing w:after="200" w:line="240" w:lineRule="auto"/>
    </w:pPr>
    <w:rPr>
      <w:i/>
      <w:iCs/>
      <w:color w:val="44546A" w:themeColor="text2"/>
      <w:sz w:val="18"/>
      <w:szCs w:val="18"/>
    </w:rPr>
  </w:style>
  <w:style w:type="paragraph" w:styleId="Header">
    <w:name w:val="header"/>
    <w:basedOn w:val="Normal"/>
    <w:link w:val="HeaderChar"/>
    <w:uiPriority w:val="99"/>
    <w:unhideWhenUsed/>
    <w:rsid w:val="00155AA6"/>
    <w:pPr>
      <w:tabs>
        <w:tab w:val="center" w:pos="4513"/>
        <w:tab w:val="right" w:pos="9026"/>
      </w:tabs>
      <w:spacing w:after="0" w:line="240" w:lineRule="auto"/>
    </w:pPr>
    <w:rPr>
      <w:rFonts w:asciiTheme="minorHAnsi" w:eastAsiaTheme="minorHAnsi" w:hAnsiTheme="minorHAnsi" w:cstheme="minorBidi"/>
      <w:lang w:eastAsia="en-US"/>
    </w:rPr>
  </w:style>
  <w:style w:type="character" w:customStyle="1" w:styleId="HeaderChar">
    <w:name w:val="Header Char"/>
    <w:basedOn w:val="DefaultParagraphFont"/>
    <w:link w:val="Header"/>
    <w:uiPriority w:val="99"/>
    <w:rsid w:val="00155AA6"/>
  </w:style>
  <w:style w:type="character" w:styleId="Hyperlink">
    <w:name w:val="Hyperlink"/>
    <w:basedOn w:val="DefaultParagraphFont"/>
    <w:uiPriority w:val="99"/>
    <w:unhideWhenUsed/>
    <w:rsid w:val="00155AA6"/>
    <w:rPr>
      <w:color w:val="0000FF"/>
      <w:u w:val="single"/>
    </w:rPr>
  </w:style>
  <w:style w:type="paragraph" w:styleId="FootnoteText">
    <w:name w:val="footnote text"/>
    <w:basedOn w:val="Normal"/>
    <w:link w:val="FootnoteTextChar"/>
    <w:uiPriority w:val="99"/>
    <w:semiHidden/>
    <w:unhideWhenUsed/>
    <w:rsid w:val="00155AA6"/>
    <w:pPr>
      <w:spacing w:after="0" w:line="240" w:lineRule="auto"/>
    </w:pPr>
    <w:rPr>
      <w:rFonts w:asciiTheme="minorHAnsi" w:eastAsiaTheme="minorHAnsi" w:hAnsiTheme="minorHAnsi" w:cstheme="minorBidi"/>
      <w:sz w:val="20"/>
      <w:szCs w:val="20"/>
      <w:lang w:eastAsia="en-US"/>
    </w:rPr>
  </w:style>
  <w:style w:type="character" w:customStyle="1" w:styleId="FootnoteTextChar">
    <w:name w:val="Footnote Text Char"/>
    <w:basedOn w:val="DefaultParagraphFont"/>
    <w:link w:val="FootnoteText"/>
    <w:uiPriority w:val="99"/>
    <w:semiHidden/>
    <w:rsid w:val="00155AA6"/>
    <w:rPr>
      <w:sz w:val="20"/>
      <w:szCs w:val="20"/>
    </w:rPr>
  </w:style>
  <w:style w:type="character" w:styleId="FootnoteReference">
    <w:name w:val="footnote reference"/>
    <w:basedOn w:val="DefaultParagraphFont"/>
    <w:uiPriority w:val="99"/>
    <w:semiHidden/>
    <w:unhideWhenUsed/>
    <w:rsid w:val="00155AA6"/>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image" Target="media/image8.jpg"/><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vB9PliscH7ayNX/feN1ZlIRa4bA==">AMUW2mVBqCmqC40cgLVZnOIh/uiHzyZ5jfCptq5KVDq7yWO2SAasKA2sE/f4tGFG/v2LETjgKevwYPVgwxqE4LWnVLqpOBs6U7GDeE5ppuDI5QKXdh/ijU4=</go:docsCustomData>
</go:gDocsCustomXmlDataStorage>
</file>

<file path=customXml/itemProps1.xml><?xml version="1.0" encoding="utf-8"?>
<ds:datastoreItem xmlns:ds="http://schemas.openxmlformats.org/officeDocument/2006/customXml" ds:itemID="{CB1EE438-3620-4376-94F4-F266DBE949E0}">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7</Pages>
  <Words>1181</Words>
  <Characters>6191</Characters>
  <Application>Microsoft Office Word</Application>
  <DocSecurity>0</DocSecurity>
  <Lines>123</Lines>
  <Paragraphs>34</Paragraphs>
  <ScaleCrop>false</ScaleCrop>
  <Company/>
  <LinksUpToDate>false</LinksUpToDate>
  <CharactersWithSpaces>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 Wadhai</dc:creator>
  <cp:lastModifiedBy>Sachin Wadhai</cp:lastModifiedBy>
  <cp:revision>32</cp:revision>
  <dcterms:created xsi:type="dcterms:W3CDTF">2022-12-07T04:41:00Z</dcterms:created>
  <dcterms:modified xsi:type="dcterms:W3CDTF">2024-09-19T07:29:00Z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http://www.zotero.org/styles/environmental-science-and-pollution-research</vt:lpwstr>
  </property>
  <property fmtid="{D5CDD505-2E9C-101B-9397-08002B2CF9AE}" pid="15" name="Mendeley Recent Style Name 6_1">
    <vt:lpwstr>Environmental Science and Pollution Research</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http://www.zotero.org/styles/materials-today-communications</vt:lpwstr>
  </property>
  <property fmtid="{D5CDD505-2E9C-101B-9397-08002B2CF9AE}" pid="19" name="Mendeley Recent Style Name 8_1">
    <vt:lpwstr>Materials Today Communications</vt:lpwstr>
  </property>
  <property fmtid="{D5CDD505-2E9C-101B-9397-08002B2CF9AE}" pid="20" name="Mendeley Recent Style Id 9_1">
    <vt:lpwstr>http://www.zotero.org/styles/modern-humanities-research-association</vt:lpwstr>
  </property>
  <property fmtid="{D5CDD505-2E9C-101B-9397-08002B2CF9AE}" pid="21" name="Mendeley Recent Style Name 9_1">
    <vt:lpwstr>Modern Humanities Research Association 3rd edition (note with bibliography)</vt:lpwstr>
  </property>
  <property fmtid="{D5CDD505-2E9C-101B-9397-08002B2CF9AE}" pid="22" name="Mendeley Document_1">
    <vt:lpwstr>True</vt:lpwstr>
  </property>
  <property fmtid="{D5CDD505-2E9C-101B-9397-08002B2CF9AE}" pid="23" name="Mendeley Unique User Id_1">
    <vt:lpwstr>a6b7ecb0-4e47-35ca-99d7-8cb284701661</vt:lpwstr>
  </property>
  <property fmtid="{D5CDD505-2E9C-101B-9397-08002B2CF9AE}" pid="24" name="Mendeley Citation Style_1">
    <vt:lpwstr>http://www.zotero.org/styles/environmental-science-and-pollution-research</vt:lpwstr>
  </property>
  <property fmtid="{D5CDD505-2E9C-101B-9397-08002B2CF9AE}" pid="25" name="GrammarlyDocumentId">
    <vt:lpwstr>fd2c17aad487cd1910c935d109bf6e7161a4f37a1e76d150420a5863ce0520c1</vt:lpwstr>
  </property>
</Properties>
</file>