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1DF83F" w14:textId="77777777" w:rsidR="003A0478" w:rsidRPr="00776134" w:rsidRDefault="003A0478" w:rsidP="003A0478">
      <w:pPr>
        <w:pStyle w:val="Heading1"/>
      </w:pPr>
      <w:r>
        <w:t>Extended Data Figures</w:t>
      </w:r>
    </w:p>
    <w:p w14:paraId="34C974DC" w14:textId="77777777" w:rsidR="003A0478" w:rsidRDefault="003A0478" w:rsidP="003A0478"/>
    <w:p w14:paraId="2F94EBF2" w14:textId="77777777" w:rsidR="003A0478" w:rsidRDefault="003A0478" w:rsidP="003A0478">
      <w:pPr>
        <w:jc w:val="center"/>
      </w:pPr>
      <w:r w:rsidRPr="00473C12">
        <w:rPr>
          <w:rFonts w:ascii="Arial" w:hAnsi="Arial" w:cs="Arial"/>
          <w:noProof/>
          <w:lang w:eastAsia="zh-CN"/>
        </w:rPr>
        <w:drawing>
          <wp:inline distT="0" distB="0" distL="0" distR="0" wp14:anchorId="1DD80894" wp14:editId="1C31C0CB">
            <wp:extent cx="3507736" cy="3317734"/>
            <wp:effectExtent l="0" t="0" r="0" b="0"/>
            <wp:docPr id="407836059" name="Picture 407836059" descr="A flowchart of a patient's fl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836059" name="Picture 407836059" descr="A flowchart of a patient's flow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373" cy="3326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C7C73" w14:textId="77777777" w:rsidR="003A0478" w:rsidRPr="00FA3ACA" w:rsidRDefault="003A0478" w:rsidP="003A0478">
      <w:pPr>
        <w:rPr>
          <w:rFonts w:ascii="Arial" w:hAnsi="Arial" w:cs="Arial"/>
          <w:b/>
          <w:bCs/>
          <w:lang w:val="en-US"/>
        </w:rPr>
      </w:pPr>
      <w:r w:rsidRPr="00956FCE">
        <w:rPr>
          <w:rFonts w:ascii="Arial" w:hAnsi="Arial" w:cs="Arial"/>
          <w:b/>
          <w:bCs/>
        </w:rPr>
        <w:t>Extended Data Fig. 1</w:t>
      </w:r>
      <w:r w:rsidRPr="00473C12">
        <w:rPr>
          <w:rFonts w:ascii="Arial" w:hAnsi="Arial" w:cs="Arial"/>
          <w:b/>
          <w:bCs/>
        </w:rPr>
        <w:t xml:space="preserve"> Study flowchart.</w:t>
      </w:r>
      <w:r w:rsidRPr="00FA3ACA">
        <w:t xml:space="preserve"> </w:t>
      </w:r>
      <w:r w:rsidRPr="00FA3ACA">
        <w:rPr>
          <w:rFonts w:ascii="Arial" w:hAnsi="Arial" w:cs="Arial"/>
        </w:rPr>
        <w:t xml:space="preserve">CONSORT flow diagram illustrating the </w:t>
      </w:r>
      <w:r>
        <w:rPr>
          <w:rFonts w:ascii="Arial" w:hAnsi="Arial" w:cs="Arial"/>
        </w:rPr>
        <w:t xml:space="preserve">study </w:t>
      </w:r>
      <w:r w:rsidRPr="00FA3ACA">
        <w:rPr>
          <w:rFonts w:ascii="Arial" w:hAnsi="Arial" w:cs="Arial"/>
        </w:rPr>
        <w:t>procedures, data</w:t>
      </w:r>
      <w:r>
        <w:rPr>
          <w:rFonts w:ascii="Arial" w:hAnsi="Arial" w:cs="Arial"/>
        </w:rPr>
        <w:t xml:space="preserve"> collection and</w:t>
      </w:r>
      <w:r w:rsidRPr="00FA3ACA">
        <w:rPr>
          <w:rFonts w:ascii="Arial" w:hAnsi="Arial" w:cs="Arial"/>
        </w:rPr>
        <w:t xml:space="preserve"> analysis. </w:t>
      </w:r>
      <w:r>
        <w:rPr>
          <w:rFonts w:ascii="Arial" w:hAnsi="Arial" w:cs="Arial"/>
        </w:rPr>
        <w:t xml:space="preserve">Missing data was described in </w:t>
      </w:r>
      <w:r w:rsidRPr="00B37E5C">
        <w:rPr>
          <w:rFonts w:ascii="Arial" w:hAnsi="Arial" w:cs="Arial"/>
          <w:b/>
          <w:bCs/>
        </w:rPr>
        <w:t>Supplementary Table 3</w:t>
      </w:r>
      <w:r>
        <w:rPr>
          <w:rFonts w:ascii="Arial" w:hAnsi="Arial" w:cs="Arial"/>
        </w:rPr>
        <w:t>.</w:t>
      </w:r>
    </w:p>
    <w:p w14:paraId="68AF4A4D" w14:textId="77777777" w:rsidR="003A0478" w:rsidRDefault="003A0478" w:rsidP="003A047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7C255FF" w14:textId="77777777" w:rsidR="003A0478" w:rsidRDefault="003A0478" w:rsidP="003A0478">
      <w:pPr>
        <w:jc w:val="center"/>
        <w:rPr>
          <w:rFonts w:ascii="Arial" w:hAnsi="Arial" w:cs="Arial"/>
          <w:b/>
          <w:bCs/>
        </w:rPr>
      </w:pPr>
      <w:r w:rsidRPr="00473C12">
        <w:rPr>
          <w:rFonts w:ascii="Arial" w:hAnsi="Arial" w:cs="Arial"/>
          <w:b/>
          <w:bCs/>
          <w:i/>
          <w:iCs/>
          <w:noProof/>
          <w:lang w:eastAsia="zh-CN"/>
        </w:rPr>
        <w:lastRenderedPageBreak/>
        <w:drawing>
          <wp:inline distT="0" distB="0" distL="0" distR="0" wp14:anchorId="0CF82FCC" wp14:editId="284E56CA">
            <wp:extent cx="5274310" cy="3415030"/>
            <wp:effectExtent l="0" t="0" r="0" b="1270"/>
            <wp:docPr id="1527945319" name="Picture 2" descr="A graph of different types of foo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945319" name="Picture 2" descr="A graph of different types of food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9F24C" w14:textId="77777777" w:rsidR="003A0478" w:rsidRDefault="003A0478" w:rsidP="003A0478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Extended Data Fig</w:t>
      </w:r>
      <w:r w:rsidRPr="00473C12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2</w:t>
      </w:r>
      <w:r w:rsidRPr="00473C12">
        <w:rPr>
          <w:rFonts w:ascii="Arial" w:hAnsi="Arial" w:cs="Arial"/>
          <w:b/>
          <w:bCs/>
        </w:rPr>
        <w:t xml:space="preserve"> Subjective appetite scores responses to meal type.</w:t>
      </w:r>
      <w:r w:rsidRPr="00473C12">
        <w:rPr>
          <w:rFonts w:ascii="Arial" w:hAnsi="Arial" w:cs="Arial"/>
          <w:b/>
          <w:bCs/>
          <w:sz w:val="23"/>
          <w:szCs w:val="23"/>
        </w:rPr>
        <w:t xml:space="preserve"> </w:t>
      </w:r>
      <w:r w:rsidRPr="00473C12">
        <w:rPr>
          <w:rFonts w:ascii="Arial" w:hAnsi="Arial" w:cs="Arial"/>
        </w:rPr>
        <w:t>Delta changes in feeling of hunger (A), desire to eat (B), and appetite for a meal (C) and composite appetite score</w:t>
      </w:r>
      <w:r>
        <w:rPr>
          <w:rFonts w:ascii="Arial" w:hAnsi="Arial" w:cs="Arial"/>
        </w:rPr>
        <w:t xml:space="preserve"> (CAS)</w:t>
      </w:r>
      <w:r w:rsidRPr="00473C12">
        <w:rPr>
          <w:rFonts w:ascii="Arial" w:hAnsi="Arial" w:cs="Arial"/>
        </w:rPr>
        <w:t xml:space="preserve"> (D) following consumption</w:t>
      </w:r>
      <w:r>
        <w:rPr>
          <w:rFonts w:ascii="Arial" w:hAnsi="Arial" w:cs="Arial"/>
        </w:rPr>
        <w:t xml:space="preserve"> of </w:t>
      </w:r>
      <w:r w:rsidRPr="00473C12">
        <w:rPr>
          <w:rFonts w:ascii="Arial" w:hAnsi="Arial" w:cs="Arial"/>
        </w:rPr>
        <w:t xml:space="preserve">chickpea test meals. Data presented as mean ± SEM (n=10). Repeated measures two-way ANOVA with post hoc Tukey’s test was performed to test the effect of diets, time points and their interactions. Significant differences between interventions annotated: a –Intact-S vs Intact-C; b Intact-S vs Broken and c- Intact-C vs Broken. </w:t>
      </w:r>
    </w:p>
    <w:p w14:paraId="2C814592" w14:textId="77777777" w:rsidR="003A0478" w:rsidRDefault="003A0478" w:rsidP="003A047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656C475" w14:textId="77777777" w:rsidR="003A0478" w:rsidRDefault="003A0478" w:rsidP="003A0478">
      <w:pPr>
        <w:jc w:val="center"/>
        <w:rPr>
          <w:rFonts w:ascii="Arial" w:hAnsi="Arial" w:cs="Arial"/>
        </w:rPr>
      </w:pPr>
      <w:r w:rsidRPr="00473C12"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60644744" wp14:editId="020EEB47">
            <wp:extent cx="2896948" cy="4793856"/>
            <wp:effectExtent l="0" t="0" r="0" b="0"/>
            <wp:docPr id="35732945" name="Picture 1" descr="A collage of different type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255" cy="482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BB536" w14:textId="77777777" w:rsidR="003A0478" w:rsidRPr="00473C12" w:rsidRDefault="003A0478" w:rsidP="003A0478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Extended Data Fig. 3</w:t>
      </w:r>
      <w:r w:rsidRPr="00473C12">
        <w:rPr>
          <w:rFonts w:ascii="Arial" w:eastAsia="Arial" w:hAnsi="Arial" w:cs="Arial"/>
          <w:b/>
          <w:bCs/>
        </w:rPr>
        <w:t xml:space="preserve"> Intestinal carbohydrates responses to meal type. </w:t>
      </w:r>
      <w:r w:rsidRPr="00473C12">
        <w:rPr>
          <w:rFonts w:ascii="Arial" w:eastAsia="Arial" w:hAnsi="Arial" w:cs="Arial"/>
        </w:rPr>
        <w:t xml:space="preserve">Intestinal concentrations of gastric sucrose (A), duodenal sucrose (B) and maltotriose (C) following consumption of chickpea test meals. Time-series data (mean with SEM) showed analyte concentrations measured at time-points to up 3 h after each meal structure using samples from 9 participants. Bar charts showed average concentrations of each analyte over the 3 h period and connected data points are from the same individual. Repeated measures one-way mixed effects ANOVA was performed on each bart chart; annotations refer to multiplicity adjusted P-values from pairwise comparisons using Tukey’s </w:t>
      </w:r>
      <w:r w:rsidRPr="00473C12">
        <w:rPr>
          <w:rFonts w:ascii="Arial" w:eastAsia="Arial" w:hAnsi="Arial" w:cs="Arial"/>
          <w:i/>
          <w:iCs/>
        </w:rPr>
        <w:t>post-hoc</w:t>
      </w:r>
      <w:r w:rsidRPr="00473C12">
        <w:rPr>
          <w:rFonts w:ascii="Arial" w:eastAsia="Arial" w:hAnsi="Arial" w:cs="Arial"/>
        </w:rPr>
        <w:t xml:space="preserve"> test: *p&lt;0.05, **p&lt;0.01, ***p&lt;0.001. One-way ANOVA showed non-significant effect on gastric sucrose (p=0.055), significant meal effect on average 0-3 h duodenal sucrose (p=0.041) and duodenal maltotriose (p=0.0381).</w:t>
      </w:r>
    </w:p>
    <w:p w14:paraId="3123CA6F" w14:textId="77777777" w:rsidR="003A0478" w:rsidRDefault="003A0478" w:rsidP="003A0478">
      <w:pPr>
        <w:ind w:firstLine="0"/>
      </w:pPr>
    </w:p>
    <w:p w14:paraId="4519DADE" w14:textId="77777777" w:rsidR="003A0478" w:rsidRDefault="003A0478" w:rsidP="003A0478">
      <w:pPr>
        <w:ind w:firstLine="0"/>
      </w:pPr>
      <w:r>
        <w:rPr>
          <w:noProof/>
        </w:rPr>
        <w:drawing>
          <wp:inline distT="0" distB="0" distL="0" distR="0" wp14:anchorId="1164A1AB" wp14:editId="5C9ACA4E">
            <wp:extent cx="5865938" cy="3048000"/>
            <wp:effectExtent l="0" t="0" r="1905" b="0"/>
            <wp:docPr id="312440986" name="Picture 11" descr="A group of graphs showing different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440986" name="Picture 11" descr="A group of graphs showing different numbe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639" cy="3048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E48A0" w14:textId="77777777" w:rsidR="003A0478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b/>
          <w:bCs/>
          <w:noProof/>
        </w:rPr>
        <w:t>Extended Data Fig. 4</w:t>
      </w:r>
      <w:r w:rsidRPr="6D1E5DE7">
        <w:rPr>
          <w:rFonts w:ascii="Arial" w:eastAsia="Arial" w:hAnsi="Arial" w:cs="Arial"/>
          <w:b/>
          <w:bCs/>
          <w:noProof/>
        </w:rPr>
        <w:t xml:space="preserve"> Spearman correlations of 0-30min delta changes in luminal carbohydrates with blood responses</w:t>
      </w:r>
      <w:r w:rsidRPr="6D1E5DE7">
        <w:rPr>
          <w:rFonts w:ascii="Arial" w:eastAsia="Arial" w:hAnsi="Arial" w:cs="Arial"/>
          <w:noProof/>
        </w:rPr>
        <w:t>.</w:t>
      </w:r>
      <w:r>
        <w:rPr>
          <w:rFonts w:ascii="Arial" w:eastAsia="Arial" w:hAnsi="Arial" w:cs="Arial"/>
          <w:noProof/>
        </w:rPr>
        <w:t xml:space="preserve"> </w:t>
      </w:r>
    </w:p>
    <w:p w14:paraId="4F64CAA9" w14:textId="77777777" w:rsidR="003A0478" w:rsidRPr="00A31842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noProof/>
        </w:rPr>
        <w:t xml:space="preserve">(A) </w:t>
      </w:r>
      <w:r w:rsidRPr="00A31842">
        <w:rPr>
          <w:rFonts w:ascii="Arial" w:eastAsia="Arial" w:hAnsi="Arial" w:cs="Arial"/>
          <w:noProof/>
        </w:rPr>
        <w:t>Relationship between gastri</w:t>
      </w:r>
      <w:r>
        <w:rPr>
          <w:rFonts w:ascii="Arial" w:eastAsia="Arial" w:hAnsi="Arial" w:cs="Arial"/>
          <w:noProof/>
        </w:rPr>
        <w:t>c</w:t>
      </w:r>
      <w:r w:rsidRPr="00A31842">
        <w:rPr>
          <w:rFonts w:ascii="Arial" w:eastAsia="Arial" w:hAnsi="Arial" w:cs="Arial"/>
          <w:noProof/>
        </w:rPr>
        <w:t xml:space="preserve"> glucose (</w:t>
      </w:r>
      <w:r>
        <w:rPr>
          <w:rFonts w:ascii="Arial" w:eastAsia="Arial" w:hAnsi="Arial" w:cs="Arial"/>
          <w:noProof/>
        </w:rPr>
        <w:t>mg/mL</w:t>
      </w:r>
      <w:r w:rsidRPr="00A31842">
        <w:rPr>
          <w:rFonts w:ascii="Arial" w:eastAsia="Arial" w:hAnsi="Arial" w:cs="Arial"/>
          <w:noProof/>
        </w:rPr>
        <w:t>) and blood glucose (mmol/L), GIP(pg/mL), GLP-1 (pmol/L), and PYY (pmol/L).</w:t>
      </w:r>
    </w:p>
    <w:p w14:paraId="68BF997F" w14:textId="77777777" w:rsidR="003A0478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noProof/>
        </w:rPr>
        <w:t>(B)</w:t>
      </w:r>
      <w:r w:rsidRPr="00A31842">
        <w:rPr>
          <w:rFonts w:ascii="Arial" w:eastAsia="Arial" w:hAnsi="Arial" w:cs="Arial"/>
          <w:noProof/>
        </w:rPr>
        <w:t xml:space="preserve"> Relationship between </w:t>
      </w:r>
      <w:r>
        <w:rPr>
          <w:rFonts w:ascii="Arial" w:eastAsia="Arial" w:hAnsi="Arial" w:cs="Arial"/>
          <w:noProof/>
        </w:rPr>
        <w:t>duodenal</w:t>
      </w:r>
      <w:r w:rsidRPr="00A31842">
        <w:rPr>
          <w:rFonts w:ascii="Arial" w:eastAsia="Arial" w:hAnsi="Arial" w:cs="Arial"/>
          <w:noProof/>
        </w:rPr>
        <w:t xml:space="preserve"> </w:t>
      </w:r>
      <w:r>
        <w:rPr>
          <w:rFonts w:ascii="Arial" w:eastAsia="Arial" w:hAnsi="Arial" w:cs="Arial"/>
          <w:noProof/>
        </w:rPr>
        <w:t>maltose</w:t>
      </w:r>
      <w:r w:rsidRPr="00A31842">
        <w:rPr>
          <w:rFonts w:ascii="Arial" w:eastAsia="Arial" w:hAnsi="Arial" w:cs="Arial"/>
          <w:noProof/>
        </w:rPr>
        <w:t xml:space="preserve"> (</w:t>
      </w:r>
      <w:r>
        <w:rPr>
          <w:rFonts w:ascii="Arial" w:eastAsia="Arial" w:hAnsi="Arial" w:cs="Arial"/>
          <w:noProof/>
        </w:rPr>
        <w:t>mg/mL</w:t>
      </w:r>
      <w:r w:rsidRPr="00A31842">
        <w:rPr>
          <w:rFonts w:ascii="Arial" w:eastAsia="Arial" w:hAnsi="Arial" w:cs="Arial"/>
          <w:noProof/>
        </w:rPr>
        <w:t>) and blood glucose (mmol/L), GIP(pg/mL), GLP-1 (pmol/L), and PYY (pmol/L).</w:t>
      </w:r>
    </w:p>
    <w:p w14:paraId="197090C1" w14:textId="77777777" w:rsidR="003A0478" w:rsidRPr="00A31842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noProof/>
        </w:rPr>
        <w:t xml:space="preserve">(C) </w:t>
      </w:r>
      <w:r w:rsidRPr="00A31842">
        <w:rPr>
          <w:rFonts w:ascii="Arial" w:eastAsia="Arial" w:hAnsi="Arial" w:cs="Arial"/>
          <w:noProof/>
        </w:rPr>
        <w:t xml:space="preserve">Relationship between </w:t>
      </w:r>
      <w:r>
        <w:rPr>
          <w:rFonts w:ascii="Arial" w:eastAsia="Arial" w:hAnsi="Arial" w:cs="Arial"/>
          <w:noProof/>
        </w:rPr>
        <w:t>duodenal</w:t>
      </w:r>
      <w:r w:rsidRPr="00A31842">
        <w:rPr>
          <w:rFonts w:ascii="Arial" w:eastAsia="Arial" w:hAnsi="Arial" w:cs="Arial"/>
          <w:noProof/>
        </w:rPr>
        <w:t xml:space="preserve"> </w:t>
      </w:r>
      <w:r>
        <w:rPr>
          <w:rFonts w:ascii="Arial" w:eastAsia="Arial" w:hAnsi="Arial" w:cs="Arial"/>
          <w:noProof/>
        </w:rPr>
        <w:t>glucose</w:t>
      </w:r>
      <w:r w:rsidRPr="00A31842">
        <w:rPr>
          <w:rFonts w:ascii="Arial" w:eastAsia="Arial" w:hAnsi="Arial" w:cs="Arial"/>
          <w:noProof/>
        </w:rPr>
        <w:t xml:space="preserve"> (</w:t>
      </w:r>
      <w:r>
        <w:rPr>
          <w:rFonts w:ascii="Arial" w:eastAsia="Arial" w:hAnsi="Arial" w:cs="Arial"/>
          <w:noProof/>
        </w:rPr>
        <w:t>mg/mL</w:t>
      </w:r>
      <w:r w:rsidRPr="00A31842">
        <w:rPr>
          <w:rFonts w:ascii="Arial" w:eastAsia="Arial" w:hAnsi="Arial" w:cs="Arial"/>
          <w:noProof/>
        </w:rPr>
        <w:t>) and blood glucose (mmol/L), GIP(pg/mL), GLP-1 (pmol/L), and PYY (pmol/L).</w:t>
      </w:r>
    </w:p>
    <w:p w14:paraId="0E6DFA02" w14:textId="77777777" w:rsidR="003A0478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noProof/>
        </w:rPr>
        <w:t>All s</w:t>
      </w:r>
      <w:r w:rsidRPr="6D1E5DE7">
        <w:rPr>
          <w:rFonts w:ascii="Arial" w:eastAsia="Arial" w:hAnsi="Arial" w:cs="Arial"/>
          <w:noProof/>
        </w:rPr>
        <w:t>catterplots displayed individual points with a regression line and 95% CI (n=9).</w:t>
      </w:r>
      <w:r>
        <w:rPr>
          <w:rFonts w:ascii="Arial" w:eastAsia="Arial" w:hAnsi="Arial" w:cs="Arial"/>
          <w:noProof/>
        </w:rPr>
        <w:t xml:space="preserve"> </w:t>
      </w:r>
      <w:r w:rsidRPr="6D1E5DE7">
        <w:rPr>
          <w:rFonts w:ascii="Arial" w:eastAsia="Arial" w:hAnsi="Arial" w:cs="Arial"/>
          <w:noProof/>
        </w:rPr>
        <w:t xml:space="preserve">BldGlu, blood glucose; </w:t>
      </w:r>
      <w:r>
        <w:rPr>
          <w:rFonts w:ascii="Arial" w:eastAsia="Arial" w:hAnsi="Arial" w:cs="Arial"/>
          <w:noProof/>
        </w:rPr>
        <w:t xml:space="preserve">GasGlu, gastric glucose; </w:t>
      </w:r>
      <w:r w:rsidRPr="6D1E5DE7">
        <w:rPr>
          <w:rFonts w:ascii="Arial" w:eastAsia="Arial" w:hAnsi="Arial" w:cs="Arial"/>
          <w:noProof/>
        </w:rPr>
        <w:t xml:space="preserve">DuoGlu, duodenal glucose; DuoMal, duodenal maltose. </w:t>
      </w:r>
    </w:p>
    <w:p w14:paraId="2C1CD38D" w14:textId="77777777" w:rsidR="003A0478" w:rsidRDefault="003A0478" w:rsidP="003A0478">
      <w:pPr>
        <w:rPr>
          <w:rFonts w:ascii="Arial" w:eastAsia="Arial" w:hAnsi="Arial" w:cs="Arial"/>
          <w:noProof/>
        </w:rPr>
      </w:pPr>
      <w:r>
        <w:rPr>
          <w:rFonts w:ascii="Arial" w:eastAsia="Arial" w:hAnsi="Arial" w:cs="Arial"/>
          <w:noProof/>
        </w:rPr>
        <w:br w:type="page"/>
      </w:r>
    </w:p>
    <w:p w14:paraId="68ECA43C" w14:textId="77777777" w:rsidR="003A0478" w:rsidRDefault="003A0478" w:rsidP="003A0478">
      <w:pPr>
        <w:rPr>
          <w:rFonts w:ascii="Arial" w:eastAsia="Arial" w:hAnsi="Arial" w:cs="Arial"/>
          <w:noProof/>
        </w:rPr>
      </w:pPr>
    </w:p>
    <w:p w14:paraId="59656DBC" w14:textId="77777777" w:rsidR="003A0478" w:rsidRPr="00FA3ACA" w:rsidRDefault="003A0478" w:rsidP="003A0478">
      <w:pPr>
        <w:jc w:val="center"/>
        <w:rPr>
          <w:rFonts w:ascii="Arial" w:eastAsia="Arial" w:hAnsi="Arial" w:cs="Arial"/>
          <w:b/>
          <w:bCs/>
          <w:noProof/>
        </w:rPr>
      </w:pPr>
      <w:r w:rsidRPr="00A162E0">
        <w:rPr>
          <w:b/>
          <w:bCs/>
          <w:noProof/>
          <w:lang w:eastAsia="zh-CN"/>
        </w:rPr>
        <w:drawing>
          <wp:inline distT="0" distB="0" distL="0" distR="0" wp14:anchorId="394FF11F" wp14:editId="4AE2037C">
            <wp:extent cx="5034936" cy="6763549"/>
            <wp:effectExtent l="0" t="0" r="0" b="0"/>
            <wp:docPr id="701132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13212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1201" cy="6879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F9A45" w14:textId="77777777" w:rsidR="003A0478" w:rsidRPr="00E627E1" w:rsidRDefault="003A0478" w:rsidP="003A0478">
      <w:pPr>
        <w:rPr>
          <w:rFonts w:ascii="Arial" w:eastAsia="Arial" w:hAnsi="Arial" w:cs="Arial"/>
          <w:b/>
          <w:bCs/>
          <w:noProof/>
        </w:rPr>
      </w:pPr>
      <w:r>
        <w:rPr>
          <w:rFonts w:ascii="Arial" w:eastAsia="Arial" w:hAnsi="Arial" w:cs="Arial"/>
          <w:b/>
          <w:bCs/>
          <w:noProof/>
        </w:rPr>
        <w:t>Extended Data Fig</w:t>
      </w:r>
      <w:r w:rsidRPr="6D1E5DE7">
        <w:rPr>
          <w:rFonts w:ascii="Arial" w:eastAsia="Arial" w:hAnsi="Arial" w:cs="Arial"/>
          <w:b/>
          <w:bCs/>
          <w:noProof/>
        </w:rPr>
        <w:t>.</w:t>
      </w:r>
      <w:r>
        <w:rPr>
          <w:rFonts w:ascii="Arial" w:eastAsia="Arial" w:hAnsi="Arial" w:cs="Arial"/>
          <w:b/>
          <w:bCs/>
          <w:noProof/>
        </w:rPr>
        <w:t>5</w:t>
      </w:r>
      <w:r w:rsidRPr="6D1E5DE7">
        <w:rPr>
          <w:rFonts w:ascii="Arial" w:eastAsia="Arial" w:hAnsi="Arial" w:cs="Arial"/>
          <w:b/>
          <w:bCs/>
          <w:noProof/>
        </w:rPr>
        <w:t xml:space="preserve"> Metabolomic profiling of gastric and duodenal aspirates.</w:t>
      </w:r>
      <w:r>
        <w:rPr>
          <w:rFonts w:ascii="Arial" w:eastAsia="Arial" w:hAnsi="Arial" w:cs="Arial"/>
          <w:b/>
          <w:bCs/>
          <w:noProof/>
        </w:rPr>
        <w:t xml:space="preserve"> </w:t>
      </w:r>
      <w:r w:rsidRPr="6D1E5DE7">
        <w:rPr>
          <w:rFonts w:ascii="Arial" w:eastAsia="Arial" w:hAnsi="Arial" w:cs="Arial"/>
          <w:noProof/>
        </w:rPr>
        <w:t>Repeated Measures, Monte-Carlo Cross-Validation, Partial Least Squares</w:t>
      </w:r>
      <w:r>
        <w:rPr>
          <w:rFonts w:ascii="Arial" w:eastAsia="Arial" w:hAnsi="Arial" w:cs="Arial"/>
          <w:noProof/>
        </w:rPr>
        <w:t xml:space="preserve"> </w:t>
      </w:r>
      <w:r w:rsidRPr="6D1E5DE7">
        <w:rPr>
          <w:rFonts w:ascii="Arial" w:eastAsia="Arial" w:hAnsi="Arial" w:cs="Arial"/>
          <w:noProof/>
        </w:rPr>
        <w:t xml:space="preserve">Discriminant Analysis </w:t>
      </w:r>
      <w:r w:rsidRPr="6D1E5DE7">
        <w:rPr>
          <w:rFonts w:ascii="Arial" w:eastAsia="Arial" w:hAnsi="Arial" w:cs="Arial"/>
          <w:noProof/>
        </w:rPr>
        <w:lastRenderedPageBreak/>
        <w:t xml:space="preserve">(RM-MCCV-PLSDA) models on </w:t>
      </w:r>
      <w:r w:rsidRPr="6D1E5DE7">
        <w:rPr>
          <w:rFonts w:ascii="Arial" w:eastAsia="Arial" w:hAnsi="Arial" w:cs="Arial"/>
          <w:noProof/>
          <w:vertAlign w:val="superscript"/>
        </w:rPr>
        <w:t>1</w:t>
      </w:r>
      <w:r w:rsidRPr="6D1E5DE7">
        <w:rPr>
          <w:rFonts w:ascii="Arial" w:eastAsia="Arial" w:hAnsi="Arial" w:cs="Arial"/>
          <w:noProof/>
        </w:rPr>
        <w:t>H-NMR spectra derived from gastric and duodenal aspirates comparing participants receiving Broken, Intact-S, or Intact-C meal pre- and post-prandial 60 min. Dots represent individual participant metabolic profiles. Abbreviations: Q</w:t>
      </w:r>
      <w:r w:rsidRPr="00E627E1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Y, capability of prediction; R</w:t>
      </w:r>
      <w:r w:rsidRPr="00E627E1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Y, explained variance.</w:t>
      </w:r>
      <w:r>
        <w:rPr>
          <w:rFonts w:ascii="Arial" w:eastAsia="Arial" w:hAnsi="Arial" w:cs="Arial"/>
          <w:noProof/>
        </w:rPr>
        <w:t xml:space="preserve"> </w:t>
      </w:r>
      <w:r w:rsidRPr="6D1E5DE7">
        <w:rPr>
          <w:rFonts w:ascii="Arial" w:eastAsia="Arial" w:hAnsi="Arial" w:cs="Arial"/>
          <w:noProof/>
        </w:rPr>
        <w:t xml:space="preserve">Model scores: </w:t>
      </w:r>
    </w:p>
    <w:p w14:paraId="743DFBCA" w14:textId="77777777" w:rsidR="003A0478" w:rsidRPr="00881583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(A) Intact-S vs. Broken , gastric T=0 (n = 6,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0.92,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-0.89)</w:t>
      </w:r>
    </w:p>
    <w:p w14:paraId="08F17377" w14:textId="77777777" w:rsidR="003A0478" w:rsidRPr="00881583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(B) Intact-S vs. Intact-C, gastric T=0 (n = 7,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0.66,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-4.6</w:t>
      </w:r>
      <w:r>
        <w:rPr>
          <w:rFonts w:ascii="Arial" w:eastAsia="Arial" w:hAnsi="Arial" w:cs="Arial"/>
          <w:noProof/>
        </w:rPr>
        <w:t>0</w:t>
      </w:r>
      <w:r w:rsidRPr="6D1E5DE7">
        <w:rPr>
          <w:rFonts w:ascii="Arial" w:eastAsia="Arial" w:hAnsi="Arial" w:cs="Arial"/>
          <w:noProof/>
        </w:rPr>
        <w:t>)</w:t>
      </w:r>
    </w:p>
    <w:p w14:paraId="31E7521B" w14:textId="77777777" w:rsidR="003A0478" w:rsidRPr="00881583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(C) Intact-S vs. Broken, gastric postprandial T=60min (n = 8,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0.99,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0.86)</w:t>
      </w:r>
    </w:p>
    <w:p w14:paraId="1245A04A" w14:textId="77777777" w:rsidR="003A0478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(D) Intact-C vs. Broken, gastric postprandial T=60min (n = 10,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Y 0.97,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0.88)</w:t>
      </w:r>
    </w:p>
    <w:p w14:paraId="1422FF7E" w14:textId="77777777" w:rsidR="003A0478" w:rsidRPr="00881583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(E) Intact-S vs. Broken, duodenal postprandial T=60min (n = 7,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0.99,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0.57)</w:t>
      </w:r>
    </w:p>
    <w:p w14:paraId="1DB038A0" w14:textId="77777777" w:rsidR="003A0478" w:rsidRPr="00881583" w:rsidRDefault="003A0478" w:rsidP="003A0478">
      <w:pPr>
        <w:rPr>
          <w:rFonts w:ascii="Arial" w:eastAsia="Arial" w:hAnsi="Arial" w:cs="Arial"/>
          <w:noProof/>
        </w:rPr>
      </w:pPr>
      <w:r w:rsidRPr="6D1E5DE7">
        <w:rPr>
          <w:rFonts w:ascii="Arial" w:eastAsia="Arial" w:hAnsi="Arial" w:cs="Arial"/>
          <w:noProof/>
        </w:rPr>
        <w:t>(F) Intact-C vs. Broken, duodenal postprandial T=60min (n = </w:t>
      </w:r>
      <w:r>
        <w:rPr>
          <w:rFonts w:ascii="Arial" w:eastAsia="Arial" w:hAnsi="Arial" w:cs="Arial"/>
          <w:noProof/>
        </w:rPr>
        <w:t>7</w:t>
      </w:r>
      <w:r w:rsidRPr="6D1E5DE7">
        <w:rPr>
          <w:rFonts w:ascii="Arial" w:eastAsia="Arial" w:hAnsi="Arial" w:cs="Arial"/>
          <w:noProof/>
        </w:rPr>
        <w:t>, R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0.99, Q</w:t>
      </w:r>
      <w:r w:rsidRPr="6D1E5DE7">
        <w:rPr>
          <w:rFonts w:ascii="Arial" w:eastAsia="Arial" w:hAnsi="Arial" w:cs="Arial"/>
          <w:noProof/>
          <w:vertAlign w:val="superscript"/>
        </w:rPr>
        <w:t>2</w:t>
      </w:r>
      <w:r w:rsidRPr="6D1E5DE7">
        <w:rPr>
          <w:rFonts w:ascii="Arial" w:eastAsia="Arial" w:hAnsi="Arial" w:cs="Arial"/>
          <w:noProof/>
        </w:rPr>
        <w:t>Y 0.73)</w:t>
      </w:r>
    </w:p>
    <w:p w14:paraId="2D4F4687" w14:textId="0403ADDE" w:rsidR="00755780" w:rsidRDefault="00755780" w:rsidP="003A0478">
      <w:pPr>
        <w:ind w:firstLine="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478"/>
    <w:rsid w:val="00331A6B"/>
    <w:rsid w:val="003A0478"/>
    <w:rsid w:val="00755780"/>
    <w:rsid w:val="00857596"/>
    <w:rsid w:val="00BB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B0402"/>
  <w15:chartTrackingRefBased/>
  <w15:docId w15:val="{1A5F3403-3CB2-41C0-8CDA-8CD9DF828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478"/>
    <w:pPr>
      <w:spacing w:line="480" w:lineRule="auto"/>
      <w:ind w:firstLine="720"/>
      <w:jc w:val="both"/>
    </w:pPr>
    <w:rPr>
      <w:rFonts w:eastAsiaTheme="minorEastAsia" w:cstheme="minorHAnsi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478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478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478"/>
    <w:pPr>
      <w:keepNext/>
      <w:keepLines/>
      <w:spacing w:before="160" w:after="80" w:line="259" w:lineRule="auto"/>
      <w:ind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478"/>
    <w:pPr>
      <w:keepNext/>
      <w:keepLines/>
      <w:spacing w:before="80" w:after="40" w:line="259" w:lineRule="auto"/>
      <w:ind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0478"/>
    <w:pPr>
      <w:keepNext/>
      <w:keepLines/>
      <w:spacing w:before="80" w:after="40" w:line="259" w:lineRule="auto"/>
      <w:ind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0478"/>
    <w:pPr>
      <w:keepNext/>
      <w:keepLines/>
      <w:spacing w:before="40" w:after="0" w:line="259" w:lineRule="auto"/>
      <w:ind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0478"/>
    <w:pPr>
      <w:keepNext/>
      <w:keepLines/>
      <w:spacing w:before="40" w:after="0" w:line="259" w:lineRule="auto"/>
      <w:ind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0478"/>
    <w:pPr>
      <w:keepNext/>
      <w:keepLines/>
      <w:spacing w:after="0" w:line="259" w:lineRule="auto"/>
      <w:ind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0478"/>
    <w:pPr>
      <w:keepNext/>
      <w:keepLines/>
      <w:spacing w:after="0" w:line="259" w:lineRule="auto"/>
      <w:ind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4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4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4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4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04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04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04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04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04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0478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0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0478"/>
    <w:pPr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0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0478"/>
    <w:pPr>
      <w:spacing w:before="160" w:line="259" w:lineRule="auto"/>
      <w:ind w:firstLine="0"/>
      <w:jc w:val="center"/>
    </w:pPr>
    <w:rPr>
      <w:rFonts w:eastAsia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04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0478"/>
    <w:pPr>
      <w:spacing w:line="259" w:lineRule="auto"/>
      <w:ind w:left="720" w:firstLine="0"/>
      <w:contextualSpacing/>
      <w:jc w:val="left"/>
    </w:pPr>
    <w:rPr>
      <w:rFonts w:eastAsia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04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04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eastAsia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04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04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492</Words>
  <Characters>2811</Characters>
  <Application>Microsoft Office Word</Application>
  <DocSecurity>0</DocSecurity>
  <Lines>23</Lines>
  <Paragraphs>6</Paragraphs>
  <ScaleCrop>false</ScaleCrop>
  <Company>Springer Nature</Company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2024-07-02T04:58:00Z</dcterms:created>
  <dcterms:modified xsi:type="dcterms:W3CDTF">2024-07-02T05:01:00Z</dcterms:modified>
</cp:coreProperties>
</file>