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C5B1E6" w14:textId="77777777" w:rsidR="000F16CC" w:rsidRPr="00FA3701" w:rsidRDefault="000F16CC" w:rsidP="000F16C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3701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FA3701">
        <w:rPr>
          <w:rFonts w:ascii="Times New Roman" w:hAnsi="Times New Roman" w:cs="Times New Roman"/>
          <w:b/>
          <w:bCs/>
          <w:sz w:val="24"/>
          <w:szCs w:val="24"/>
        </w:rPr>
        <w:t>upplementary Information</w:t>
      </w:r>
      <w:bookmarkStart w:id="0" w:name="_GoBack"/>
      <w:bookmarkEnd w:id="0"/>
    </w:p>
    <w:p w14:paraId="4D99987F" w14:textId="45D85173" w:rsidR="000F16CC" w:rsidRDefault="000F16CC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S1.</w:t>
      </w:r>
      <w:r w:rsidRPr="000F16CC">
        <w:t xml:space="preserve"> </w:t>
      </w:r>
      <w:r w:rsidRPr="000F16CC">
        <w:rPr>
          <w:rFonts w:ascii="Times New Roman" w:hAnsi="Times New Roman" w:cs="Times New Roman"/>
          <w:szCs w:val="20"/>
        </w:rPr>
        <w:t>RNA-seq preprocessing information</w:t>
      </w:r>
      <w:r>
        <w:rPr>
          <w:rFonts w:ascii="Times New Roman" w:hAnsi="Times New Roman" w:cs="Times New Roman"/>
          <w:szCs w:val="20"/>
        </w:rPr>
        <w:t>.</w:t>
      </w:r>
    </w:p>
    <w:p w14:paraId="16B97AE7" w14:textId="13D0E4F4" w:rsidR="00FA40E9" w:rsidRPr="00FA40E9" w:rsidRDefault="00FA40E9" w:rsidP="000F16CC">
      <w:pPr>
        <w:rPr>
          <w:rFonts w:ascii="Times New Roman" w:hAnsi="Times New Roman" w:cs="Times New Roman" w:hint="eastAsia"/>
          <w:szCs w:val="20"/>
        </w:rPr>
      </w:pPr>
      <w:r w:rsidRPr="00FA40E9">
        <w:rPr>
          <w:rFonts w:ascii="Times New Roman" w:hAnsi="Times New Roman" w:cs="Times New Roman"/>
          <w:szCs w:val="20"/>
        </w:rPr>
        <w:t>Table S2. DEG table of each timepoints comparison (DEG threshold: padj &lt; 0.05 and the absolute log2(foldchange) &gt;=1)</w:t>
      </w:r>
    </w:p>
    <w:p w14:paraId="187C1AA7" w14:textId="34EDBACD" w:rsidR="000F16CC" w:rsidRDefault="00FA40E9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S3</w:t>
      </w:r>
      <w:r w:rsidR="000F16CC" w:rsidRPr="000F16CC">
        <w:rPr>
          <w:rFonts w:ascii="Times New Roman" w:hAnsi="Times New Roman" w:cs="Times New Roman"/>
          <w:szCs w:val="20"/>
        </w:rPr>
        <w:t>. WGCNA input genes. Genes are filtered with the threshold padj &lt; 0.05 and the absolute log2(foldchange) &gt;=3. Human ortholog</w:t>
      </w:r>
      <w:r w:rsidR="000F16CC">
        <w:rPr>
          <w:rFonts w:ascii="Times New Roman" w:hAnsi="Times New Roman" w:cs="Times New Roman"/>
          <w:szCs w:val="20"/>
        </w:rPr>
        <w:t>o</w:t>
      </w:r>
      <w:r w:rsidR="000F16CC" w:rsidRPr="000F16CC">
        <w:rPr>
          <w:rFonts w:ascii="Times New Roman" w:hAnsi="Times New Roman" w:cs="Times New Roman"/>
          <w:szCs w:val="20"/>
        </w:rPr>
        <w:t>us genes are presented together.</w:t>
      </w:r>
    </w:p>
    <w:p w14:paraId="6C173C53" w14:textId="6349246C" w:rsidR="000F16CC" w:rsidRDefault="00FA40E9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S4</w:t>
      </w:r>
      <w:r w:rsidR="000F16CC" w:rsidRPr="000F16CC">
        <w:rPr>
          <w:rFonts w:ascii="Times New Roman" w:hAnsi="Times New Roman" w:cs="Times New Roman"/>
          <w:szCs w:val="20"/>
        </w:rPr>
        <w:t xml:space="preserve">. Genes comprising the turquoise module. Centrality score and expression level of 8 </w:t>
      </w:r>
      <w:r w:rsidR="000F16CC">
        <w:rPr>
          <w:rFonts w:ascii="Times New Roman" w:hAnsi="Times New Roman" w:cs="Times New Roman"/>
          <w:szCs w:val="20"/>
        </w:rPr>
        <w:t>timepoint</w:t>
      </w:r>
      <w:r w:rsidR="000F16CC" w:rsidRPr="000F16CC">
        <w:rPr>
          <w:rFonts w:ascii="Times New Roman" w:hAnsi="Times New Roman" w:cs="Times New Roman"/>
          <w:szCs w:val="20"/>
        </w:rPr>
        <w:t>s are displayed together.</w:t>
      </w:r>
    </w:p>
    <w:p w14:paraId="52723D2E" w14:textId="34A48281" w:rsidR="000F16CC" w:rsidRDefault="00FA40E9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S5</w:t>
      </w:r>
      <w:r w:rsidR="000F16CC" w:rsidRPr="000F16CC">
        <w:rPr>
          <w:rFonts w:ascii="Times New Roman" w:hAnsi="Times New Roman" w:cs="Times New Roman"/>
          <w:szCs w:val="20"/>
        </w:rPr>
        <w:t xml:space="preserve">. Genes comprising the blue module. Centrality score and expression level of 8 </w:t>
      </w:r>
      <w:r w:rsidR="000F16CC">
        <w:rPr>
          <w:rFonts w:ascii="Times New Roman" w:hAnsi="Times New Roman" w:cs="Times New Roman"/>
          <w:szCs w:val="20"/>
        </w:rPr>
        <w:t>timepoint</w:t>
      </w:r>
      <w:r w:rsidR="000F16CC" w:rsidRPr="000F16CC">
        <w:rPr>
          <w:rFonts w:ascii="Times New Roman" w:hAnsi="Times New Roman" w:cs="Times New Roman"/>
          <w:szCs w:val="20"/>
        </w:rPr>
        <w:t>s are displayed together.</w:t>
      </w:r>
    </w:p>
    <w:p w14:paraId="03A1DF76" w14:textId="584B7EAA" w:rsidR="000F16CC" w:rsidRDefault="00FA40E9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S6</w:t>
      </w:r>
      <w:r w:rsidR="000F16CC" w:rsidRPr="000F16CC">
        <w:rPr>
          <w:rFonts w:ascii="Times New Roman" w:hAnsi="Times New Roman" w:cs="Times New Roman"/>
          <w:szCs w:val="20"/>
        </w:rPr>
        <w:t xml:space="preserve">. Genes comprising the yellow module. Centrality score and expression level of 8 </w:t>
      </w:r>
      <w:r w:rsidR="000F16CC">
        <w:rPr>
          <w:rFonts w:ascii="Times New Roman" w:hAnsi="Times New Roman" w:cs="Times New Roman"/>
          <w:szCs w:val="20"/>
        </w:rPr>
        <w:t>timepoint</w:t>
      </w:r>
      <w:r w:rsidR="000F16CC" w:rsidRPr="000F16CC">
        <w:rPr>
          <w:rFonts w:ascii="Times New Roman" w:hAnsi="Times New Roman" w:cs="Times New Roman"/>
          <w:szCs w:val="20"/>
        </w:rPr>
        <w:t>s are displayed together.</w:t>
      </w:r>
    </w:p>
    <w:p w14:paraId="74066BDC" w14:textId="2C64C09C" w:rsidR="000F16CC" w:rsidRDefault="00FA40E9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S7</w:t>
      </w:r>
      <w:r w:rsidR="000F16CC" w:rsidRPr="000F16CC">
        <w:rPr>
          <w:rFonts w:ascii="Times New Roman" w:hAnsi="Times New Roman" w:cs="Times New Roman"/>
          <w:szCs w:val="20"/>
        </w:rPr>
        <w:t>. Functional analysis results of turquoise module.</w:t>
      </w:r>
    </w:p>
    <w:p w14:paraId="3564C764" w14:textId="3E4B6EF5" w:rsidR="000F16CC" w:rsidRPr="000F16CC" w:rsidRDefault="00FA40E9" w:rsidP="000F16CC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Table S8</w:t>
      </w:r>
      <w:r w:rsidR="000F16CC" w:rsidRPr="000F16CC">
        <w:rPr>
          <w:rFonts w:ascii="Times New Roman" w:hAnsi="Times New Roman" w:cs="Times New Roman"/>
          <w:szCs w:val="20"/>
        </w:rPr>
        <w:t>. Functional analysis results of blue module.</w:t>
      </w:r>
    </w:p>
    <w:sectPr w:rsidR="000F16CC" w:rsidRPr="000F16C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CC"/>
    <w:rsid w:val="000C73D6"/>
    <w:rsid w:val="000F16CC"/>
    <w:rsid w:val="00D85580"/>
    <w:rsid w:val="00FA40E9"/>
    <w:rsid w:val="00FE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18A5"/>
  <w15:chartTrackingRefBased/>
  <w15:docId w15:val="{96D81079-D6B5-4F22-9B88-F41E2235A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6C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F16CC"/>
    <w:rPr>
      <w:sz w:val="18"/>
      <w:szCs w:val="18"/>
    </w:rPr>
  </w:style>
  <w:style w:type="paragraph" w:styleId="a4">
    <w:name w:val="annotation text"/>
    <w:basedOn w:val="a"/>
    <w:link w:val="Char"/>
    <w:uiPriority w:val="99"/>
    <w:semiHidden/>
    <w:unhideWhenUsed/>
    <w:rsid w:val="000F16CC"/>
    <w:pPr>
      <w:jc w:val="left"/>
    </w:pPr>
  </w:style>
  <w:style w:type="character" w:customStyle="1" w:styleId="Char">
    <w:name w:val="메모 텍스트 Char"/>
    <w:basedOn w:val="a0"/>
    <w:link w:val="a4"/>
    <w:uiPriority w:val="99"/>
    <w:semiHidden/>
    <w:rsid w:val="000F16CC"/>
  </w:style>
  <w:style w:type="paragraph" w:styleId="a5">
    <w:name w:val="Balloon Text"/>
    <w:basedOn w:val="a"/>
    <w:link w:val="Char0"/>
    <w:uiPriority w:val="99"/>
    <w:semiHidden/>
    <w:unhideWhenUsed/>
    <w:rsid w:val="000F16C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0F16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F16C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2024-04-19T01:56:00Z</dcterms:created>
  <dcterms:modified xsi:type="dcterms:W3CDTF">2024-04-26T08:00:00Z</dcterms:modified>
</cp:coreProperties>
</file>