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07"/>
        </w:tabs>
        <w:jc w:val="left"/>
        <w:rPr>
          <w:rFonts w:ascii="Times New Roman" w:hAnsi="Times New Roman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eT</w:t>
      </w:r>
      <w:r>
        <w:rPr>
          <w:rFonts w:ascii="Times New Roman" w:hAnsi="Times New Roman" w:eastAsia="宋体" w:cs="Times New Roman"/>
          <w:b/>
          <w:bCs/>
          <w:color w:val="auto"/>
          <w:kern w:val="0"/>
          <w:sz w:val="24"/>
          <w:szCs w:val="24"/>
          <w:lang w:bidi="ar"/>
        </w:rPr>
        <w:t xml:space="preserve">able 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1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bidi="ar"/>
        </w:rPr>
        <w:t>. Univariable analyses for overall survival in the cohort.</w:t>
      </w:r>
    </w:p>
    <w:tbl>
      <w:tblPr>
        <w:tblStyle w:val="2"/>
        <w:tblW w:w="11440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3"/>
        <w:gridCol w:w="1019"/>
        <w:gridCol w:w="1106"/>
        <w:gridCol w:w="1107"/>
        <w:gridCol w:w="1107"/>
        <w:gridCol w:w="1106"/>
        <w:gridCol w:w="1106"/>
        <w:gridCol w:w="1107"/>
        <w:gridCol w:w="11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440" w:type="dxa"/>
            <w:gridSpan w:val="9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Overall Survival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9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H. pylori negative</w:t>
            </w:r>
          </w:p>
        </w:tc>
        <w:tc>
          <w:tcPr>
            <w:tcW w:w="4428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H. pylori positive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67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Clinical Parameters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HR</w:t>
            </w:r>
          </w:p>
        </w:tc>
        <w:tc>
          <w:tcPr>
            <w:tcW w:w="2213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95%CI</w:t>
            </w:r>
          </w:p>
        </w:tc>
        <w:tc>
          <w:tcPr>
            <w:tcW w:w="110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110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HR</w:t>
            </w:r>
          </w:p>
        </w:tc>
        <w:tc>
          <w:tcPr>
            <w:tcW w:w="2213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95%CI</w:t>
            </w:r>
          </w:p>
        </w:tc>
        <w:tc>
          <w:tcPr>
            <w:tcW w:w="110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0"/>
                <w:szCs w:val="20"/>
                <w:lang w:bidi="ar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Age, years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Style w:val="4"/>
                <w:rFonts w:eastAsia="宋体"/>
                <w:color w:val="auto"/>
                <w:lang w:bidi="ar"/>
              </w:rPr>
              <w:t xml:space="preserve"> 70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≥ </w:t>
            </w:r>
            <w:r>
              <w:rPr>
                <w:rStyle w:val="4"/>
                <w:rFonts w:eastAsia="宋体"/>
                <w:color w:val="auto"/>
                <w:lang w:bidi="ar"/>
              </w:rPr>
              <w:t>70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1.996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1.115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3.573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 xml:space="preserve">0.020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0.857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0.303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2.424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0.771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Sex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Male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Female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1.271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0.761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2.121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0.359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0.733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0.305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1.76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0.487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BMI, kg/m</w:t>
            </w:r>
            <w:r>
              <w:rPr>
                <w:rStyle w:val="5"/>
                <w:rFonts w:eastAsia="宋体"/>
                <w:color w:val="auto"/>
                <w:lang w:bidi="ar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Style w:val="4"/>
                <w:rFonts w:eastAsia="宋体"/>
                <w:color w:val="auto"/>
                <w:lang w:bidi="ar"/>
              </w:rPr>
              <w:t xml:space="preserve"> 25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≥ </w:t>
            </w:r>
            <w:r>
              <w:rPr>
                <w:rStyle w:val="4"/>
                <w:rFonts w:eastAsia="宋体"/>
                <w:color w:val="auto"/>
                <w:lang w:bidi="ar"/>
              </w:rPr>
              <w:t>25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1.095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0.545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2.198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0.799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0.575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0.203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1.626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0.296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Surgical procedure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firstLine="200" w:firstLineChars="100"/>
              <w:jc w:val="left"/>
              <w:textAlignment w:val="top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Distal gastrectomy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firstLine="200" w:firstLineChars="100"/>
              <w:jc w:val="left"/>
              <w:textAlignment w:val="top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Total gastrectomy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1.324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0.711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2.463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0.376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1.236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0.514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2.970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0.636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Reconstruction Method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firstLine="200" w:firstLineChars="100"/>
              <w:jc w:val="left"/>
              <w:textAlignment w:val="top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B-I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firstLine="200" w:firstLineChars="100"/>
              <w:jc w:val="left"/>
              <w:textAlignment w:val="top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B-II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1.120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0.355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3.530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0.847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3.064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0.358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26.245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0.307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firstLine="200" w:firstLineChars="100"/>
              <w:jc w:val="left"/>
              <w:textAlignment w:val="top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Roux-En-Y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1.386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0.557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3.453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0.483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2.805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0.382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20.576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0.310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Tumor location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firstLine="200" w:firstLineChars="100"/>
              <w:jc w:val="left"/>
              <w:textAlignment w:val="top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Upper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firstLine="200" w:firstLineChars="100"/>
              <w:jc w:val="left"/>
              <w:textAlignment w:val="top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Middle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1.105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0.629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1.941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0.728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1.02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0.429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2.426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0.965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firstLine="200" w:firstLineChars="100"/>
              <w:jc w:val="left"/>
              <w:textAlignment w:val="top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Lower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0.753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0.387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1.467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0.404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0.754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0.330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1.723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0.504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firstLine="200" w:firstLineChars="100"/>
              <w:jc w:val="left"/>
              <w:textAlignment w:val="top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Mix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1.421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0.729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2.769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0.302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0.52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0.121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2.235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0.380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Tumor size, cm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Style w:val="4"/>
                <w:rFonts w:eastAsia="宋体"/>
                <w:color w:val="auto"/>
                <w:lang w:bidi="ar"/>
              </w:rPr>
              <w:t>&lt; 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≥ </w:t>
            </w:r>
            <w:r>
              <w:rPr>
                <w:rStyle w:val="4"/>
                <w:rFonts w:eastAsia="宋体"/>
                <w:color w:val="auto"/>
                <w:lang w:bidi="ar"/>
              </w:rPr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1.639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1.021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2.633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0.041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0.923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0.472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1.807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0.816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Histology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Well and middle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Poor and underdifferentiated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1.015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0.64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1.608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0.951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1.594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0.768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3.306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0.210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Lymphovascular invasion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Yes</w:t>
            </w:r>
            <w:bookmarkStart w:id="0" w:name="_GoBack"/>
            <w:bookmarkEnd w:id="0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1.264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0.798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2.003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0.317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2.181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1.129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4.213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0.020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Perineural infiltration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1.273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0.800 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2.027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0.309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2.906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1.452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5.819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 xml:space="preserve">0.003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TRG</w:t>
            </w:r>
            <w:r>
              <w:rPr>
                <w:rStyle w:val="4"/>
                <w:rFonts w:eastAsia="宋体"/>
                <w:color w:val="auto"/>
                <w:lang w:bidi="ar"/>
              </w:rPr>
              <w:t xml:space="preserve">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0-1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1.881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0.899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3.933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0.093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1.075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0.391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2.958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0.889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2.093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1.001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4.378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0.050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2.432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0.976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6.061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0.056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ypTNM stage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pCR-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I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II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1.115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0.471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2.637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0.805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1.789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0.499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6.413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0.372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III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2.852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1.351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6.019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 xml:space="preserve">0.006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3.39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1.013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11.342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0.048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Pre-chemo CEA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Style w:val="4"/>
                <w:rFonts w:eastAsia="宋体"/>
                <w:color w:val="auto"/>
                <w:lang w:bidi="ar"/>
              </w:rPr>
              <w:t xml:space="preserve"> 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≥</w:t>
            </w:r>
            <w:r>
              <w:rPr>
                <w:rStyle w:val="4"/>
                <w:rFonts w:eastAsia="宋体"/>
                <w:color w:val="auto"/>
                <w:lang w:bidi="ar"/>
              </w:rPr>
              <w:t xml:space="preserve"> 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1.143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0.723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1.806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0.567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1.663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0.865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3.198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0.127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Pre-chemo CA199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Style w:val="4"/>
                <w:rFonts w:eastAsia="宋体"/>
                <w:color w:val="auto"/>
                <w:lang w:bidi="ar"/>
              </w:rPr>
              <w:t xml:space="preserve"> 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≥</w:t>
            </w:r>
            <w:r>
              <w:rPr>
                <w:rStyle w:val="4"/>
                <w:rFonts w:eastAsia="宋体"/>
                <w:color w:val="auto"/>
                <w:lang w:bidi="ar"/>
              </w:rPr>
              <w:t xml:space="preserve"> 37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1.143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0.699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1.867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0.594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1.927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0.993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3.741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0.052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Neoa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djuvant chemotherapy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1–3 cycles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≥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 cycles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1.819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1.153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2.869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0.010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0.444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0.214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0.922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0.029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 xml:space="preserve">Adjuvant chemotherapy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Style w:val="4"/>
                <w:rFonts w:eastAsia="宋体"/>
                <w:color w:val="auto"/>
                <w:lang w:bidi="ar"/>
              </w:rPr>
              <w:t xml:space="preserve"> 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1–3 cycles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1.051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0.534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2.068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0.885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0.336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0.150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0.753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0.008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67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≥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 cycles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0.846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0.419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1.707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0.640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0.175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0.077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0.398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&lt;0.001</w:t>
            </w:r>
          </w:p>
        </w:tc>
      </w:tr>
    </w:tbl>
    <w:p>
      <w:pPr>
        <w:tabs>
          <w:tab w:val="left" w:pos="7207"/>
        </w:tabs>
        <w:jc w:val="left"/>
        <w:rPr>
          <w:rFonts w:ascii="Times New Roman" w:hAnsi="Times New Roman" w:eastAsia="宋体" w:cs="Times New Roman"/>
          <w:color w:val="auto"/>
          <w:sz w:val="22"/>
          <w:lang w:val="en-GB"/>
        </w:rPr>
      </w:pPr>
      <w:r>
        <w:rPr>
          <w:rFonts w:ascii="Times New Roman" w:hAnsi="Times New Roman" w:eastAsia="宋体" w:cs="Times New Roman"/>
          <w:b/>
          <w:bCs/>
          <w:color w:val="auto"/>
          <w:sz w:val="22"/>
          <w:lang w:val="en-GB"/>
        </w:rPr>
        <w:t>Abbreviations:</w:t>
      </w:r>
      <w:r>
        <w:rPr>
          <w:rFonts w:ascii="Times New Roman" w:hAnsi="Times New Roman" w:eastAsia="宋体" w:cs="Times New Roman"/>
          <w:color w:val="auto"/>
          <w:sz w:val="22"/>
          <w:lang w:val="en-GB"/>
        </w:rPr>
        <w:t xml:space="preserve">BMI, Body mass index; </w:t>
      </w:r>
      <w:r>
        <w:rPr>
          <w:rFonts w:hint="eastAsia" w:ascii="Times New Roman" w:hAnsi="Times New Roman" w:eastAsia="宋体" w:cs="Times New Roman"/>
          <w:color w:val="auto"/>
          <w:sz w:val="22"/>
        </w:rPr>
        <w:t>TRG</w:t>
      </w:r>
      <w:r>
        <w:rPr>
          <w:rFonts w:ascii="Times New Roman" w:hAnsi="Times New Roman" w:eastAsia="宋体" w:cs="Times New Roman"/>
          <w:color w:val="auto"/>
          <w:sz w:val="22"/>
          <w:lang w:val="en-GB"/>
        </w:rPr>
        <w:t xml:space="preserve">, </w:t>
      </w:r>
      <w:r>
        <w:rPr>
          <w:rFonts w:hint="eastAsia" w:ascii="Times New Roman" w:hAnsi="Times New Roman" w:eastAsia="宋体" w:cs="Times New Roman"/>
          <w:color w:val="auto"/>
          <w:sz w:val="22"/>
        </w:rPr>
        <w:t>Tumor regression grade; HP, Helicobacter Pylori</w:t>
      </w:r>
      <w:r>
        <w:rPr>
          <w:rFonts w:ascii="Times New Roman" w:hAnsi="Times New Roman" w:eastAsia="宋体" w:cs="Times New Roman"/>
          <w:color w:val="auto"/>
          <w:sz w:val="22"/>
          <w:lang w:val="en-GB"/>
        </w:rPr>
        <w:t>.</w:t>
      </w:r>
    </w:p>
    <w:p/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MzYyNTM3N2YzZDA2YTcwYjUzYWU5MjQwZDhhMjMifQ=="/>
  </w:docVars>
  <w:rsids>
    <w:rsidRoot w:val="2A234A0D"/>
    <w:rsid w:val="0152027D"/>
    <w:rsid w:val="2A234A0D"/>
    <w:rsid w:val="2E78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5">
    <w:name w:val="font81"/>
    <w:basedOn w:val="3"/>
    <w:autoRedefine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2024-02-03T11:05:00Z</dcterms:created>
  <dc:creator>Terminator</dc:creator>
  <cp:lastModifiedBy>Terminator</cp:lastModifiedBy>
  <dcterms:modified xsi:type="dcterms:W3CDTF">2024-03-12T09:51:36Z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FAE80508D8834B08A7A7D0D19764365F_11</vt:lpwstr>
  </property>
</Properties>
</file>