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E18" w:rsidRDefault="000741F0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Supporting Information</w:t>
      </w:r>
    </w:p>
    <w:p w:rsidR="00F01E18" w:rsidRDefault="00F01E18">
      <w:pPr>
        <w:jc w:val="center"/>
      </w:pPr>
    </w:p>
    <w:p w:rsidR="00EE69A1" w:rsidRDefault="00EE69A1" w:rsidP="00EE69A1">
      <w:pPr>
        <w:spacing w:line="480" w:lineRule="auto"/>
        <w:jc w:val="center"/>
        <w:rPr>
          <w:b/>
        </w:rPr>
      </w:pPr>
      <w:r>
        <w:rPr>
          <w:rFonts w:hint="eastAsia"/>
          <w:b/>
        </w:rPr>
        <w:t>Well-defined Pt-Fe alloy with enhanced catalytic performance for methanol oxidation and formic acid oxidation</w:t>
      </w:r>
    </w:p>
    <w:p w:rsidR="00EE69A1" w:rsidRDefault="00EE69A1" w:rsidP="00EE69A1">
      <w:pPr>
        <w:spacing w:line="480" w:lineRule="auto"/>
      </w:pPr>
      <w:bookmarkStart w:id="0" w:name="_GoBack"/>
      <w:bookmarkEnd w:id="0"/>
    </w:p>
    <w:p w:rsidR="00F42EFB" w:rsidRDefault="00F42EFB" w:rsidP="00B65C10">
      <w:pPr>
        <w:spacing w:line="480" w:lineRule="auto"/>
        <w:jc w:val="center"/>
      </w:pPr>
      <w:r>
        <w:rPr>
          <w:rFonts w:hint="eastAsia"/>
        </w:rPr>
        <w:t>Congli Qin</w:t>
      </w:r>
      <w:r>
        <w:rPr>
          <w:rFonts w:hint="eastAsia"/>
          <w:vertAlign w:val="superscript"/>
        </w:rPr>
        <w:t>a</w:t>
      </w:r>
      <w:r>
        <w:rPr>
          <w:rFonts w:hint="eastAsia"/>
        </w:rPr>
        <w:t>, Aixin Fan</w:t>
      </w:r>
      <w:r>
        <w:rPr>
          <w:rFonts w:hint="eastAsia"/>
          <w:vertAlign w:val="superscript"/>
        </w:rPr>
        <w:t>a</w:t>
      </w:r>
      <w:r w:rsidR="00EA66EF">
        <w:rPr>
          <w:rFonts w:hint="eastAsia"/>
        </w:rPr>
        <w:t>*</w:t>
      </w:r>
      <w:r>
        <w:rPr>
          <w:rFonts w:hint="eastAsia"/>
        </w:rPr>
        <w:t>, Fucai Dai</w:t>
      </w:r>
      <w:r w:rsidR="003002AF" w:rsidRPr="003002AF">
        <w:rPr>
          <w:vertAlign w:val="superscript"/>
        </w:rPr>
        <w:t>a</w:t>
      </w:r>
      <w:r>
        <w:rPr>
          <w:rFonts w:hint="eastAsia"/>
        </w:rPr>
        <w:t xml:space="preserve">, </w:t>
      </w:r>
      <w:r>
        <w:t>Guihua Li</w:t>
      </w:r>
      <w:r w:rsidRPr="00B23021">
        <w:rPr>
          <w:rFonts w:hint="eastAsia"/>
          <w:vertAlign w:val="superscript"/>
        </w:rPr>
        <w:t>a</w:t>
      </w:r>
      <w:r>
        <w:t>, Di Zhao</w:t>
      </w:r>
      <w:r w:rsidRPr="00B23021">
        <w:rPr>
          <w:rFonts w:hint="eastAsia"/>
          <w:vertAlign w:val="superscript"/>
        </w:rPr>
        <w:t>a</w:t>
      </w:r>
      <w:r>
        <w:t>,</w:t>
      </w:r>
    </w:p>
    <w:p w:rsidR="00B65C10" w:rsidRDefault="00F42EFB" w:rsidP="00B65C10">
      <w:pPr>
        <w:spacing w:line="480" w:lineRule="auto"/>
        <w:jc w:val="center"/>
      </w:pPr>
      <w:r>
        <w:t>Honglian Liang</w:t>
      </w:r>
      <w:r w:rsidRPr="00B23021">
        <w:rPr>
          <w:rFonts w:hint="eastAsia"/>
          <w:vertAlign w:val="superscript"/>
        </w:rPr>
        <w:t>a</w:t>
      </w:r>
      <w:r w:rsidRPr="003C2CF4">
        <w:rPr>
          <w:rFonts w:hint="eastAsia"/>
        </w:rPr>
        <w:t xml:space="preserve"> </w:t>
      </w:r>
      <w:r>
        <w:rPr>
          <w:rFonts w:hint="eastAsia"/>
        </w:rPr>
        <w:t>and Yanhong Lu</w:t>
      </w:r>
      <w:r w:rsidRPr="00B23021">
        <w:rPr>
          <w:rFonts w:hint="eastAsia"/>
          <w:vertAlign w:val="superscript"/>
        </w:rPr>
        <w:t>a</w:t>
      </w:r>
      <w:r>
        <w:rPr>
          <w:rFonts w:hint="eastAsia"/>
        </w:rPr>
        <w:t>*</w:t>
      </w: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F01E18" w:rsidRDefault="00F01E18">
      <w:pPr>
        <w:spacing w:line="480" w:lineRule="auto"/>
        <w:rPr>
          <w:rFonts w:cs="Times New Roman"/>
          <w:vertAlign w:val="superscript"/>
        </w:rPr>
      </w:pPr>
    </w:p>
    <w:p w:rsidR="00EE69A1" w:rsidRDefault="00EE69A1">
      <w:pPr>
        <w:widowControl/>
        <w:jc w:val="left"/>
        <w:rPr>
          <w:rFonts w:cs="Times New Roman"/>
          <w:vertAlign w:val="superscript"/>
        </w:rPr>
      </w:pPr>
      <w:r>
        <w:rPr>
          <w:rFonts w:cs="Times New Roman"/>
          <w:vertAlign w:val="superscript"/>
        </w:rPr>
        <w:br w:type="page"/>
      </w:r>
    </w:p>
    <w:p w:rsidR="00F01E18" w:rsidRDefault="000741F0">
      <w:pPr>
        <w:spacing w:line="480" w:lineRule="auto"/>
      </w:pPr>
      <w:r>
        <w:rPr>
          <w:rFonts w:cs="Times New Roman"/>
          <w:b/>
          <w:bCs/>
        </w:rPr>
        <w:lastRenderedPageBreak/>
        <w:t>Table S1.</w:t>
      </w:r>
      <w:r>
        <w:rPr>
          <w:rFonts w:cs="Times New Roman"/>
        </w:rPr>
        <w:t xml:space="preserve"> The theoretical relationship between interfacial angles and facets for a concave cube.</w:t>
      </w:r>
    </w:p>
    <w:p w:rsidR="00F01E18" w:rsidRDefault="00F01E18"/>
    <w:tbl>
      <w:tblPr>
        <w:tblStyle w:val="a3"/>
        <w:tblW w:w="6200" w:type="dxa"/>
        <w:jc w:val="center"/>
        <w:tblLayout w:type="fixed"/>
        <w:tblLook w:val="04A0" w:firstRow="1" w:lastRow="0" w:firstColumn="1" w:lastColumn="0" w:noHBand="0" w:noVBand="1"/>
      </w:tblPr>
      <w:tblGrid>
        <w:gridCol w:w="1664"/>
        <w:gridCol w:w="1134"/>
        <w:gridCol w:w="1134"/>
        <w:gridCol w:w="1134"/>
        <w:gridCol w:w="1134"/>
      </w:tblGrid>
      <w:tr w:rsidR="00F01E18">
        <w:trPr>
          <w:jc w:val="center"/>
        </w:trPr>
        <w:tc>
          <w:tcPr>
            <w:tcW w:w="166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0741F0">
            <w:r>
              <w:rPr>
                <w:rFonts w:hint="eastAsia"/>
                <w:noProof/>
              </w:rPr>
              <w:drawing>
                <wp:inline distT="0" distB="0" distL="114300" distR="114300">
                  <wp:extent cx="916305" cy="948055"/>
                  <wp:effectExtent l="0" t="0" r="17145" b="3810"/>
                  <wp:docPr id="7" name="图片 7" descr="图片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图片s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9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bookmarkStart w:id="1" w:name="OLE_LINK1"/>
            <w:r>
              <w:rPr>
                <w:rFonts w:hint="eastAsia"/>
              </w:rPr>
              <w:t>{hk0}</w:t>
            </w:r>
            <w:bookmarkEnd w:id="1"/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vertAlign w:val="superscript"/>
              </w:rPr>
              <w:t>o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{hk0}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vertAlign w:val="superscript"/>
              </w:rPr>
              <w:t>o</w:t>
            </w:r>
            <w:r>
              <w:rPr>
                <w:rFonts w:hint="eastAsia"/>
              </w:rPr>
              <w:t>)</w:t>
            </w:r>
          </w:p>
        </w:tc>
      </w:tr>
      <w:tr w:rsidR="00F01E18">
        <w:trPr>
          <w:jc w:val="center"/>
        </w:trPr>
        <w:tc>
          <w:tcPr>
            <w:tcW w:w="1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F01E18"/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{810}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7.1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{520}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21.8</w:t>
            </w:r>
          </w:p>
        </w:tc>
      </w:tr>
      <w:tr w:rsidR="00F01E18">
        <w:trPr>
          <w:jc w:val="center"/>
        </w:trPr>
        <w:tc>
          <w:tcPr>
            <w:tcW w:w="1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F01E18"/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{710}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8.1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{730}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23.2</w:t>
            </w:r>
          </w:p>
        </w:tc>
      </w:tr>
      <w:tr w:rsidR="00F01E18">
        <w:trPr>
          <w:jc w:val="center"/>
        </w:trPr>
        <w:tc>
          <w:tcPr>
            <w:tcW w:w="1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F01E18"/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{610}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9.5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{210}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26.6</w:t>
            </w:r>
          </w:p>
        </w:tc>
      </w:tr>
      <w:tr w:rsidR="00F01E18">
        <w:trPr>
          <w:jc w:val="center"/>
        </w:trPr>
        <w:tc>
          <w:tcPr>
            <w:tcW w:w="1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F01E18"/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{510}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11.3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{740}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29.7</w:t>
            </w:r>
          </w:p>
        </w:tc>
      </w:tr>
      <w:tr w:rsidR="00F01E18">
        <w:trPr>
          <w:jc w:val="center"/>
        </w:trPr>
        <w:tc>
          <w:tcPr>
            <w:tcW w:w="1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F01E18"/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{410}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14.0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{320}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33.7</w:t>
            </w:r>
          </w:p>
        </w:tc>
      </w:tr>
      <w:tr w:rsidR="00F01E18">
        <w:trPr>
          <w:jc w:val="center"/>
        </w:trPr>
        <w:tc>
          <w:tcPr>
            <w:tcW w:w="1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F01E18"/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{720}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15.9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{430}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36.9</w:t>
            </w:r>
          </w:p>
        </w:tc>
      </w:tr>
      <w:tr w:rsidR="00F01E18">
        <w:trPr>
          <w:jc w:val="center"/>
        </w:trPr>
        <w:tc>
          <w:tcPr>
            <w:tcW w:w="1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F01E18"/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{310}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18.4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{540}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38.7</w:t>
            </w:r>
          </w:p>
        </w:tc>
      </w:tr>
      <w:tr w:rsidR="00F01E18">
        <w:trPr>
          <w:jc w:val="center"/>
        </w:trPr>
        <w:tc>
          <w:tcPr>
            <w:tcW w:w="166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E18" w:rsidRDefault="00F01E18"/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{830}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20.6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{110}</w:t>
            </w:r>
          </w:p>
        </w:tc>
        <w:tc>
          <w:tcPr>
            <w:tcW w:w="1134" w:type="dxa"/>
            <w:vAlign w:val="center"/>
          </w:tcPr>
          <w:p w:rsidR="00F01E18" w:rsidRDefault="000741F0">
            <w:pPr>
              <w:jc w:val="center"/>
            </w:pPr>
            <w:r>
              <w:rPr>
                <w:rFonts w:hint="eastAsia"/>
              </w:rPr>
              <w:t>45.0</w:t>
            </w:r>
          </w:p>
        </w:tc>
      </w:tr>
    </w:tbl>
    <w:p w:rsidR="00F01E18" w:rsidRDefault="00F01E18">
      <w:pPr>
        <w:spacing w:line="480" w:lineRule="auto"/>
      </w:pPr>
    </w:p>
    <w:p w:rsidR="00F01E18" w:rsidRDefault="000741F0">
      <w:pPr>
        <w:spacing w:line="480" w:lineRule="auto"/>
        <w:ind w:firstLineChars="100" w:firstLine="240"/>
        <w:rPr>
          <w:rFonts w:cs="Times New Roman"/>
        </w:rPr>
      </w:pPr>
      <w:r>
        <w:rPr>
          <w:rFonts w:cs="Times New Roman"/>
        </w:rPr>
        <w:t>Miller index is always used to describe crystal plane. The angle θ between two crystals (h</w:t>
      </w:r>
      <w:r>
        <w:rPr>
          <w:rFonts w:cs="Times New Roman"/>
          <w:vertAlign w:val="subscript"/>
        </w:rPr>
        <w:t>1</w:t>
      </w:r>
      <w:r>
        <w:rPr>
          <w:rFonts w:cs="Times New Roman"/>
        </w:rPr>
        <w:t>k</w:t>
      </w:r>
      <w:r>
        <w:rPr>
          <w:rFonts w:cs="Times New Roman"/>
          <w:vertAlign w:val="subscript"/>
        </w:rPr>
        <w:t>1</w:t>
      </w:r>
      <w:r>
        <w:rPr>
          <w:rFonts w:cs="Times New Roman"/>
        </w:rPr>
        <w:t>l</w:t>
      </w:r>
      <w:r>
        <w:rPr>
          <w:rFonts w:cs="Times New Roman"/>
          <w:vertAlign w:val="subscript"/>
        </w:rPr>
        <w:t>1</w:t>
      </w:r>
      <w:r>
        <w:rPr>
          <w:rFonts w:cs="Times New Roman"/>
        </w:rPr>
        <w:t>) and (h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k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l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) is: θ= arc cos(</w:t>
      </w:r>
      <w:r w:rsidRPr="003A4412">
        <w:rPr>
          <w:rFonts w:cs="Times New Roman"/>
          <w:position w:val="-36"/>
        </w:rPr>
        <w:object w:dxaOrig="26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36.75pt" o:ole="">
            <v:imagedata r:id="rId10" o:title=""/>
          </v:shape>
          <o:OLEObject Type="Embed" ProgID="Equation.3" ShapeID="_x0000_i1025" DrawAspect="Content" ObjectID="_1778519715" r:id="rId11"/>
        </w:object>
      </w:r>
      <w:r>
        <w:rPr>
          <w:rFonts w:cs="Times New Roman"/>
        </w:rPr>
        <w:t xml:space="preserve">). </w:t>
      </w:r>
    </w:p>
    <w:p w:rsidR="00F01E18" w:rsidRDefault="000741F0">
      <w:pPr>
        <w:spacing w:line="480" w:lineRule="auto"/>
        <w:ind w:firstLineChars="100" w:firstLine="240"/>
        <w:rPr>
          <w:rFonts w:cs="Times New Roman"/>
        </w:rPr>
      </w:pPr>
      <w:r>
        <w:rPr>
          <w:rFonts w:cs="Times New Roman"/>
        </w:rPr>
        <w:t>When the z-axis intercept is infinite, the crystal planes are written (hk0). The angle α between (hk0) and (100) can be calculated by: α= arc cos (</w:t>
      </w:r>
      <w:r w:rsidRPr="003A4412">
        <w:rPr>
          <w:rFonts w:cs="Times New Roman"/>
          <w:position w:val="-36"/>
        </w:rPr>
        <w:object w:dxaOrig="1140" w:dyaOrig="740">
          <v:shape id="_x0000_i1026" type="#_x0000_t75" style="width:57pt;height:36.75pt" o:ole="">
            <v:imagedata r:id="rId12" o:title=""/>
          </v:shape>
          <o:OLEObject Type="Embed" ProgID="Equation.3" ShapeID="_x0000_i1026" DrawAspect="Content" ObjectID="_1778519716" r:id="rId13"/>
        </w:object>
      </w:r>
      <w:r>
        <w:rPr>
          <w:rFonts w:cs="Times New Roman"/>
        </w:rPr>
        <w:t xml:space="preserve">). </w:t>
      </w:r>
    </w:p>
    <w:p w:rsidR="00F01E18" w:rsidRDefault="000741F0">
      <w:pPr>
        <w:spacing w:line="480" w:lineRule="auto"/>
        <w:ind w:firstLineChars="100" w:firstLine="240"/>
        <w:rPr>
          <w:rFonts w:cs="Times New Roman"/>
        </w:rPr>
      </w:pPr>
      <w:r>
        <w:rPr>
          <w:rFonts w:cs="Times New Roman"/>
        </w:rPr>
        <w:t>The integers are usually written in lowest terms, so we can obtained h and k via the angle α</w:t>
      </w:r>
      <w:r>
        <w:rPr>
          <w:rFonts w:cs="Times New Roman" w:hint="eastAsia"/>
        </w:rPr>
        <w:t>.</w:t>
      </w:r>
      <w:r>
        <w:rPr>
          <w:rFonts w:cs="Times New Roman"/>
          <w:vertAlign w:val="superscript"/>
        </w:rPr>
        <w:t>1</w:t>
      </w:r>
    </w:p>
    <w:p w:rsidR="00F01E18" w:rsidRDefault="00F01E18"/>
    <w:p w:rsidR="0084278D" w:rsidRDefault="0084278D">
      <w:pPr>
        <w:widowControl/>
        <w:jc w:val="left"/>
      </w:pPr>
      <w:r>
        <w:br w:type="page"/>
      </w:r>
    </w:p>
    <w:p w:rsidR="00F01E18" w:rsidRPr="0084278D" w:rsidRDefault="000741F0">
      <w:pPr>
        <w:spacing w:line="480" w:lineRule="auto"/>
        <w:rPr>
          <w:rFonts w:cs="Times New Roman"/>
          <w:sz w:val="21"/>
          <w:szCs w:val="21"/>
        </w:rPr>
      </w:pPr>
      <w:r w:rsidRPr="0084278D">
        <w:rPr>
          <w:rFonts w:cs="Times New Roman"/>
          <w:b/>
          <w:bCs/>
          <w:sz w:val="21"/>
          <w:szCs w:val="21"/>
        </w:rPr>
        <w:lastRenderedPageBreak/>
        <w:t>Table S</w:t>
      </w:r>
      <w:r w:rsidRPr="0084278D">
        <w:rPr>
          <w:rFonts w:cs="Times New Roman" w:hint="eastAsia"/>
          <w:b/>
          <w:bCs/>
          <w:sz w:val="21"/>
          <w:szCs w:val="21"/>
        </w:rPr>
        <w:t>2.</w:t>
      </w:r>
      <w:r w:rsidRPr="0084278D">
        <w:rPr>
          <w:rFonts w:cs="Times New Roman"/>
          <w:sz w:val="21"/>
          <w:szCs w:val="21"/>
        </w:rPr>
        <w:t xml:space="preserve"> </w:t>
      </w:r>
      <w:r w:rsidRPr="0084278D">
        <w:rPr>
          <w:rFonts w:cs="Times New Roman" w:hint="eastAsia"/>
          <w:sz w:val="21"/>
          <w:szCs w:val="21"/>
        </w:rPr>
        <w:t>M</w:t>
      </w:r>
      <w:r w:rsidRPr="0084278D">
        <w:rPr>
          <w:rFonts w:cs="Times New Roman"/>
          <w:sz w:val="21"/>
          <w:szCs w:val="21"/>
        </w:rPr>
        <w:t>ass fraction of Pt,</w:t>
      </w:r>
      <w:r w:rsidR="00BB0D3D" w:rsidRPr="0084278D">
        <w:rPr>
          <w:rFonts w:cs="Times New Roman" w:hint="eastAsia"/>
          <w:sz w:val="21"/>
          <w:szCs w:val="21"/>
        </w:rPr>
        <w:t xml:space="preserve"> and</w:t>
      </w:r>
      <w:r w:rsidRPr="0084278D">
        <w:rPr>
          <w:rFonts w:cs="Times New Roman"/>
          <w:sz w:val="21"/>
          <w:szCs w:val="21"/>
        </w:rPr>
        <w:t xml:space="preserve"> </w:t>
      </w:r>
      <w:r w:rsidRPr="0084278D">
        <w:rPr>
          <w:rFonts w:cs="Times New Roman" w:hint="eastAsia"/>
          <w:sz w:val="21"/>
          <w:szCs w:val="21"/>
        </w:rPr>
        <w:t>Fe</w:t>
      </w:r>
      <w:r w:rsidRPr="0084278D">
        <w:rPr>
          <w:rFonts w:cs="Times New Roman"/>
          <w:sz w:val="21"/>
          <w:szCs w:val="21"/>
        </w:rPr>
        <w:t xml:space="preserve"> in </w:t>
      </w:r>
      <w:r w:rsidRPr="0084278D">
        <w:rPr>
          <w:rFonts w:cs="Times New Roman"/>
          <w:bCs/>
          <w:sz w:val="21"/>
          <w:szCs w:val="21"/>
        </w:rPr>
        <w:t>Pt-Fe</w:t>
      </w:r>
      <w:r w:rsidRPr="0084278D">
        <w:rPr>
          <w:rFonts w:cs="Times New Roman" w:hint="eastAsia"/>
          <w:bCs/>
          <w:sz w:val="21"/>
          <w:szCs w:val="21"/>
        </w:rPr>
        <w:t xml:space="preserve"> CNC and</w:t>
      </w:r>
      <w:r w:rsidRPr="0084278D">
        <w:rPr>
          <w:rFonts w:cs="Times New Roman"/>
          <w:bCs/>
          <w:sz w:val="21"/>
          <w:szCs w:val="21"/>
        </w:rPr>
        <w:t xml:space="preserve"> Pt-Fe</w:t>
      </w:r>
      <w:r w:rsidR="00BB0D3D" w:rsidRPr="0084278D">
        <w:rPr>
          <w:rFonts w:cs="Times New Roman" w:hint="eastAsia"/>
          <w:bCs/>
          <w:sz w:val="21"/>
          <w:szCs w:val="21"/>
        </w:rPr>
        <w:t xml:space="preserve"> NF</w:t>
      </w:r>
      <w:r w:rsidRPr="0084278D">
        <w:rPr>
          <w:rFonts w:cs="Times New Roman" w:hint="eastAsia"/>
          <w:sz w:val="21"/>
          <w:szCs w:val="21"/>
        </w:rPr>
        <w:t xml:space="preserve"> measured by </w:t>
      </w:r>
      <w:r w:rsidR="000A5B64">
        <w:rPr>
          <w:rFonts w:cs="Times New Roman" w:hint="eastAsia"/>
          <w:sz w:val="21"/>
          <w:szCs w:val="21"/>
        </w:rPr>
        <w:t>ICP-OES</w:t>
      </w:r>
      <w:r w:rsidRPr="0084278D">
        <w:rPr>
          <w:rFonts w:cs="Times New Roman" w:hint="eastAsia"/>
          <w:sz w:val="21"/>
          <w:szCs w:val="21"/>
        </w:rPr>
        <w:t>.</w:t>
      </w:r>
    </w:p>
    <w:p w:rsidR="00F01E18" w:rsidRDefault="00BB0D3D">
      <w:pPr>
        <w:spacing w:line="480" w:lineRule="auto"/>
        <w:jc w:val="center"/>
      </w:pPr>
      <w:r w:rsidRPr="00BB0D3D">
        <w:rPr>
          <w:noProof/>
        </w:rPr>
        <w:drawing>
          <wp:inline distT="0" distB="0" distL="0" distR="0">
            <wp:extent cx="4132916" cy="671752"/>
            <wp:effectExtent l="0" t="0" r="0" b="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792" cy="67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jc w:val="center"/>
      </w:pPr>
    </w:p>
    <w:p w:rsidR="00F01E18" w:rsidRDefault="00F01E18">
      <w:pPr>
        <w:spacing w:line="480" w:lineRule="auto"/>
        <w:rPr>
          <w:rFonts w:cs="Times New Roman"/>
          <w:b/>
          <w:bCs/>
        </w:rPr>
      </w:pPr>
    </w:p>
    <w:p w:rsidR="00F01E18" w:rsidRDefault="00F01E18">
      <w:pPr>
        <w:spacing w:line="480" w:lineRule="auto"/>
        <w:rPr>
          <w:rFonts w:cs="Times New Roman"/>
          <w:b/>
          <w:bCs/>
        </w:rPr>
      </w:pPr>
    </w:p>
    <w:p w:rsidR="00F01E18" w:rsidRDefault="00F01E18">
      <w:pPr>
        <w:spacing w:line="480" w:lineRule="auto"/>
        <w:rPr>
          <w:rFonts w:cs="Times New Roman"/>
          <w:b/>
          <w:bCs/>
        </w:rPr>
      </w:pPr>
    </w:p>
    <w:p w:rsidR="00F01E18" w:rsidRDefault="00F01E18">
      <w:pPr>
        <w:spacing w:line="480" w:lineRule="auto"/>
        <w:rPr>
          <w:rFonts w:cs="Times New Roman"/>
          <w:b/>
          <w:bCs/>
        </w:rPr>
      </w:pPr>
    </w:p>
    <w:p w:rsidR="0084278D" w:rsidRDefault="0084278D">
      <w:pPr>
        <w:widowControl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F01E18" w:rsidRDefault="00F838FC" w:rsidP="00F838FC">
      <w:pPr>
        <w:spacing w:line="480" w:lineRule="auto"/>
        <w:jc w:val="center"/>
        <w:rPr>
          <w:rFonts w:cs="Times New Roman"/>
        </w:rPr>
      </w:pPr>
      <w:r w:rsidRPr="00F838FC">
        <w:rPr>
          <w:noProof/>
        </w:rPr>
        <w:lastRenderedPageBreak/>
        <w:drawing>
          <wp:inline distT="0" distB="0" distL="0" distR="0">
            <wp:extent cx="4380865" cy="2647315"/>
            <wp:effectExtent l="19050" t="0" r="63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8FC" w:rsidRDefault="000741F0" w:rsidP="00F838FC">
      <w:pPr>
        <w:spacing w:line="480" w:lineRule="auto"/>
        <w:jc w:val="center"/>
        <w:rPr>
          <w:rFonts w:cs="Times New Roman"/>
        </w:rPr>
      </w:pPr>
      <w:r>
        <w:rPr>
          <w:rFonts w:cs="Times New Roman" w:hint="eastAsia"/>
          <w:b/>
          <w:bCs/>
        </w:rPr>
        <w:t>Fig</w:t>
      </w:r>
      <w:r>
        <w:rPr>
          <w:rFonts w:cs="Times New Roman"/>
          <w:b/>
          <w:bCs/>
        </w:rPr>
        <w:t>ure</w:t>
      </w:r>
      <w:r>
        <w:rPr>
          <w:rFonts w:cs="Times New Roman" w:hint="eastAsia"/>
          <w:b/>
          <w:bCs/>
        </w:rPr>
        <w:t xml:space="preserve"> </w:t>
      </w:r>
      <w:bookmarkStart w:id="2" w:name="OLE_LINK2"/>
      <w:r>
        <w:rPr>
          <w:rFonts w:cs="Times New Roman" w:hint="eastAsia"/>
          <w:b/>
          <w:bCs/>
        </w:rPr>
        <w:t>S</w:t>
      </w:r>
      <w:bookmarkEnd w:id="2"/>
      <w:r w:rsidR="00C56004">
        <w:rPr>
          <w:rFonts w:cs="Times New Roman" w:hint="eastAsia"/>
          <w:b/>
          <w:bCs/>
        </w:rPr>
        <w:t>1</w:t>
      </w:r>
      <w:r>
        <w:rPr>
          <w:rFonts w:cs="Times New Roman" w:hint="eastAsia"/>
          <w:b/>
          <w:bCs/>
        </w:rPr>
        <w:t>.</w:t>
      </w:r>
      <w:r>
        <w:rPr>
          <w:rFonts w:cs="Times New Roman"/>
        </w:rPr>
        <w:t xml:space="preserve"> </w:t>
      </w:r>
      <w:r w:rsidR="00F838FC" w:rsidRPr="009D1E62">
        <w:t xml:space="preserve">TEM and size distribution of </w:t>
      </w:r>
      <w:r w:rsidR="00F838FC" w:rsidRPr="00125B1F">
        <w:rPr>
          <w:rFonts w:hint="eastAsia"/>
        </w:rPr>
        <w:t>the as-prepared Pt-Fe CNC NCs</w:t>
      </w:r>
      <w:r w:rsidR="00F838FC">
        <w:rPr>
          <w:rFonts w:hint="eastAsia"/>
        </w:rPr>
        <w:t>.</w:t>
      </w:r>
    </w:p>
    <w:p w:rsidR="00706AC3" w:rsidRDefault="00F838FC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706AC3" w:rsidRDefault="00706AC3" w:rsidP="00706AC3">
      <w:pPr>
        <w:spacing w:line="480" w:lineRule="auto"/>
        <w:jc w:val="center"/>
        <w:rPr>
          <w:rFonts w:cs="Times New Roman"/>
        </w:rPr>
      </w:pPr>
      <w:r w:rsidRPr="00706AC3">
        <w:rPr>
          <w:noProof/>
        </w:rPr>
        <w:lastRenderedPageBreak/>
        <w:drawing>
          <wp:inline distT="0" distB="0" distL="0" distR="0">
            <wp:extent cx="4710233" cy="2736000"/>
            <wp:effectExtent l="19050" t="0" r="0" b="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233" cy="27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AC3" w:rsidRDefault="00706AC3" w:rsidP="00706AC3">
      <w:pPr>
        <w:spacing w:line="480" w:lineRule="auto"/>
        <w:jc w:val="center"/>
        <w:rPr>
          <w:rFonts w:cs="Times New Roman"/>
        </w:rPr>
      </w:pPr>
      <w:r>
        <w:rPr>
          <w:rFonts w:cs="Times New Roman" w:hint="eastAsia"/>
          <w:b/>
          <w:bCs/>
        </w:rPr>
        <w:t>Fig</w:t>
      </w:r>
      <w:r>
        <w:rPr>
          <w:rFonts w:cs="Times New Roman"/>
          <w:b/>
          <w:bCs/>
        </w:rPr>
        <w:t>ure</w:t>
      </w:r>
      <w:r>
        <w:rPr>
          <w:rFonts w:cs="Times New Roman" w:hint="eastAsia"/>
          <w:b/>
          <w:bCs/>
        </w:rPr>
        <w:t xml:space="preserve"> S2.</w:t>
      </w:r>
      <w:r>
        <w:rPr>
          <w:rFonts w:cs="Times New Roman"/>
        </w:rPr>
        <w:t xml:space="preserve"> </w:t>
      </w:r>
      <w:r w:rsidRPr="009D1E62">
        <w:t xml:space="preserve">TEM and size distribution of </w:t>
      </w:r>
      <w:r w:rsidRPr="00125B1F">
        <w:rPr>
          <w:rFonts w:hint="eastAsia"/>
        </w:rPr>
        <w:t xml:space="preserve">the as-prepared Pt-Fe </w:t>
      </w:r>
      <w:r>
        <w:rPr>
          <w:rFonts w:hint="eastAsia"/>
        </w:rPr>
        <w:t>NF</w:t>
      </w:r>
      <w:r w:rsidRPr="00125B1F">
        <w:rPr>
          <w:rFonts w:hint="eastAsia"/>
        </w:rPr>
        <w:t xml:space="preserve"> NCs</w:t>
      </w:r>
      <w:r>
        <w:rPr>
          <w:rFonts w:hint="eastAsia"/>
        </w:rPr>
        <w:t>.</w:t>
      </w:r>
    </w:p>
    <w:p w:rsidR="00BB0D3D" w:rsidRDefault="00BB0D3D" w:rsidP="00BB0D3D">
      <w:pPr>
        <w:widowControl/>
        <w:jc w:val="left"/>
      </w:pPr>
      <w:r>
        <w:rPr>
          <w:rFonts w:cs="Times New Roman"/>
        </w:rPr>
        <w:br w:type="page"/>
      </w:r>
    </w:p>
    <w:p w:rsidR="00BB0D3D" w:rsidRDefault="00BB0D3D" w:rsidP="00BB0D3D">
      <w:pPr>
        <w:widowControl/>
        <w:jc w:val="center"/>
        <w:rPr>
          <w:rFonts w:cs="Times New Roman"/>
        </w:rPr>
      </w:pPr>
      <w:r w:rsidRPr="00BB0D3D">
        <w:rPr>
          <w:noProof/>
        </w:rPr>
        <w:lastRenderedPageBreak/>
        <w:drawing>
          <wp:inline distT="0" distB="0" distL="0" distR="0">
            <wp:extent cx="4166235" cy="2906395"/>
            <wp:effectExtent l="0" t="0" r="0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5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D3D" w:rsidRDefault="00BB0D3D" w:rsidP="00BB0D3D">
      <w:pPr>
        <w:spacing w:line="480" w:lineRule="auto"/>
        <w:jc w:val="center"/>
        <w:rPr>
          <w:sz w:val="21"/>
          <w:szCs w:val="21"/>
        </w:rPr>
      </w:pPr>
      <w:r w:rsidRPr="00BB0D3D">
        <w:rPr>
          <w:rFonts w:cs="Times New Roman" w:hint="eastAsia"/>
          <w:b/>
          <w:bCs/>
          <w:sz w:val="21"/>
          <w:szCs w:val="21"/>
        </w:rPr>
        <w:t>Fig</w:t>
      </w:r>
      <w:r w:rsidRPr="00BB0D3D">
        <w:rPr>
          <w:rFonts w:cs="Times New Roman"/>
          <w:b/>
          <w:bCs/>
          <w:sz w:val="21"/>
          <w:szCs w:val="21"/>
        </w:rPr>
        <w:t>ure</w:t>
      </w:r>
      <w:r w:rsidRPr="00BB0D3D">
        <w:rPr>
          <w:rFonts w:cs="Times New Roman" w:hint="eastAsia"/>
          <w:b/>
          <w:bCs/>
          <w:sz w:val="21"/>
          <w:szCs w:val="21"/>
        </w:rPr>
        <w:t xml:space="preserve"> S3.</w:t>
      </w:r>
      <w:r w:rsidRPr="00BB0D3D">
        <w:rPr>
          <w:rFonts w:cs="Times New Roman"/>
          <w:sz w:val="21"/>
          <w:szCs w:val="21"/>
        </w:rPr>
        <w:t xml:space="preserve"> </w:t>
      </w:r>
      <w:r w:rsidRPr="00BB0D3D">
        <w:rPr>
          <w:sz w:val="21"/>
          <w:szCs w:val="21"/>
          <w:lang w:val="pl-PL"/>
        </w:rPr>
        <w:t>XPS spectr</w:t>
      </w:r>
      <w:r>
        <w:rPr>
          <w:rFonts w:hint="eastAsia"/>
          <w:sz w:val="21"/>
          <w:szCs w:val="21"/>
          <w:lang w:val="pl-PL"/>
        </w:rPr>
        <w:t>um</w:t>
      </w:r>
      <w:r w:rsidRPr="00BB0D3D">
        <w:rPr>
          <w:sz w:val="21"/>
          <w:szCs w:val="21"/>
          <w:lang w:val="pl-PL"/>
        </w:rPr>
        <w:t xml:space="preserve"> of </w:t>
      </w:r>
      <w:r w:rsidRPr="00BB0D3D">
        <w:rPr>
          <w:rFonts w:hint="eastAsia"/>
          <w:sz w:val="21"/>
          <w:szCs w:val="21"/>
          <w:lang w:val="pl-PL"/>
        </w:rPr>
        <w:t>Fe 2p</w:t>
      </w:r>
      <w:r w:rsidRPr="00BB0D3D">
        <w:rPr>
          <w:rFonts w:hint="eastAsia"/>
          <w:sz w:val="21"/>
          <w:szCs w:val="21"/>
        </w:rPr>
        <w:t xml:space="preserve"> for Pt-Fe NF NCs.</w:t>
      </w:r>
    </w:p>
    <w:p w:rsidR="00BB0D3D" w:rsidRDefault="00BB0D3D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C042EA" w:rsidRDefault="00C042EA" w:rsidP="00C042EA">
      <w:pPr>
        <w:widowControl/>
        <w:jc w:val="center"/>
        <w:rPr>
          <w:rFonts w:cs="Times New Roman"/>
        </w:rPr>
      </w:pPr>
      <w:r w:rsidRPr="00C042EA">
        <w:rPr>
          <w:noProof/>
        </w:rPr>
        <w:lastRenderedPageBreak/>
        <w:drawing>
          <wp:inline distT="0" distB="0" distL="0" distR="0">
            <wp:extent cx="4140835" cy="28987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2EA" w:rsidRPr="00C042EA" w:rsidRDefault="00C042EA" w:rsidP="00C042EA">
      <w:pPr>
        <w:spacing w:line="480" w:lineRule="auto"/>
        <w:jc w:val="center"/>
        <w:rPr>
          <w:sz w:val="21"/>
          <w:szCs w:val="21"/>
        </w:rPr>
      </w:pPr>
      <w:r w:rsidRPr="00BB0D3D">
        <w:rPr>
          <w:rFonts w:cs="Times New Roman" w:hint="eastAsia"/>
          <w:b/>
          <w:bCs/>
          <w:sz w:val="21"/>
          <w:szCs w:val="21"/>
        </w:rPr>
        <w:t>Fig</w:t>
      </w:r>
      <w:r w:rsidRPr="00BB0D3D">
        <w:rPr>
          <w:rFonts w:cs="Times New Roman"/>
          <w:b/>
          <w:bCs/>
          <w:sz w:val="21"/>
          <w:szCs w:val="21"/>
        </w:rPr>
        <w:t>ure</w:t>
      </w:r>
      <w:r>
        <w:rPr>
          <w:rFonts w:cs="Times New Roman" w:hint="eastAsia"/>
          <w:b/>
          <w:bCs/>
          <w:sz w:val="21"/>
          <w:szCs w:val="21"/>
        </w:rPr>
        <w:t xml:space="preserve"> S4</w:t>
      </w:r>
      <w:r w:rsidRPr="00BB0D3D">
        <w:rPr>
          <w:rFonts w:cs="Times New Roman" w:hint="eastAsia"/>
          <w:b/>
          <w:bCs/>
          <w:sz w:val="21"/>
          <w:szCs w:val="21"/>
        </w:rPr>
        <w:t>.</w:t>
      </w:r>
      <w:r w:rsidRPr="00BB0D3D">
        <w:rPr>
          <w:rFonts w:cs="Times New Roman"/>
          <w:sz w:val="21"/>
          <w:szCs w:val="21"/>
        </w:rPr>
        <w:t xml:space="preserve"> </w:t>
      </w:r>
      <w:r w:rsidRPr="00C042EA">
        <w:rPr>
          <w:sz w:val="21"/>
          <w:szCs w:val="21"/>
        </w:rPr>
        <w:t xml:space="preserve">CV curves of the </w:t>
      </w:r>
      <w:r>
        <w:rPr>
          <w:sz w:val="21"/>
          <w:szCs w:val="21"/>
        </w:rPr>
        <w:t>catalysts in a N</w:t>
      </w:r>
      <w:r w:rsidRPr="00C042EA">
        <w:rPr>
          <w:sz w:val="21"/>
          <w:szCs w:val="21"/>
          <w:vertAlign w:val="subscript"/>
        </w:rPr>
        <w:t>2</w:t>
      </w:r>
      <w:r>
        <w:rPr>
          <w:sz w:val="21"/>
          <w:szCs w:val="21"/>
        </w:rPr>
        <w:t xml:space="preserve">-Purged 0.5 M </w:t>
      </w:r>
      <w:r w:rsidRPr="00C042EA">
        <w:rPr>
          <w:sz w:val="21"/>
          <w:szCs w:val="21"/>
        </w:rPr>
        <w:t>H</w:t>
      </w:r>
      <w:r w:rsidRPr="00C042EA">
        <w:rPr>
          <w:sz w:val="21"/>
          <w:szCs w:val="21"/>
          <w:vertAlign w:val="subscript"/>
        </w:rPr>
        <w:t>2</w:t>
      </w:r>
      <w:r w:rsidRPr="00C042EA">
        <w:rPr>
          <w:sz w:val="21"/>
          <w:szCs w:val="21"/>
        </w:rPr>
        <w:t>SO</w:t>
      </w:r>
      <w:r w:rsidRPr="00C042EA">
        <w:rPr>
          <w:sz w:val="21"/>
          <w:szCs w:val="21"/>
          <w:vertAlign w:val="subscript"/>
        </w:rPr>
        <w:t>4</w:t>
      </w:r>
      <w:r w:rsidRPr="00C042EA">
        <w:rPr>
          <w:sz w:val="21"/>
          <w:szCs w:val="21"/>
        </w:rPr>
        <w:t xml:space="preserve"> solution</w:t>
      </w:r>
      <w:r>
        <w:rPr>
          <w:sz w:val="21"/>
          <w:szCs w:val="21"/>
        </w:rPr>
        <w:t xml:space="preserve"> </w:t>
      </w:r>
      <w:r w:rsidRPr="00C042EA">
        <w:rPr>
          <w:sz w:val="21"/>
          <w:szCs w:val="21"/>
        </w:rPr>
        <w:t>at a scan rate of 50 mV s</w:t>
      </w:r>
      <w:r w:rsidRPr="00C042EA">
        <w:rPr>
          <w:sz w:val="21"/>
          <w:szCs w:val="21"/>
          <w:vertAlign w:val="superscript"/>
        </w:rPr>
        <w:t>-1</w:t>
      </w:r>
    </w:p>
    <w:p w:rsidR="00BB0D3D" w:rsidRPr="00BB0D3D" w:rsidRDefault="00BB0D3D" w:rsidP="00BB0D3D">
      <w:pPr>
        <w:spacing w:line="480" w:lineRule="auto"/>
        <w:jc w:val="center"/>
        <w:rPr>
          <w:rFonts w:cs="Times New Roman"/>
          <w:sz w:val="21"/>
          <w:szCs w:val="21"/>
        </w:rPr>
      </w:pPr>
    </w:p>
    <w:p w:rsidR="00706AC3" w:rsidRDefault="00706AC3">
      <w:pPr>
        <w:widowControl/>
        <w:jc w:val="left"/>
        <w:rPr>
          <w:rFonts w:cs="Times New Roman"/>
        </w:rPr>
      </w:pPr>
    </w:p>
    <w:p w:rsidR="0013168E" w:rsidRDefault="0013168E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F01E18" w:rsidRDefault="000741F0">
      <w:pPr>
        <w:spacing w:line="480" w:lineRule="auto"/>
        <w:rPr>
          <w:rFonts w:cs="Times New Roman"/>
        </w:rPr>
      </w:pPr>
      <w:r>
        <w:rPr>
          <w:rFonts w:cs="Times New Roman"/>
          <w:b/>
        </w:rPr>
        <w:lastRenderedPageBreak/>
        <w:t>References</w:t>
      </w:r>
    </w:p>
    <w:p w:rsidR="00F01E18" w:rsidRDefault="00C137C5" w:rsidP="004B164F">
      <w:pPr>
        <w:tabs>
          <w:tab w:val="left" w:pos="312"/>
        </w:tabs>
        <w:spacing w:line="480" w:lineRule="auto"/>
        <w:rPr>
          <w:rFonts w:cs="Times New Roman"/>
        </w:rPr>
      </w:pPr>
      <w:bookmarkStart w:id="3" w:name="OLE_LINK65"/>
      <w:r>
        <w:rPr>
          <w:rFonts w:hint="eastAsia"/>
        </w:rPr>
        <w:t xml:space="preserve">[1] </w:t>
      </w:r>
      <w:r w:rsidR="000741F0">
        <w:rPr>
          <w:rFonts w:hint="eastAsia"/>
        </w:rPr>
        <w:t>Rong, H.</w:t>
      </w:r>
      <w:r w:rsidR="000741F0">
        <w:t>;</w:t>
      </w:r>
      <w:r w:rsidR="000741F0">
        <w:rPr>
          <w:rFonts w:hint="eastAsia"/>
        </w:rPr>
        <w:t xml:space="preserve"> Mao, J.</w:t>
      </w:r>
      <w:r w:rsidR="000741F0">
        <w:t>;</w:t>
      </w:r>
      <w:r w:rsidR="000741F0">
        <w:rPr>
          <w:rFonts w:hint="eastAsia"/>
        </w:rPr>
        <w:t xml:space="preserve"> Xin, P.</w:t>
      </w:r>
      <w:r w:rsidR="000741F0">
        <w:t>;</w:t>
      </w:r>
      <w:r w:rsidR="000741F0">
        <w:rPr>
          <w:rFonts w:hint="eastAsia"/>
        </w:rPr>
        <w:t xml:space="preserve"> He, D.</w:t>
      </w:r>
      <w:r w:rsidR="000741F0">
        <w:t>;</w:t>
      </w:r>
      <w:r w:rsidR="000741F0">
        <w:rPr>
          <w:rFonts w:hint="eastAsia"/>
        </w:rPr>
        <w:t xml:space="preserve"> Chen, Y.</w:t>
      </w:r>
      <w:r w:rsidR="000741F0">
        <w:t>;</w:t>
      </w:r>
      <w:r w:rsidR="000741F0">
        <w:rPr>
          <w:rFonts w:hint="eastAsia"/>
        </w:rPr>
        <w:t xml:space="preserve"> Wang, D.</w:t>
      </w:r>
      <w:r w:rsidR="000741F0">
        <w:t>;</w:t>
      </w:r>
      <w:r w:rsidR="000741F0">
        <w:rPr>
          <w:rFonts w:hint="eastAsia"/>
        </w:rPr>
        <w:t xml:space="preserve"> </w:t>
      </w:r>
      <w:r w:rsidR="000741F0">
        <w:t>Niu, Z.; Wu, Y.;</w:t>
      </w:r>
      <w:r w:rsidR="000741F0">
        <w:rPr>
          <w:rFonts w:hint="eastAsia"/>
        </w:rPr>
        <w:t xml:space="preserve"> Li, Y</w:t>
      </w:r>
      <w:r w:rsidR="004678DD">
        <w:rPr>
          <w:rFonts w:hint="eastAsia"/>
        </w:rPr>
        <w:t xml:space="preserve"> (</w:t>
      </w:r>
      <w:r w:rsidR="006342BA">
        <w:rPr>
          <w:rFonts w:hint="eastAsia"/>
        </w:rPr>
        <w:t xml:space="preserve">2016) </w:t>
      </w:r>
      <w:hyperlink r:id="rId19" w:tgtFrame="_blank" w:history="1">
        <w:r w:rsidR="004678DD" w:rsidRPr="006342BA">
          <w:t>Kinetically Controlling Surface Structure to Construct Defect-Rich Intermetallic Nanocrystals: Effective and Stable Catalysts.</w:t>
        </w:r>
      </w:hyperlink>
      <w:r w:rsidR="004678DD">
        <w:rPr>
          <w:rFonts w:hint="eastAsia"/>
        </w:rPr>
        <w:t xml:space="preserve"> </w:t>
      </w:r>
      <w:r w:rsidR="000741F0" w:rsidRPr="006342BA">
        <w:rPr>
          <w:rFonts w:hint="eastAsia"/>
          <w:iCs/>
        </w:rPr>
        <w:t>Adv. Mater</w:t>
      </w:r>
      <w:r w:rsidR="000741F0" w:rsidRPr="006342BA">
        <w:t>.</w:t>
      </w:r>
      <w:r w:rsidR="000741F0">
        <w:t xml:space="preserve">, </w:t>
      </w:r>
      <w:r w:rsidR="000741F0" w:rsidRPr="006342BA">
        <w:rPr>
          <w:rFonts w:hint="eastAsia"/>
          <w:iCs/>
        </w:rPr>
        <w:t>28</w:t>
      </w:r>
      <w:r w:rsidR="000741F0">
        <w:t xml:space="preserve">, </w:t>
      </w:r>
      <w:r w:rsidR="000741F0">
        <w:rPr>
          <w:rFonts w:hint="eastAsia"/>
        </w:rPr>
        <w:t>2540-2546.</w:t>
      </w:r>
      <w:bookmarkEnd w:id="3"/>
    </w:p>
    <w:sectPr w:rsidR="00F01E18" w:rsidSect="003A4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E52" w:rsidRDefault="00042E52" w:rsidP="00C56004">
      <w:r>
        <w:separator/>
      </w:r>
    </w:p>
  </w:endnote>
  <w:endnote w:type="continuationSeparator" w:id="0">
    <w:p w:rsidR="00042E52" w:rsidRDefault="00042E52" w:rsidP="00C5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2e364b11">
    <w:altName w:val="Segoe Print"/>
    <w:charset w:val="00"/>
    <w:family w:val="auto"/>
    <w:pitch w:val="default"/>
  </w:font>
  <w:font w:name="AdvOT8608a8d1 + 22">
    <w:altName w:val="Segoe Print"/>
    <w:charset w:val="00"/>
    <w:family w:val="auto"/>
    <w:pitch w:val="default"/>
  </w:font>
  <w:font w:name="AdvOT02ce3bbb . I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E52" w:rsidRDefault="00042E52" w:rsidP="00C56004">
      <w:r>
        <w:separator/>
      </w:r>
    </w:p>
  </w:footnote>
  <w:footnote w:type="continuationSeparator" w:id="0">
    <w:p w:rsidR="00042E52" w:rsidRDefault="00042E52" w:rsidP="00C5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EE3B8D"/>
    <w:multiLevelType w:val="singleLevel"/>
    <w:tmpl w:val="DCEE3B8D"/>
    <w:lvl w:ilvl="0">
      <w:start w:val="1"/>
      <w:numFmt w:val="decimal"/>
      <w:lvlText w:val="[%1]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EDD5752"/>
    <w:rsid w:val="00042E52"/>
    <w:rsid w:val="000741F0"/>
    <w:rsid w:val="000A5B64"/>
    <w:rsid w:val="000F6741"/>
    <w:rsid w:val="0013168E"/>
    <w:rsid w:val="0014737E"/>
    <w:rsid w:val="001A1EAA"/>
    <w:rsid w:val="001B4237"/>
    <w:rsid w:val="001E2405"/>
    <w:rsid w:val="002A058D"/>
    <w:rsid w:val="002C06C1"/>
    <w:rsid w:val="002E1648"/>
    <w:rsid w:val="003002AF"/>
    <w:rsid w:val="00334CC5"/>
    <w:rsid w:val="003A4412"/>
    <w:rsid w:val="0041237A"/>
    <w:rsid w:val="004678DD"/>
    <w:rsid w:val="004B164F"/>
    <w:rsid w:val="00520373"/>
    <w:rsid w:val="005A07E2"/>
    <w:rsid w:val="00603EE2"/>
    <w:rsid w:val="00605042"/>
    <w:rsid w:val="006342BA"/>
    <w:rsid w:val="00644BD6"/>
    <w:rsid w:val="00706AC3"/>
    <w:rsid w:val="007146C3"/>
    <w:rsid w:val="0084278D"/>
    <w:rsid w:val="008651D5"/>
    <w:rsid w:val="00972C60"/>
    <w:rsid w:val="009767E6"/>
    <w:rsid w:val="00987FFD"/>
    <w:rsid w:val="00A369EC"/>
    <w:rsid w:val="00A41F87"/>
    <w:rsid w:val="00A70549"/>
    <w:rsid w:val="00AE7766"/>
    <w:rsid w:val="00AF2E7E"/>
    <w:rsid w:val="00B65C10"/>
    <w:rsid w:val="00BA76AA"/>
    <w:rsid w:val="00BB0D3D"/>
    <w:rsid w:val="00BF5F50"/>
    <w:rsid w:val="00C042EA"/>
    <w:rsid w:val="00C137C5"/>
    <w:rsid w:val="00C56004"/>
    <w:rsid w:val="00CF3103"/>
    <w:rsid w:val="00D51476"/>
    <w:rsid w:val="00DC0BA2"/>
    <w:rsid w:val="00E27733"/>
    <w:rsid w:val="00E71763"/>
    <w:rsid w:val="00E9139D"/>
    <w:rsid w:val="00EA66EF"/>
    <w:rsid w:val="00EE69A1"/>
    <w:rsid w:val="00F01E18"/>
    <w:rsid w:val="00F147C3"/>
    <w:rsid w:val="00F42EFB"/>
    <w:rsid w:val="00F838FC"/>
    <w:rsid w:val="00F845C9"/>
    <w:rsid w:val="017E045C"/>
    <w:rsid w:val="0453033B"/>
    <w:rsid w:val="05B172E6"/>
    <w:rsid w:val="0AF74D87"/>
    <w:rsid w:val="0C6E0A53"/>
    <w:rsid w:val="0D4E163D"/>
    <w:rsid w:val="15204738"/>
    <w:rsid w:val="1A0D5B0A"/>
    <w:rsid w:val="1B782810"/>
    <w:rsid w:val="1D6D19F2"/>
    <w:rsid w:val="1FE87C1F"/>
    <w:rsid w:val="20D6472D"/>
    <w:rsid w:val="22FB1973"/>
    <w:rsid w:val="27C060D3"/>
    <w:rsid w:val="29287E91"/>
    <w:rsid w:val="29391371"/>
    <w:rsid w:val="294607DB"/>
    <w:rsid w:val="2D943896"/>
    <w:rsid w:val="2E7B7840"/>
    <w:rsid w:val="30333BE6"/>
    <w:rsid w:val="32A21BBB"/>
    <w:rsid w:val="36094572"/>
    <w:rsid w:val="37767DA7"/>
    <w:rsid w:val="37C37E0F"/>
    <w:rsid w:val="396B0790"/>
    <w:rsid w:val="3AA864E5"/>
    <w:rsid w:val="44905E26"/>
    <w:rsid w:val="46207929"/>
    <w:rsid w:val="48664D1E"/>
    <w:rsid w:val="4A81485C"/>
    <w:rsid w:val="4AA327EF"/>
    <w:rsid w:val="4AC91D40"/>
    <w:rsid w:val="4EA86FBF"/>
    <w:rsid w:val="5031028C"/>
    <w:rsid w:val="54D0187D"/>
    <w:rsid w:val="55550D0D"/>
    <w:rsid w:val="574C1055"/>
    <w:rsid w:val="5BEB78DC"/>
    <w:rsid w:val="62ED54B7"/>
    <w:rsid w:val="63370965"/>
    <w:rsid w:val="63C734B3"/>
    <w:rsid w:val="64CD43F5"/>
    <w:rsid w:val="692320B5"/>
    <w:rsid w:val="6AFB4751"/>
    <w:rsid w:val="700C0DD9"/>
    <w:rsid w:val="70DC7B7F"/>
    <w:rsid w:val="7111344C"/>
    <w:rsid w:val="72BE3489"/>
    <w:rsid w:val="745B1135"/>
    <w:rsid w:val="79152CC7"/>
    <w:rsid w:val="7A6B0B23"/>
    <w:rsid w:val="7ED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11A99B-1D17-4D56-B66D-C42F773D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412"/>
    <w:pPr>
      <w:widowControl w:val="0"/>
      <w:jc w:val="both"/>
    </w:pPr>
    <w:rPr>
      <w:rFonts w:eastAsiaTheme="minorEastAsia" w:cstheme="minorBidi"/>
      <w:kern w:val="2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678D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A4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3A4412"/>
    <w:rPr>
      <w:rFonts w:ascii="AdvOT2e364b11" w:eastAsia="AdvOT2e364b11" w:hAnsi="AdvOT2e364b11" w:cs="AdvOT2e364b11"/>
      <w:color w:val="000000"/>
      <w:sz w:val="18"/>
      <w:szCs w:val="18"/>
    </w:rPr>
  </w:style>
  <w:style w:type="character" w:customStyle="1" w:styleId="fontstyle21">
    <w:name w:val="fontstyle21"/>
    <w:basedOn w:val="a0"/>
    <w:qFormat/>
    <w:rsid w:val="003A4412"/>
    <w:rPr>
      <w:rFonts w:ascii="AdvOT8608a8d1 + 22" w:eastAsia="AdvOT8608a8d1 + 22" w:hAnsi="AdvOT8608a8d1 + 22" w:cs="AdvOT8608a8d1 + 22"/>
      <w:color w:val="000000"/>
      <w:sz w:val="12"/>
      <w:szCs w:val="12"/>
    </w:rPr>
  </w:style>
  <w:style w:type="character" w:customStyle="1" w:styleId="fontstyle31">
    <w:name w:val="fontstyle31"/>
    <w:basedOn w:val="a0"/>
    <w:qFormat/>
    <w:rsid w:val="003A4412"/>
    <w:rPr>
      <w:rFonts w:ascii="AdvOT02ce3bbb . I" w:eastAsia="AdvOT02ce3bbb . I" w:hAnsi="AdvOT02ce3bbb . I" w:cs="AdvOT02ce3bbb . I"/>
      <w:color w:val="000000"/>
      <w:sz w:val="18"/>
      <w:szCs w:val="18"/>
    </w:rPr>
  </w:style>
  <w:style w:type="paragraph" w:styleId="a4">
    <w:name w:val="header"/>
    <w:basedOn w:val="a"/>
    <w:link w:val="a5"/>
    <w:rsid w:val="00C56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6004"/>
    <w:rPr>
      <w:rFonts w:eastAsiaTheme="minorEastAsia" w:cstheme="minorBidi"/>
      <w:kern w:val="2"/>
      <w:sz w:val="18"/>
      <w:szCs w:val="18"/>
    </w:rPr>
  </w:style>
  <w:style w:type="paragraph" w:styleId="a6">
    <w:name w:val="footer"/>
    <w:basedOn w:val="a"/>
    <w:link w:val="a7"/>
    <w:rsid w:val="00C560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56004"/>
    <w:rPr>
      <w:rFonts w:eastAsiaTheme="minorEastAsia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C56004"/>
    <w:rPr>
      <w:sz w:val="18"/>
      <w:szCs w:val="18"/>
    </w:rPr>
  </w:style>
  <w:style w:type="character" w:customStyle="1" w:styleId="a9">
    <w:name w:val="批注框文本 字符"/>
    <w:basedOn w:val="a0"/>
    <w:link w:val="a8"/>
    <w:rsid w:val="00C56004"/>
    <w:rPr>
      <w:rFonts w:eastAsiaTheme="minorEastAsia" w:cstheme="minorBidi"/>
      <w:kern w:val="2"/>
      <w:sz w:val="18"/>
      <w:szCs w:val="18"/>
    </w:rPr>
  </w:style>
  <w:style w:type="character" w:styleId="aa">
    <w:name w:val="Hyperlink"/>
    <w:rsid w:val="00EE69A1"/>
    <w:rPr>
      <w:color w:val="000099"/>
      <w:u w:val="single"/>
    </w:rPr>
  </w:style>
  <w:style w:type="character" w:customStyle="1" w:styleId="30">
    <w:name w:val="标题 3 字符"/>
    <w:basedOn w:val="a0"/>
    <w:link w:val="3"/>
    <w:semiHidden/>
    <w:rsid w:val="004678DD"/>
    <w:rPr>
      <w:rFonts w:eastAsiaTheme="minorEastAsia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6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wmf"/><Relationship Id="rId19" Type="http://schemas.openxmlformats.org/officeDocument/2006/relationships/hyperlink" Target="https://europepmc.org/article/med/26836038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BBF3AA-EA51-4741-8796-59086502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25</cp:revision>
  <dcterms:created xsi:type="dcterms:W3CDTF">2017-11-05T05:52:00Z</dcterms:created>
  <dcterms:modified xsi:type="dcterms:W3CDTF">2024-05-29T12:29:00Z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http://www.zotero.org/styles/ionics</vt:lpwstr>
  </property>
  <property fmtid="{D5CDD505-2E9C-101B-9397-08002B2CF9AE}" pid="16" name="Mendeley Recent Style Name 6_1">
    <vt:lpwstr>Ionics</vt:lpwstr>
  </property>
  <property fmtid="{D5CDD505-2E9C-101B-9397-08002B2CF9AE}" pid="17" name="Mendeley Recent Style Id 7_1">
    <vt:lpwstr>http://www.zotero.org/styles/journal-of-materials-chemistry-a</vt:lpwstr>
  </property>
  <property fmtid="{D5CDD505-2E9C-101B-9397-08002B2CF9AE}" pid="18" name="Mendeley Recent Style Name 7_1">
    <vt:lpwstr>Journal of Materials Chemistry A</vt:lpwstr>
  </property>
  <property fmtid="{D5CDD505-2E9C-101B-9397-08002B2CF9AE}" pid="19" name="Mendeley Recent Style Id 8_1">
    <vt:lpwstr>http://www.zotero.org/styles/materials-letters</vt:lpwstr>
  </property>
  <property fmtid="{D5CDD505-2E9C-101B-9397-08002B2CF9AE}" pid="20" name="Mendeley Recent Style Name 8_1">
    <vt:lpwstr>Materials Letters</vt:lpwstr>
  </property>
  <property fmtid="{D5CDD505-2E9C-101B-9397-08002B2CF9AE}" pid="21" name="Mendeley Recent Style Id 9_1">
    <vt:lpwstr>http://www.zotero.org/styles/science</vt:lpwstr>
  </property>
  <property fmtid="{D5CDD505-2E9C-101B-9397-08002B2CF9AE}" pid="22" name="Mendeley Recent Style Name 9_1">
    <vt:lpwstr>Science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http://www.zotero.org/styles/ionics</vt:lpwstr>
  </property>
  <property fmtid="{D5CDD505-2E9C-101B-9397-08002B2CF9AE}" pid="25" name="Mendeley Unique User Id_1">
    <vt:lpwstr>645f1ba2-8940-3431-bd27-27e57300a497</vt:lpwstr>
  </property>
</Properties>
</file>