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33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5"/>
        <w:gridCol w:w="605"/>
        <w:gridCol w:w="770"/>
        <w:gridCol w:w="735"/>
        <w:gridCol w:w="825"/>
      </w:tblGrid>
      <w:tr w:rsidR="007B341E" w:rsidRPr="004D519D" w14:paraId="4B1A461A" w14:textId="77777777" w:rsidTr="004B6EDD">
        <w:trPr>
          <w:trHeight w:val="170"/>
        </w:trPr>
        <w:tc>
          <w:tcPr>
            <w:tcW w:w="0" w:type="auto"/>
            <w:shd w:val="clear" w:color="auto" w:fill="C9C9C9" w:themeFill="accent3" w:themeFillTint="99"/>
            <w:noWrap/>
            <w:hideMark/>
          </w:tcPr>
          <w:p w14:paraId="326BA803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Statistic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hideMark/>
          </w:tcPr>
          <w:p w14:paraId="67194D6F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Value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hideMark/>
          </w:tcPr>
          <w:p w14:paraId="50BC8D11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Std.Dev.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hideMark/>
          </w:tcPr>
          <w:p w14:paraId="6C7C94AC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c.i.2.5%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hideMark/>
          </w:tcPr>
          <w:p w14:paraId="02607FFA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c.i.97.5%</w:t>
            </w:r>
          </w:p>
        </w:tc>
      </w:tr>
      <w:tr w:rsidR="007B341E" w:rsidRPr="004D519D" w14:paraId="63C88C1F" w14:textId="77777777" w:rsidTr="004B6EDD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14:paraId="4A003AB3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Number of alleles (Num)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D8BB0D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1.988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8C82EA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8736C1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1.981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4C6B98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1.994</w:t>
            </w:r>
          </w:p>
        </w:tc>
      </w:tr>
      <w:tr w:rsidR="007B341E" w:rsidRPr="004D519D" w14:paraId="364B9294" w14:textId="77777777" w:rsidTr="004B6EDD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14:paraId="1FB45C4D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Effective number of alleles (Eff_num)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545C40C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7EE48A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12565A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879AD4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1.250</w:t>
            </w:r>
          </w:p>
        </w:tc>
      </w:tr>
      <w:tr w:rsidR="007B341E" w:rsidRPr="004D519D" w14:paraId="338A6130" w14:textId="77777777" w:rsidTr="004B6EDD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14:paraId="0C431042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Observed Heterozygosity (Ho)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D37B50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2E5C8A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A107FB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BBE69A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0.251</w:t>
            </w:r>
          </w:p>
        </w:tc>
      </w:tr>
      <w:tr w:rsidR="007B341E" w:rsidRPr="004D519D" w14:paraId="0692F81F" w14:textId="77777777" w:rsidTr="004B6EDD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14:paraId="5EBF2D9A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Heterozygosity Within Populations (Hs)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454B81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6E768B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C694CD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47624E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0.169</w:t>
            </w:r>
          </w:p>
        </w:tc>
      </w:tr>
      <w:tr w:rsidR="007B341E" w:rsidRPr="004D519D" w14:paraId="514DC5D2" w14:textId="77777777" w:rsidTr="004B6EDD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14:paraId="4F457010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Total Heterozygosity (Ht)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E8F57F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51EE141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B44577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AD9D1AE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0.175</w:t>
            </w:r>
          </w:p>
        </w:tc>
      </w:tr>
      <w:tr w:rsidR="007B341E" w:rsidRPr="004D519D" w14:paraId="327639D0" w14:textId="77777777" w:rsidTr="004B6EDD">
        <w:trPr>
          <w:trHeight w:val="170"/>
        </w:trPr>
        <w:tc>
          <w:tcPr>
            <w:tcW w:w="0" w:type="auto"/>
            <w:shd w:val="clear" w:color="auto" w:fill="auto"/>
            <w:noWrap/>
            <w:hideMark/>
          </w:tcPr>
          <w:p w14:paraId="2FAAD950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Inbreeding coefficient (Gis)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5FAB9A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-0.469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470F1C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1B68AE" w14:textId="77777777" w:rsidR="007B341E" w:rsidRPr="004D519D" w:rsidRDefault="007B341E" w:rsidP="004B6EDD">
            <w:pPr>
              <w:pStyle w:val="Tableau"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-0.495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8BCE4C" w14:textId="77777777" w:rsidR="007B341E" w:rsidRPr="004D519D" w:rsidRDefault="007B341E" w:rsidP="004B6EDD">
            <w:pPr>
              <w:pStyle w:val="Tableau"/>
              <w:keepNext/>
              <w:framePr w:hSpace="0" w:wrap="auto" w:vAnchor="margin" w:hAnchor="text" w:xAlign="left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519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-0.441</w:t>
            </w:r>
          </w:p>
        </w:tc>
      </w:tr>
    </w:tbl>
    <w:p w14:paraId="7C94B24E" w14:textId="6A71FDC7" w:rsidR="004B6EDD" w:rsidRPr="004B6EDD" w:rsidRDefault="004B6EDD" w:rsidP="004B6EDD">
      <w:pPr>
        <w:pStyle w:val="Lgende"/>
        <w:rPr>
          <w:b/>
          <w:i w:val="0"/>
          <w:color w:val="000000" w:themeColor="text1"/>
          <w:sz w:val="24"/>
          <w:szCs w:val="24"/>
        </w:rPr>
      </w:pPr>
      <w:r w:rsidRPr="00BB6CF2">
        <w:rPr>
          <w:b/>
          <w:i w:val="0"/>
          <w:color w:val="000000" w:themeColor="text1"/>
          <w:sz w:val="24"/>
          <w:szCs w:val="24"/>
          <w:lang w:val="en-US"/>
        </w:rPr>
        <w:t>Table S</w:t>
      </w:r>
      <w:r w:rsidR="00543581">
        <w:rPr>
          <w:b/>
          <w:i w:val="0"/>
          <w:color w:val="000000" w:themeColor="text1"/>
          <w:sz w:val="24"/>
          <w:szCs w:val="24"/>
          <w:lang w:val="en-US"/>
        </w:rPr>
        <w:t>6</w:t>
      </w:r>
      <w:r w:rsidRPr="00BB6CF2">
        <w:rPr>
          <w:b/>
          <w:i w:val="0"/>
          <w:color w:val="000000" w:themeColor="text1"/>
          <w:sz w:val="24"/>
          <w:szCs w:val="24"/>
          <w:lang w:val="en-US"/>
        </w:rPr>
        <w:t xml:space="preserve">: </w:t>
      </w:r>
      <w:r w:rsidRPr="00BB6CF2">
        <w:rPr>
          <w:i w:val="0"/>
          <w:color w:val="000000" w:themeColor="text1"/>
          <w:sz w:val="24"/>
          <w:szCs w:val="24"/>
          <w:lang w:val="en-US"/>
        </w:rPr>
        <w:t xml:space="preserve">Indices of total genetic diversity for the </w:t>
      </w:r>
      <w:r w:rsidRPr="00BB6CF2">
        <w:rPr>
          <w:color w:val="000000" w:themeColor="text1"/>
          <w:sz w:val="24"/>
          <w:szCs w:val="24"/>
          <w:lang w:val="en-US"/>
        </w:rPr>
        <w:t>C. stricta</w:t>
      </w:r>
      <w:r w:rsidRPr="00BB6CF2">
        <w:rPr>
          <w:i w:val="0"/>
          <w:color w:val="000000" w:themeColor="text1"/>
          <w:sz w:val="24"/>
          <w:szCs w:val="24"/>
          <w:lang w:val="en-US"/>
        </w:rPr>
        <w:t xml:space="preserve"> species complex calculated with 121 individuals and 1157 loci (Nei 1987). </w:t>
      </w:r>
      <w:r w:rsidRPr="004B6EDD">
        <w:rPr>
          <w:i w:val="0"/>
          <w:color w:val="000000" w:themeColor="text1"/>
          <w:sz w:val="24"/>
          <w:szCs w:val="24"/>
        </w:rPr>
        <w:t>Standard deviations of F-statistics were obtained through jackknifing over loci. 95% confidence intervals of F-statistics were obtained through bootstrapping over loci.</w:t>
      </w:r>
    </w:p>
    <w:p w14:paraId="6F89610E" w14:textId="77777777" w:rsidR="00985409" w:rsidRPr="004D519D" w:rsidRDefault="00985409">
      <w:pPr>
        <w:rPr>
          <w:lang w:val="en-GB"/>
        </w:rPr>
      </w:pPr>
    </w:p>
    <w:sectPr w:rsidR="00985409" w:rsidRPr="004D519D" w:rsidSect="00E0378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41E"/>
    <w:rsid w:val="003F7CB6"/>
    <w:rsid w:val="004B6EDD"/>
    <w:rsid w:val="004D519D"/>
    <w:rsid w:val="00543581"/>
    <w:rsid w:val="0060582A"/>
    <w:rsid w:val="006B2D6D"/>
    <w:rsid w:val="007B341E"/>
    <w:rsid w:val="00985409"/>
    <w:rsid w:val="00A712B4"/>
    <w:rsid w:val="00BB6CF2"/>
    <w:rsid w:val="00C45043"/>
    <w:rsid w:val="00E03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47F1CF"/>
  <w15:chartTrackingRefBased/>
  <w15:docId w15:val="{AEC0F4F1-FA78-6049-A379-1FD931C8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41E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ableau">
    <w:name w:val="Tableau"/>
    <w:basedOn w:val="Normal"/>
    <w:qFormat/>
    <w:rsid w:val="007B341E"/>
    <w:pPr>
      <w:framePr w:hSpace="141" w:wrap="around" w:vAnchor="text" w:hAnchor="margin" w:xAlign="center" w:y="17"/>
    </w:pPr>
    <w:rPr>
      <w:rFonts w:ascii="Calibri" w:hAnsi="Calibri" w:cs="Calibri"/>
      <w:color w:val="000000"/>
      <w:sz w:val="16"/>
      <w:szCs w:val="16"/>
    </w:rPr>
  </w:style>
  <w:style w:type="paragraph" w:styleId="Lgende">
    <w:name w:val="caption"/>
    <w:basedOn w:val="Normal"/>
    <w:next w:val="Normal"/>
    <w:uiPriority w:val="35"/>
    <w:unhideWhenUsed/>
    <w:qFormat/>
    <w:rsid w:val="007B341E"/>
    <w:pPr>
      <w:spacing w:after="200"/>
      <w:jc w:val="both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585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CHAMPOUD Luca</cp:lastModifiedBy>
  <cp:revision>7</cp:revision>
  <dcterms:created xsi:type="dcterms:W3CDTF">2023-03-09T13:26:00Z</dcterms:created>
  <dcterms:modified xsi:type="dcterms:W3CDTF">2024-05-07T14:21:00Z</dcterms:modified>
</cp:coreProperties>
</file>