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958" w:rsidRPr="00A30E43" w:rsidRDefault="00F76958" w:rsidP="00F76958">
      <w:pPr>
        <w:spacing w:line="360" w:lineRule="auto"/>
        <w:rPr>
          <w:b/>
          <w:sz w:val="20"/>
          <w:szCs w:val="20"/>
        </w:rPr>
      </w:pPr>
      <w:r w:rsidRPr="00A30E43">
        <w:rPr>
          <w:b/>
          <w:sz w:val="20"/>
          <w:szCs w:val="20"/>
        </w:rPr>
        <w:t>The dynamics of the vaginal micro-ecology during in vitro fertilization and embryo transfer (IVF-ET) cycles and its impact on pregnancy outcomes</w:t>
      </w:r>
    </w:p>
    <w:p w:rsidR="00865F6C" w:rsidRDefault="00865F6C" w:rsidP="00F76958">
      <w:pPr>
        <w:spacing w:line="360" w:lineRule="auto"/>
        <w:rPr>
          <w:b/>
          <w:sz w:val="20"/>
          <w:szCs w:val="20"/>
        </w:rPr>
      </w:pPr>
      <w:r w:rsidRPr="00865F6C">
        <w:rPr>
          <w:b/>
          <w:sz w:val="20"/>
          <w:szCs w:val="20"/>
        </w:rPr>
        <w:t>Reproductive Sciences</w:t>
      </w:r>
    </w:p>
    <w:p w:rsidR="00F76958" w:rsidRPr="00A30E43" w:rsidRDefault="00F76958" w:rsidP="00F76958">
      <w:pPr>
        <w:spacing w:line="360" w:lineRule="auto"/>
        <w:rPr>
          <w:sz w:val="20"/>
          <w:szCs w:val="20"/>
          <w:vertAlign w:val="superscript"/>
        </w:rPr>
      </w:pPr>
      <w:bookmarkStart w:id="0" w:name="_GoBack"/>
      <w:bookmarkEnd w:id="0"/>
      <w:r w:rsidRPr="00A30E43">
        <w:rPr>
          <w:sz w:val="20"/>
          <w:szCs w:val="20"/>
        </w:rPr>
        <w:t>Quan Tian</w:t>
      </w:r>
      <w:r w:rsidRPr="00A30E43">
        <w:rPr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>, Yujie Liu</w:t>
      </w:r>
      <w:r w:rsidRPr="00A30E43">
        <w:rPr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>, Jiane Liu</w:t>
      </w:r>
      <w:r w:rsidRPr="00A30E43">
        <w:rPr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>, Jianru Wu</w:t>
      </w:r>
      <w:r w:rsidRPr="00A30E43">
        <w:rPr>
          <w:sz w:val="20"/>
          <w:szCs w:val="20"/>
          <w:vertAlign w:val="superscript"/>
        </w:rPr>
        <w:t>2</w:t>
      </w:r>
      <w:r w:rsidRPr="00A30E43">
        <w:rPr>
          <w:sz w:val="20"/>
          <w:szCs w:val="20"/>
        </w:rPr>
        <w:t>, Jianxin Liu</w:t>
      </w:r>
      <w:r w:rsidRPr="00A30E43">
        <w:rPr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>, Xiuming Tang</w:t>
      </w:r>
      <w:r w:rsidRPr="00A30E43">
        <w:rPr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>, Weihong Hu</w:t>
      </w:r>
      <w:r w:rsidRPr="00A30E43">
        <w:rPr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 xml:space="preserve">, </w:t>
      </w:r>
      <w:r w:rsidRPr="00A30E43">
        <w:rPr>
          <w:rFonts w:hint="eastAsia"/>
          <w:sz w:val="20"/>
          <w:szCs w:val="20"/>
        </w:rPr>
        <w:t>X</w:t>
      </w:r>
      <w:r w:rsidRPr="00A30E43">
        <w:rPr>
          <w:sz w:val="20"/>
          <w:szCs w:val="20"/>
        </w:rPr>
        <w:t>ia Liu</w:t>
      </w:r>
      <w:r w:rsidRPr="00A30E43">
        <w:rPr>
          <w:sz w:val="20"/>
          <w:szCs w:val="20"/>
          <w:vertAlign w:val="superscript"/>
        </w:rPr>
        <w:t>1*</w:t>
      </w:r>
      <w:r w:rsidRPr="00A30E43">
        <w:rPr>
          <w:sz w:val="20"/>
          <w:szCs w:val="20"/>
        </w:rPr>
        <w:t>.</w:t>
      </w:r>
    </w:p>
    <w:p w:rsidR="00F76958" w:rsidRPr="00A30E43" w:rsidRDefault="00F76958" w:rsidP="00F76958">
      <w:pPr>
        <w:spacing w:line="360" w:lineRule="auto"/>
        <w:rPr>
          <w:sz w:val="20"/>
          <w:szCs w:val="20"/>
        </w:rPr>
      </w:pPr>
      <w:r w:rsidRPr="00A30E43">
        <w:rPr>
          <w:rFonts w:hint="eastAsia"/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 xml:space="preserve"> Department of Reproductive Medicine, the Affiliated Hospital of Qingdao University, Qingdao 266000,</w:t>
      </w:r>
      <w:r w:rsidRPr="00A30E43">
        <w:rPr>
          <w:sz w:val="20"/>
          <w:szCs w:val="20"/>
          <w:shd w:val="clear" w:color="auto" w:fill="FFFFFF"/>
        </w:rPr>
        <w:t xml:space="preserve"> Shandong, China.</w:t>
      </w:r>
    </w:p>
    <w:p w:rsidR="00F76958" w:rsidRDefault="00F76958" w:rsidP="00F76958">
      <w:pPr>
        <w:spacing w:line="360" w:lineRule="auto"/>
        <w:rPr>
          <w:sz w:val="20"/>
          <w:szCs w:val="20"/>
        </w:rPr>
      </w:pPr>
      <w:r w:rsidRPr="00A30E43">
        <w:rPr>
          <w:sz w:val="20"/>
          <w:szCs w:val="20"/>
          <w:vertAlign w:val="superscript"/>
        </w:rPr>
        <w:t>2</w:t>
      </w:r>
      <w:r w:rsidRPr="00A30E43">
        <w:rPr>
          <w:sz w:val="20"/>
          <w:szCs w:val="20"/>
        </w:rPr>
        <w:t xml:space="preserve"> Shenzhen Institute of Pharmacovigilance and Risk Management, Shenzhen, China</w:t>
      </w:r>
      <w:r>
        <w:rPr>
          <w:sz w:val="20"/>
          <w:szCs w:val="20"/>
        </w:rPr>
        <w:t>.</w:t>
      </w:r>
    </w:p>
    <w:p w:rsidR="00F76958" w:rsidRPr="00A30E43" w:rsidRDefault="00F76958" w:rsidP="00F76958">
      <w:pPr>
        <w:spacing w:line="360" w:lineRule="auto"/>
        <w:rPr>
          <w:sz w:val="20"/>
          <w:szCs w:val="20"/>
        </w:rPr>
      </w:pPr>
    </w:p>
    <w:p w:rsidR="00F76958" w:rsidRPr="00A30E43" w:rsidRDefault="00F76958" w:rsidP="00F76958">
      <w:pPr>
        <w:spacing w:line="360" w:lineRule="auto"/>
        <w:rPr>
          <w:sz w:val="20"/>
          <w:szCs w:val="20"/>
        </w:rPr>
      </w:pPr>
      <w:r w:rsidRPr="00A30E43">
        <w:rPr>
          <w:sz w:val="20"/>
          <w:szCs w:val="20"/>
        </w:rPr>
        <w:t>*</w:t>
      </w:r>
      <w:r w:rsidRPr="008F2D7E">
        <w:rPr>
          <w:b/>
          <w:sz w:val="20"/>
          <w:szCs w:val="20"/>
        </w:rPr>
        <w:t>Corresponding author</w:t>
      </w:r>
      <w:r w:rsidRPr="00A30E43">
        <w:rPr>
          <w:sz w:val="20"/>
          <w:szCs w:val="20"/>
        </w:rPr>
        <w:t xml:space="preserve"> </w:t>
      </w:r>
    </w:p>
    <w:p w:rsidR="00F76958" w:rsidRPr="00A30E43" w:rsidRDefault="00F76958" w:rsidP="00F76958">
      <w:pPr>
        <w:spacing w:line="360" w:lineRule="auto"/>
        <w:rPr>
          <w:sz w:val="20"/>
          <w:szCs w:val="20"/>
        </w:rPr>
      </w:pPr>
      <w:r w:rsidRPr="00A30E43">
        <w:rPr>
          <w:rFonts w:hint="eastAsia"/>
          <w:sz w:val="20"/>
          <w:szCs w:val="20"/>
        </w:rPr>
        <w:t>X</w:t>
      </w:r>
      <w:r w:rsidRPr="00A30E43">
        <w:rPr>
          <w:sz w:val="20"/>
          <w:szCs w:val="20"/>
        </w:rPr>
        <w:t>ia Liu, Ph.D</w:t>
      </w:r>
    </w:p>
    <w:p w:rsidR="00F76958" w:rsidRPr="00A30E43" w:rsidRDefault="00F76958" w:rsidP="00F76958">
      <w:pPr>
        <w:spacing w:line="360" w:lineRule="auto"/>
        <w:rPr>
          <w:sz w:val="20"/>
          <w:szCs w:val="20"/>
          <w:shd w:val="clear" w:color="auto" w:fill="FFFFFF"/>
        </w:rPr>
      </w:pPr>
      <w:r w:rsidRPr="00A30E43">
        <w:rPr>
          <w:sz w:val="20"/>
          <w:szCs w:val="20"/>
        </w:rPr>
        <w:t>Department of Reproductive Medicine, the Affiliated Hospital of Qingdao University, Qingdao 266000,</w:t>
      </w:r>
      <w:r w:rsidRPr="00A30E43">
        <w:rPr>
          <w:sz w:val="20"/>
          <w:szCs w:val="20"/>
          <w:shd w:val="clear" w:color="auto" w:fill="FFFFFF"/>
        </w:rPr>
        <w:t xml:space="preserve"> Shandong, China.</w:t>
      </w:r>
    </w:p>
    <w:p w:rsidR="00F76958" w:rsidRPr="00A30E43" w:rsidRDefault="00F76958" w:rsidP="00F76958">
      <w:pPr>
        <w:spacing w:line="360" w:lineRule="auto"/>
        <w:rPr>
          <w:sz w:val="20"/>
          <w:szCs w:val="20"/>
          <w:vertAlign w:val="superscript"/>
        </w:rPr>
      </w:pPr>
      <w:r w:rsidRPr="00A30E43">
        <w:rPr>
          <w:sz w:val="20"/>
          <w:szCs w:val="20"/>
        </w:rPr>
        <w:t>Email: qdliuxia@yeah.net</w:t>
      </w:r>
    </w:p>
    <w:p w:rsidR="00F76958" w:rsidRDefault="00F76958" w:rsidP="00F76958">
      <w:pPr>
        <w:spacing w:line="360" w:lineRule="auto"/>
        <w:rPr>
          <w:b/>
          <w:sz w:val="20"/>
          <w:szCs w:val="20"/>
        </w:rPr>
      </w:pPr>
    </w:p>
    <w:p w:rsidR="00F76958" w:rsidRDefault="00F76958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CF4CDA" w:rsidRDefault="00CF4CDA" w:rsidP="00F76958">
      <w:pPr>
        <w:spacing w:line="360" w:lineRule="auto"/>
        <w:rPr>
          <w:b/>
          <w:sz w:val="20"/>
          <w:szCs w:val="20"/>
        </w:rPr>
      </w:pPr>
    </w:p>
    <w:p w:rsidR="00F76958" w:rsidRDefault="00F76958" w:rsidP="00F76958">
      <w:pPr>
        <w:spacing w:line="360" w:lineRule="auto"/>
        <w:rPr>
          <w:b/>
          <w:sz w:val="20"/>
          <w:szCs w:val="20"/>
        </w:rPr>
      </w:pPr>
      <w:r w:rsidRPr="004C3617">
        <w:rPr>
          <w:rFonts w:hint="eastAsia"/>
          <w:b/>
          <w:sz w:val="20"/>
          <w:szCs w:val="20"/>
        </w:rPr>
        <w:lastRenderedPageBreak/>
        <w:t>S2</w:t>
      </w:r>
    </w:p>
    <w:p w:rsidR="00F76958" w:rsidRPr="005C6589" w:rsidRDefault="00F76958" w:rsidP="00F76958">
      <w:pPr>
        <w:spacing w:line="360" w:lineRule="auto"/>
        <w:rPr>
          <w:b/>
          <w:sz w:val="20"/>
          <w:szCs w:val="20"/>
        </w:rPr>
      </w:pPr>
      <w:r w:rsidRPr="005C6589">
        <w:rPr>
          <w:b/>
          <w:sz w:val="20"/>
          <w:szCs w:val="20"/>
        </w:rPr>
        <w:t>Multivariable Logistic Regression Models</w:t>
      </w:r>
    </w:p>
    <w:p w:rsidR="00F76958" w:rsidRPr="004C3617" w:rsidRDefault="00F76958" w:rsidP="00F76958">
      <w:pPr>
        <w:spacing w:line="360" w:lineRule="auto"/>
        <w:ind w:firstLineChars="100" w:firstLine="200"/>
        <w:rPr>
          <w:sz w:val="20"/>
          <w:szCs w:val="20"/>
        </w:rPr>
      </w:pPr>
      <w:r w:rsidRPr="004C3617">
        <w:rPr>
          <w:sz w:val="20"/>
          <w:szCs w:val="20"/>
        </w:rPr>
        <w:t>We further conducted logistic regression analysis to evaluate whether the ovarian stimulation protocol was an independent factor associated with the vaginal micro-ecology after COH.</w:t>
      </w:r>
    </w:p>
    <w:p w:rsidR="00F76958" w:rsidRPr="004C3617" w:rsidRDefault="00F76958" w:rsidP="00F76958">
      <w:pPr>
        <w:spacing w:line="360" w:lineRule="auto"/>
        <w:ind w:firstLineChars="100" w:firstLine="200"/>
        <w:rPr>
          <w:sz w:val="20"/>
          <w:szCs w:val="20"/>
        </w:rPr>
      </w:pPr>
      <w:r w:rsidRPr="004C3617">
        <w:rPr>
          <w:sz w:val="20"/>
          <w:szCs w:val="20"/>
        </w:rPr>
        <w:t xml:space="preserve"> The vaginal micro-ecology after COH is taken as dependent variable Y (when NVM, Y is 0; When AVM, Y is 1). Comparing the two groups, it was found thatwere different Statistical significance.</w:t>
      </w:r>
    </w:p>
    <w:p w:rsidR="00F76958" w:rsidRPr="004C3617" w:rsidRDefault="00F76958" w:rsidP="00F76958">
      <w:pPr>
        <w:spacing w:line="360" w:lineRule="auto"/>
        <w:rPr>
          <w:sz w:val="20"/>
          <w:szCs w:val="20"/>
        </w:rPr>
      </w:pPr>
      <w:r w:rsidRPr="004C3617">
        <w:rPr>
          <w:sz w:val="20"/>
          <w:szCs w:val="20"/>
        </w:rPr>
        <w:t>The meaningful variables of single factor analysis were used as independent variables, including the number of years of infertility (t=2.066, P=0.041), the number of oocytes retrieved (t=-2/864, P=0.005), and vaginal micro-ecology for swab 1 (χ2=25.737, P&lt;0.01). The multivariable logistic regression analysis was carried out. The results suggest that the influencing factor is the vaginal micro-ecology before COH.</w:t>
      </w:r>
    </w:p>
    <w:p w:rsidR="00F76958" w:rsidRPr="004C3617" w:rsidRDefault="00F76958" w:rsidP="00F76958">
      <w:pPr>
        <w:spacing w:line="360" w:lineRule="auto"/>
        <w:jc w:val="center"/>
        <w:rPr>
          <w:sz w:val="20"/>
          <w:szCs w:val="20"/>
        </w:rPr>
      </w:pPr>
      <w:r w:rsidRPr="004C3617">
        <w:rPr>
          <w:color w:val="000000"/>
          <w:sz w:val="20"/>
          <w:szCs w:val="20"/>
        </w:rPr>
        <w:t xml:space="preserve">Logistic Regression Model of </w:t>
      </w:r>
      <w:r w:rsidRPr="004C3617">
        <w:rPr>
          <w:sz w:val="20"/>
          <w:szCs w:val="20"/>
        </w:rPr>
        <w:t>vaginal micro-ecology after COH</w:t>
      </w: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2267"/>
        <w:gridCol w:w="1419"/>
        <w:gridCol w:w="992"/>
        <w:gridCol w:w="425"/>
        <w:gridCol w:w="851"/>
        <w:gridCol w:w="709"/>
        <w:gridCol w:w="849"/>
        <w:gridCol w:w="794"/>
      </w:tblGrid>
      <w:tr w:rsidR="00F76958" w:rsidRPr="004C3617" w:rsidTr="009E5D47">
        <w:trPr>
          <w:trHeight w:val="285"/>
        </w:trPr>
        <w:tc>
          <w:tcPr>
            <w:tcW w:w="5000" w:type="pct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F76958" w:rsidRPr="004C3617" w:rsidTr="009E5D47">
        <w:trPr>
          <w:trHeight w:val="345"/>
        </w:trPr>
        <w:tc>
          <w:tcPr>
            <w:tcW w:w="1365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854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kern w:val="0"/>
                <w:sz w:val="20"/>
                <w:szCs w:val="20"/>
              </w:rPr>
              <w:t>β±S</w:t>
            </w:r>
          </w:p>
        </w:tc>
        <w:tc>
          <w:tcPr>
            <w:tcW w:w="597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kern w:val="0"/>
                <w:sz w:val="20"/>
                <w:szCs w:val="20"/>
              </w:rPr>
              <w:t>Waldχ</w:t>
            </w:r>
            <w:r w:rsidRPr="004C3617">
              <w:rPr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56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kern w:val="0"/>
                <w:sz w:val="20"/>
                <w:szCs w:val="20"/>
              </w:rPr>
              <w:t>df</w:t>
            </w:r>
          </w:p>
        </w:tc>
        <w:tc>
          <w:tcPr>
            <w:tcW w:w="512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i/>
                <w:kern w:val="0"/>
                <w:sz w:val="20"/>
                <w:szCs w:val="20"/>
              </w:rPr>
            </w:pPr>
            <w:r w:rsidRPr="004C3617">
              <w:rPr>
                <w:i/>
                <w:kern w:val="0"/>
                <w:sz w:val="20"/>
                <w:szCs w:val="20"/>
              </w:rPr>
              <w:t>P</w:t>
            </w:r>
          </w:p>
        </w:tc>
        <w:tc>
          <w:tcPr>
            <w:tcW w:w="427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kern w:val="0"/>
                <w:sz w:val="20"/>
                <w:szCs w:val="20"/>
              </w:rPr>
              <w:t>OR</w:t>
            </w:r>
          </w:p>
        </w:tc>
        <w:tc>
          <w:tcPr>
            <w:tcW w:w="989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kern w:val="0"/>
                <w:sz w:val="20"/>
                <w:szCs w:val="20"/>
              </w:rPr>
              <w:t>OR 95% CI</w:t>
            </w:r>
          </w:p>
        </w:tc>
      </w:tr>
      <w:tr w:rsidR="00F76958" w:rsidRPr="004C3617" w:rsidTr="009E5D47">
        <w:trPr>
          <w:trHeight w:val="330"/>
        </w:trPr>
        <w:tc>
          <w:tcPr>
            <w:tcW w:w="13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F76958" w:rsidRPr="004C3617" w:rsidRDefault="00F76958" w:rsidP="009E5D47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854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F76958" w:rsidRPr="004C3617" w:rsidRDefault="00F76958" w:rsidP="009E5D4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97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F76958" w:rsidRPr="004C3617" w:rsidRDefault="00F76958" w:rsidP="009E5D4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56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F76958" w:rsidRPr="004C3617" w:rsidRDefault="00F76958" w:rsidP="009E5D4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12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F76958" w:rsidRPr="004C3617" w:rsidRDefault="00F76958" w:rsidP="009E5D4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27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F76958" w:rsidRPr="004C3617" w:rsidRDefault="00F76958" w:rsidP="009E5D4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kern w:val="0"/>
                <w:sz w:val="20"/>
                <w:szCs w:val="20"/>
              </w:rPr>
              <w:t>Lower</w:t>
            </w:r>
          </w:p>
        </w:tc>
        <w:tc>
          <w:tcPr>
            <w:tcW w:w="47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kern w:val="0"/>
                <w:sz w:val="20"/>
                <w:szCs w:val="20"/>
              </w:rPr>
              <w:t>Upper</w:t>
            </w:r>
          </w:p>
        </w:tc>
      </w:tr>
      <w:tr w:rsidR="00F76958" w:rsidRPr="004C3617" w:rsidTr="009E5D47">
        <w:trPr>
          <w:trHeight w:val="315"/>
        </w:trPr>
        <w:tc>
          <w:tcPr>
            <w:tcW w:w="1365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C3617">
              <w:rPr>
                <w:sz w:val="20"/>
                <w:szCs w:val="20"/>
                <w:shd w:val="clear" w:color="auto" w:fill="FCFCFC"/>
              </w:rPr>
              <w:t>Duration of infertility</w:t>
            </w:r>
          </w:p>
        </w:tc>
        <w:tc>
          <w:tcPr>
            <w:tcW w:w="854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-0.023</w:t>
            </w:r>
            <w:r w:rsidRPr="004C3617">
              <w:rPr>
                <w:kern w:val="0"/>
                <w:sz w:val="20"/>
                <w:szCs w:val="20"/>
              </w:rPr>
              <w:t>±</w:t>
            </w:r>
            <w:r w:rsidRPr="004C3617">
              <w:rPr>
                <w:rFonts w:hint="eastAsia"/>
                <w:kern w:val="0"/>
                <w:sz w:val="20"/>
                <w:szCs w:val="20"/>
              </w:rPr>
              <w:t>0.071</w:t>
            </w:r>
          </w:p>
        </w:tc>
        <w:tc>
          <w:tcPr>
            <w:tcW w:w="597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0.101</w:t>
            </w:r>
          </w:p>
        </w:tc>
        <w:tc>
          <w:tcPr>
            <w:tcW w:w="256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0.751</w:t>
            </w:r>
          </w:p>
        </w:tc>
        <w:tc>
          <w:tcPr>
            <w:tcW w:w="427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0.978</w:t>
            </w:r>
          </w:p>
        </w:tc>
        <w:tc>
          <w:tcPr>
            <w:tcW w:w="51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0.850</w:t>
            </w:r>
          </w:p>
        </w:tc>
        <w:tc>
          <w:tcPr>
            <w:tcW w:w="478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1.124</w:t>
            </w:r>
          </w:p>
        </w:tc>
      </w:tr>
      <w:tr w:rsidR="00F76958" w:rsidRPr="004C3617" w:rsidTr="009E5D47">
        <w:trPr>
          <w:trHeight w:val="300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Number of oocytes retrieved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-0.045</w:t>
            </w:r>
            <w:r w:rsidRPr="004C3617">
              <w:rPr>
                <w:kern w:val="0"/>
                <w:sz w:val="20"/>
                <w:szCs w:val="20"/>
              </w:rPr>
              <w:t>±</w:t>
            </w:r>
            <w:r w:rsidRPr="004C3617">
              <w:rPr>
                <w:rFonts w:hint="eastAsia"/>
                <w:kern w:val="0"/>
                <w:sz w:val="20"/>
                <w:szCs w:val="20"/>
              </w:rPr>
              <w:t>0.071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0.396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0.529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0.956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0.832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1.099</w:t>
            </w:r>
          </w:p>
        </w:tc>
      </w:tr>
      <w:tr w:rsidR="00F76958" w:rsidRPr="004C3617" w:rsidTr="009E5D47">
        <w:trPr>
          <w:trHeight w:val="300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VM before COH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2.295</w:t>
            </w:r>
            <w:r w:rsidRPr="004C3617">
              <w:rPr>
                <w:kern w:val="0"/>
                <w:sz w:val="20"/>
                <w:szCs w:val="20"/>
              </w:rPr>
              <w:t>±</w:t>
            </w:r>
            <w:r w:rsidRPr="004C3617">
              <w:rPr>
                <w:rFonts w:hint="eastAsia"/>
                <w:kern w:val="0"/>
                <w:sz w:val="20"/>
                <w:szCs w:val="20"/>
              </w:rPr>
              <w:t>0.514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19.917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9.925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3.622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27.194</w:t>
            </w:r>
          </w:p>
        </w:tc>
      </w:tr>
      <w:tr w:rsidR="00F76958" w:rsidRPr="004C3617" w:rsidTr="009E5D47">
        <w:trPr>
          <w:trHeight w:val="300"/>
        </w:trPr>
        <w:tc>
          <w:tcPr>
            <w:tcW w:w="13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8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-0.451</w:t>
            </w:r>
            <w:r w:rsidRPr="004C3617">
              <w:rPr>
                <w:kern w:val="0"/>
                <w:sz w:val="20"/>
                <w:szCs w:val="20"/>
              </w:rPr>
              <w:t>±</w:t>
            </w:r>
            <w:r w:rsidRPr="004C3617">
              <w:rPr>
                <w:rFonts w:hint="eastAsia"/>
                <w:kern w:val="0"/>
                <w:sz w:val="20"/>
                <w:szCs w:val="20"/>
              </w:rPr>
              <w:t>0.666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0.459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0.498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C3617">
              <w:rPr>
                <w:rFonts w:hint="eastAsia"/>
                <w:kern w:val="0"/>
                <w:sz w:val="20"/>
                <w:szCs w:val="20"/>
              </w:rPr>
              <w:t>0.637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F76958" w:rsidRPr="004C3617" w:rsidRDefault="00F76958" w:rsidP="009E5D47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</w:tbl>
    <w:p w:rsidR="00F76958" w:rsidRPr="004C3617" w:rsidRDefault="00F76958" w:rsidP="00F76958">
      <w:pPr>
        <w:rPr>
          <w:sz w:val="20"/>
          <w:szCs w:val="20"/>
        </w:rPr>
      </w:pPr>
    </w:p>
    <w:p w:rsidR="00587A1B" w:rsidRDefault="00587A1B"/>
    <w:sectPr w:rsidR="00587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5D29" w:rsidRDefault="003B5D29" w:rsidP="00CF4CDA">
      <w:r>
        <w:separator/>
      </w:r>
    </w:p>
  </w:endnote>
  <w:endnote w:type="continuationSeparator" w:id="0">
    <w:p w:rsidR="003B5D29" w:rsidRDefault="003B5D29" w:rsidP="00CF4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5D29" w:rsidRDefault="003B5D29" w:rsidP="00CF4CDA">
      <w:r>
        <w:separator/>
      </w:r>
    </w:p>
  </w:footnote>
  <w:footnote w:type="continuationSeparator" w:id="0">
    <w:p w:rsidR="003B5D29" w:rsidRDefault="003B5D29" w:rsidP="00CF4C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958"/>
    <w:rsid w:val="003B5D29"/>
    <w:rsid w:val="0046174D"/>
    <w:rsid w:val="00587A1B"/>
    <w:rsid w:val="00865F6C"/>
    <w:rsid w:val="00CF4CDA"/>
    <w:rsid w:val="00F7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F3C793"/>
  <w15:chartTrackingRefBased/>
  <w15:docId w15:val="{7D21AC04-2156-4B58-982C-EB8CE2703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95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4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4CD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4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4C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278</Words>
  <Characters>1585</Characters>
  <Application>Microsoft Office Word</Application>
  <DocSecurity>0</DocSecurity>
  <Lines>13</Lines>
  <Paragraphs>3</Paragraphs>
  <ScaleCrop>false</ScaleCrop>
  <Company>Lenovo</Company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Biao Biao3 Qiao</dc:creator>
  <cp:keywords/>
  <dc:description/>
  <cp:lastModifiedBy>Biao Biao3 Qiao</cp:lastModifiedBy>
  <cp:revision>3</cp:revision>
  <dcterms:created xsi:type="dcterms:W3CDTF">2020-11-20T09:50:00Z</dcterms:created>
  <dcterms:modified xsi:type="dcterms:W3CDTF">2021-02-01T09:12:00Z</dcterms:modified>
</cp:coreProperties>
</file>