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conformance="strict">
  <w:body>
    <w:p w14:paraId="69FBE17E" w14:textId="77777777" w:rsidR="00EA01CC" w:rsidRDefault="00EA01CC" w:rsidP="00EA01CC">
      <w:pPr>
        <w:rPr>
          <w:b/>
        </w:rPr>
      </w:pPr>
      <w:r>
        <w:rPr>
          <w:b/>
        </w:rPr>
        <w:t>Figure S1: Silencing of IRE1 but not XBP1 downregulates IRF4</w:t>
      </w:r>
    </w:p>
    <w:p w14:paraId="7F067D8E" w14:textId="77777777" w:rsidR="00EA01CC" w:rsidRDefault="00EA01CC" w:rsidP="00EA01CC">
      <w:pPr>
        <w:ind w:start="36pt" w:hanging="18pt"/>
      </w:pPr>
      <w:r>
        <w:rPr>
          <w:b/>
        </w:rPr>
        <w:t>(A)</w:t>
      </w:r>
      <w:r>
        <w:rPr>
          <w:rFonts w:ascii="Times New Roman" w:eastAsia="Times New Roman" w:hAnsi="Times New Roman" w:cs="Times New Roman"/>
          <w:sz w:val="14"/>
          <w:szCs w:val="14"/>
        </w:rPr>
        <w:t xml:space="preserve">  </w:t>
      </w:r>
      <w:r>
        <w:t xml:space="preserve">IRE1 but not XBP1 silencing affects </w:t>
      </w:r>
      <w:r>
        <w:rPr>
          <w:i/>
        </w:rPr>
        <w:t>IRF4</w:t>
      </w:r>
      <w:r>
        <w:t xml:space="preserve"> mRNA abundance in L363 cells. L363 shIRE1 Cl.C or L363 shIRE1 Cl.D vs L363 shXBP1 Cl.N cells were treated with Dox (0.2 ug/mL) for the indicated time and analyzed by RT-qPCR for levels of </w:t>
      </w:r>
      <w:r>
        <w:rPr>
          <w:i/>
        </w:rPr>
        <w:t>ERN1</w:t>
      </w:r>
      <w:r>
        <w:t xml:space="preserve">, </w:t>
      </w:r>
      <w:r>
        <w:rPr>
          <w:i/>
        </w:rPr>
        <w:t>IRF4</w:t>
      </w:r>
      <w:r>
        <w:t xml:space="preserve"> and </w:t>
      </w:r>
      <w:r>
        <w:rPr>
          <w:i/>
        </w:rPr>
        <w:t>XBP1s</w:t>
      </w:r>
      <w:r>
        <w:t>. Data represented as mean ± SEM.</w:t>
      </w:r>
    </w:p>
    <w:p w14:paraId="370BA82C" w14:textId="77777777" w:rsidR="00EA01CC" w:rsidRDefault="00EA01CC" w:rsidP="00EA01CC">
      <w:pPr>
        <w:ind w:start="36pt" w:hanging="18pt"/>
      </w:pPr>
      <w:r>
        <w:rPr>
          <w:b/>
        </w:rPr>
        <w:t>(B)</w:t>
      </w:r>
      <w:r>
        <w:rPr>
          <w:rFonts w:ascii="Times New Roman" w:eastAsia="Times New Roman" w:hAnsi="Times New Roman" w:cs="Times New Roman"/>
          <w:sz w:val="14"/>
          <w:szCs w:val="14"/>
        </w:rPr>
        <w:t xml:space="preserve">   </w:t>
      </w:r>
      <w:r>
        <w:t>IRE1 but not XBP1 silencing affects IRF4 protein abundance in L363 cells. Samples from (A) were analyzed by IB for IRF4 protein levels.</w:t>
      </w:r>
    </w:p>
    <w:p w14:paraId="553F75ED" w14:textId="77777777" w:rsidR="00EA01CC" w:rsidRPr="00556B1B" w:rsidRDefault="00EA01CC" w:rsidP="00EA01CC">
      <w:pPr>
        <w:ind w:start="36pt" w:hanging="36pt"/>
      </w:pPr>
      <w:r>
        <w:rPr>
          <w:b/>
        </w:rPr>
        <w:t>(C),(D)</w:t>
      </w:r>
      <w:r>
        <w:rPr>
          <w:rFonts w:ascii="Times New Roman" w:eastAsia="Times New Roman" w:hAnsi="Times New Roman" w:cs="Times New Roman"/>
          <w:sz w:val="14"/>
          <w:szCs w:val="14"/>
        </w:rPr>
        <w:t xml:space="preserve">  </w:t>
      </w:r>
      <w:r>
        <w:t>Validation of IRE1 inhibition based on XBP1s and RIDD</w:t>
      </w:r>
      <w:r>
        <w:rPr>
          <w:strike/>
        </w:rPr>
        <w:t xml:space="preserve"> </w:t>
      </w:r>
      <w:r>
        <w:t xml:space="preserve">target mRNA. Samples from </w:t>
      </w:r>
      <w:r>
        <w:rPr>
          <w:b/>
        </w:rPr>
        <w:t>Fig. 1G-J</w:t>
      </w:r>
      <w:r>
        <w:t xml:space="preserve"> were analyzed by RT-qPCR for </w:t>
      </w:r>
      <w:r>
        <w:rPr>
          <w:i/>
        </w:rPr>
        <w:t xml:space="preserve">XBP1s, DGAT2 </w:t>
      </w:r>
      <w:r>
        <w:t xml:space="preserve">and </w:t>
      </w:r>
      <w:r>
        <w:rPr>
          <w:i/>
        </w:rPr>
        <w:t xml:space="preserve">CD59 </w:t>
      </w:r>
      <w:r>
        <w:t>(RIDD targets). Data represented as mean ± SEM.</w:t>
      </w:r>
    </w:p>
    <w:p w14:paraId="635A9D03" w14:textId="77777777" w:rsidR="00EA01CC" w:rsidRDefault="00EA01CC" w:rsidP="00EA01CC">
      <w:pPr>
        <w:rPr>
          <w:b/>
        </w:rPr>
      </w:pPr>
      <w:r>
        <w:rPr>
          <w:b/>
        </w:rPr>
        <w:t>Figure S2: IRE1 silencing attenuates IRF4 transcription</w:t>
      </w:r>
    </w:p>
    <w:p w14:paraId="26465A6D" w14:textId="77777777" w:rsidR="00EA01CC" w:rsidRDefault="00EA01CC" w:rsidP="00EA01CC">
      <w:pPr>
        <w:ind w:start="36pt" w:hanging="18pt"/>
      </w:pPr>
      <w:r>
        <w:rPr>
          <w:b/>
        </w:rPr>
        <w:t>(A)</w:t>
      </w:r>
      <w:r>
        <w:rPr>
          <w:rFonts w:ascii="Times New Roman" w:eastAsia="Times New Roman" w:hAnsi="Times New Roman" w:cs="Times New Roman"/>
          <w:sz w:val="14"/>
          <w:szCs w:val="14"/>
        </w:rPr>
        <w:t xml:space="preserve">  </w:t>
      </w:r>
      <w:r>
        <w:t xml:space="preserve">Effect of IRE1 silencing on </w:t>
      </w:r>
      <w:r>
        <w:rPr>
          <w:i/>
        </w:rPr>
        <w:t>IRF4</w:t>
      </w:r>
      <w:r>
        <w:t xml:space="preserve"> mRNA stability. AMO1 shIRE1 Cl.1 or AMO1 shXBP1 Cl.1 cells were pre-treated with or without 0.2 ug/mL Dox for 48 h and then 1 ug/mL Actinomycin D (ActD) was added for 3 h or 6 h. Samples were analyzed by RT-qPCR for </w:t>
      </w:r>
      <w:r>
        <w:rPr>
          <w:i/>
        </w:rPr>
        <w:t>ERN1</w:t>
      </w:r>
      <w:r>
        <w:t xml:space="preserve">, </w:t>
      </w:r>
      <w:r>
        <w:rPr>
          <w:i/>
        </w:rPr>
        <w:t>IRF4</w:t>
      </w:r>
      <w:r>
        <w:t xml:space="preserve"> and </w:t>
      </w:r>
      <w:r>
        <w:rPr>
          <w:i/>
        </w:rPr>
        <w:t>XBP1s</w:t>
      </w:r>
      <w:r>
        <w:t>. Data represented as mean ± SEM.</w:t>
      </w:r>
    </w:p>
    <w:p w14:paraId="7407D55F" w14:textId="77777777" w:rsidR="00EA01CC" w:rsidRDefault="00EA01CC" w:rsidP="00EA01CC">
      <w:pPr>
        <w:ind w:start="36pt" w:hanging="18pt"/>
      </w:pPr>
      <w:r>
        <w:rPr>
          <w:b/>
        </w:rPr>
        <w:t>(B)</w:t>
      </w:r>
      <w:r>
        <w:rPr>
          <w:rFonts w:ascii="Times New Roman" w:eastAsia="Times New Roman" w:hAnsi="Times New Roman" w:cs="Times New Roman"/>
          <w:sz w:val="14"/>
          <w:szCs w:val="14"/>
        </w:rPr>
        <w:t xml:space="preserve">  </w:t>
      </w:r>
      <w:r>
        <w:t>IRE1 silencing attenuates Myc protein levels in KMS27. KMS27 shIRE1 cells underwent a Dox (0.2 ug/mL) time course and were analyzed by IB for IRF4 and Myc.</w:t>
      </w:r>
    </w:p>
    <w:p w14:paraId="6B918C2E" w14:textId="77777777" w:rsidR="00EA01CC" w:rsidRDefault="00EA01CC" w:rsidP="00EA01CC">
      <w:pPr>
        <w:ind w:start="36pt" w:hanging="18pt"/>
      </w:pPr>
      <w:r>
        <w:rPr>
          <w:b/>
        </w:rPr>
        <w:t>(C)</w:t>
      </w:r>
      <w:r>
        <w:rPr>
          <w:rFonts w:ascii="Times New Roman" w:eastAsia="Times New Roman" w:hAnsi="Times New Roman" w:cs="Times New Roman"/>
          <w:sz w:val="14"/>
          <w:szCs w:val="14"/>
        </w:rPr>
        <w:t xml:space="preserve">  </w:t>
      </w:r>
      <w:r>
        <w:t xml:space="preserve">Validation of MYC protein depletion by shMYC silencing. AMO1 samples from </w:t>
      </w:r>
      <w:r>
        <w:rPr>
          <w:b/>
        </w:rPr>
        <w:t xml:space="preserve">Fig. 2E </w:t>
      </w:r>
      <w:r>
        <w:t>were analyzed by IB for MYC, IRE1 and IRF4. GAPDH used as a loading control.</w:t>
      </w:r>
    </w:p>
    <w:p w14:paraId="49BBA57D" w14:textId="77777777" w:rsidR="00EA01CC" w:rsidRDefault="00EA01CC" w:rsidP="00EA01CC">
      <w:pPr>
        <w:ind w:start="36pt" w:hanging="18pt"/>
      </w:pPr>
      <w:r>
        <w:rPr>
          <w:b/>
        </w:rPr>
        <w:lastRenderedPageBreak/>
        <w:t>(D)</w:t>
      </w:r>
      <w:r>
        <w:rPr>
          <w:rFonts w:ascii="Times New Roman" w:eastAsia="Times New Roman" w:hAnsi="Times New Roman" w:cs="Times New Roman"/>
          <w:sz w:val="14"/>
          <w:szCs w:val="14"/>
        </w:rPr>
        <w:t xml:space="preserve">  </w:t>
      </w:r>
      <w:r>
        <w:t xml:space="preserve">IRF4 protein stability is reduced by XBP1 silencing. AMO1 shXBP1 Cl.1 cells were pre-treated in the absence or presence of 0.2 ug/mL Dox for 4 h or 16 h, in parallel to the samples from </w:t>
      </w:r>
      <w:r>
        <w:rPr>
          <w:b/>
        </w:rPr>
        <w:t>Fig. 2F</w:t>
      </w:r>
      <w:r>
        <w:t>. Then, DMSO or 100 nM CHX was added in the culture for 30 min, 3 h, 6 h or 9 h. Samples were analyzed by IB for XBP1s and IRF4. Top: IB, Bottom: IRF4 band-densitometry. Representative experiment out of at least 3 independent replicates.</w:t>
      </w:r>
    </w:p>
    <w:p w14:paraId="3EC89217" w14:textId="77777777" w:rsidR="00EA01CC" w:rsidRDefault="00EA01CC" w:rsidP="00EA01CC">
      <w:pPr>
        <w:ind w:start="36pt" w:hanging="18pt"/>
      </w:pPr>
      <w:r>
        <w:rPr>
          <w:b/>
        </w:rPr>
        <w:t>(E)</w:t>
      </w:r>
      <w:r>
        <w:rPr>
          <w:rFonts w:ascii="Times New Roman" w:eastAsia="Times New Roman" w:hAnsi="Times New Roman" w:cs="Times New Roman"/>
          <w:sz w:val="14"/>
          <w:szCs w:val="14"/>
        </w:rPr>
        <w:t xml:space="preserve">  </w:t>
      </w:r>
      <w:r>
        <w:t>Ubiquitin-ligase inhibition does not rescue IRF4 levels upon IRE1 silencing. AMO1 shIRE1 Cl.1 cells were cultured in the absence or presence of 0.2 ug/mL Dox for 24 h and then treated with a titration of E1+UBA3i for 6 h. Samples were analyzed by IB for IRF4. Ubiquitin IB was used to validate ubiquitin ligase inhibition.</w:t>
      </w:r>
    </w:p>
    <w:p w14:paraId="2F99427D" w14:textId="77777777" w:rsidR="00EA01CC" w:rsidRDefault="00EA01CC" w:rsidP="00EA01CC">
      <w:pPr>
        <w:ind w:start="36pt" w:hanging="18pt"/>
      </w:pPr>
      <w:r>
        <w:rPr>
          <w:b/>
        </w:rPr>
        <w:t>(F)</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color w:val="000000"/>
        </w:rPr>
        <w:t xml:space="preserve">Substitution of S114 and S270 by alanine increases IRF4’s chromatin-binding activity. Samples from </w:t>
      </w:r>
      <w:r>
        <w:rPr>
          <w:b/>
          <w:color w:val="000000"/>
        </w:rPr>
        <w:t>Fig. 2I</w:t>
      </w:r>
      <w:r>
        <w:rPr>
          <w:color w:val="000000"/>
        </w:rPr>
        <w:t xml:space="preserve"> were analyzed by IB as in </w:t>
      </w:r>
      <w:r>
        <w:rPr>
          <w:b/>
          <w:color w:val="000000"/>
        </w:rPr>
        <w:t>Fig. 2G</w:t>
      </w:r>
      <w:r>
        <w:rPr>
          <w:color w:val="000000"/>
        </w:rPr>
        <w:t xml:space="preserve">: C – cytoplasmic, M – Membrane, SN – Soluble Nuclear, CN – Chromatin-bound Nuclear and were analyzed by IB for IRF4 before this was quantified for </w:t>
      </w:r>
      <w:r>
        <w:rPr>
          <w:b/>
          <w:color w:val="000000"/>
        </w:rPr>
        <w:t>Fig. 2I</w:t>
      </w:r>
      <w:r>
        <w:rPr>
          <w:color w:val="000000"/>
        </w:rPr>
        <w:t>.</w:t>
      </w:r>
    </w:p>
    <w:p w14:paraId="192B426D" w14:textId="77777777" w:rsidR="00EA01CC" w:rsidRDefault="00EA01CC" w:rsidP="00EA01CC">
      <w:r>
        <w:rPr>
          <w:b/>
        </w:rPr>
        <w:t>Figure S3: IRF4 silencing recapitulates the anti-proliferative effect of IRE1 knockdown</w:t>
      </w:r>
    </w:p>
    <w:p w14:paraId="2BA00566" w14:textId="77777777" w:rsidR="00EA01CC" w:rsidRDefault="00EA01CC" w:rsidP="00EA01CC">
      <w:pPr>
        <w:ind w:start="36pt" w:hanging="18pt"/>
      </w:pPr>
      <w:r>
        <w:rPr>
          <w:b/>
        </w:rPr>
        <w:t>(A)</w:t>
      </w:r>
      <w:r>
        <w:rPr>
          <w:rFonts w:ascii="Times New Roman" w:eastAsia="Times New Roman" w:hAnsi="Times New Roman" w:cs="Times New Roman"/>
          <w:sz w:val="14"/>
          <w:szCs w:val="14"/>
        </w:rPr>
        <w:t xml:space="preserve">  </w:t>
      </w:r>
      <w:r>
        <w:t>Validation of IRF4 depletion by IRF4 silencing. AMO1 shIRE1 Cl.1 or shIRF4 Cl.1 (left) and KMS27 shNTC, shIRE1 or shIRF4 cells were treated with Dox (0.2 ug/mL) for the indicated time. Samples were analyzed by RT-qPCR and IB for IRE1 and IRF4.</w:t>
      </w:r>
    </w:p>
    <w:p w14:paraId="34FBDD91" w14:textId="77777777" w:rsidR="00EA01CC" w:rsidRDefault="00EA01CC" w:rsidP="00EA01CC">
      <w:pPr>
        <w:ind w:start="36pt" w:hanging="18pt"/>
      </w:pPr>
      <w:r>
        <w:rPr>
          <w:b/>
        </w:rPr>
        <w:t>(B)</w:t>
      </w:r>
      <w:r>
        <w:rPr>
          <w:rFonts w:ascii="Times New Roman" w:eastAsia="Times New Roman" w:hAnsi="Times New Roman" w:cs="Times New Roman"/>
          <w:sz w:val="14"/>
          <w:szCs w:val="14"/>
        </w:rPr>
        <w:t xml:space="preserve">  </w:t>
      </w:r>
      <w:r>
        <w:t>IRE1 or IRF4 but not XBP1 silencing induces cell death markers. AMO1 shIRE1 Cl.1 or shIRF4 Cl.1 vs AMO1 shXBP1 Cl.1 cells were treated in the absence or presence of Dox (0.2 ug/mL) for up to 72 h and post-nuclear lysates were analyzed by IB for Lamin A/C and PARP1 cleavage as well as Histones.</w:t>
      </w:r>
    </w:p>
    <w:p w14:paraId="3D6FD067" w14:textId="77777777" w:rsidR="00EA01CC" w:rsidRDefault="00EA01CC" w:rsidP="00EA01CC">
      <w:pPr>
        <w:ind w:start="36pt" w:hanging="18pt"/>
      </w:pPr>
      <w:r>
        <w:rPr>
          <w:b/>
        </w:rPr>
        <w:lastRenderedPageBreak/>
        <w:t>(C)</w:t>
      </w:r>
      <w:r>
        <w:rPr>
          <w:rFonts w:ascii="Times New Roman" w:eastAsia="Times New Roman" w:hAnsi="Times New Roman" w:cs="Times New Roman"/>
          <w:sz w:val="14"/>
          <w:szCs w:val="14"/>
        </w:rPr>
        <w:t xml:space="preserve">  </w:t>
      </w:r>
      <w:r>
        <w:t>Effect of IRE1 or IRF4 silencing on caspase activation. AMO1 shIRE1 Cl.1 or shIRF4 Cl.1 vs cells treated in the absence (filled bars) or presence of Dox (0.2 ug/mL) for 72 h were analyzed for caspase activity by Caspase-Glo assays.</w:t>
      </w:r>
    </w:p>
    <w:p w14:paraId="059AD943" w14:textId="77777777" w:rsidR="00EA01CC" w:rsidRDefault="00EA01CC" w:rsidP="00EA01CC">
      <w:pPr>
        <w:ind w:start="36pt" w:hanging="18pt"/>
      </w:pPr>
      <w:r>
        <w:rPr>
          <w:b/>
        </w:rPr>
        <w:t>(D)</w:t>
      </w:r>
      <w:r>
        <w:rPr>
          <w:rFonts w:ascii="Times New Roman" w:eastAsia="Times New Roman" w:hAnsi="Times New Roman" w:cs="Times New Roman"/>
          <w:sz w:val="14"/>
          <w:szCs w:val="14"/>
        </w:rPr>
        <w:t xml:space="preserve">  </w:t>
      </w:r>
      <w:r>
        <w:t>IRE1 or IRF4 silencing induce apoptosis in a similar timeframe, past 24 h. AMO1 shIRE1 Cl.1 or shIRF4 Cl.1 cells were treated with Dox (0.2 ug/mL) for the indicated times. Cells were then stained with FITC-Annexin V and PI and analyzed by flow cytometry for early apoptotic (FITC+ PI-), late apoptotic (FITC+ PI+) and necrotic (FITC- PI+) cells. Representative experiment of 2 independent replicates.</w:t>
      </w:r>
    </w:p>
    <w:p w14:paraId="208D8AA7" w14:textId="77777777" w:rsidR="00EA01CC" w:rsidRDefault="00EA01CC" w:rsidP="00EA01CC">
      <w:pPr>
        <w:ind w:start="36pt" w:hanging="18pt"/>
      </w:pPr>
      <w:r>
        <w:rPr>
          <w:b/>
        </w:rPr>
        <w:t>(E)</w:t>
      </w:r>
      <w:r>
        <w:rPr>
          <w:rFonts w:ascii="Times New Roman" w:eastAsia="Times New Roman" w:hAnsi="Times New Roman" w:cs="Times New Roman"/>
          <w:sz w:val="14"/>
          <w:szCs w:val="14"/>
        </w:rPr>
        <w:t xml:space="preserve">   </w:t>
      </w:r>
      <w:r>
        <w:t>Q-VD sufficiently blocks caspase cleavage during IRE1/IRF4 silencing. AMO1 shIRE1 Cl.1 or shIRF4 Cl.1 cells were treated with Dox (0.2 ug/mL) for 72 h in the absence or presence of the pan-caspase inhibitor Q-VD (50 uM). Samples were analyzed by IB for caspase and PARP1 cleavage.</w:t>
      </w:r>
    </w:p>
    <w:p w14:paraId="710CDBB1" w14:textId="77777777" w:rsidR="00EA01CC" w:rsidRDefault="00EA01CC" w:rsidP="00EA01CC">
      <w:pPr>
        <w:ind w:start="36pt" w:hanging="18pt"/>
      </w:pPr>
      <w:r>
        <w:rPr>
          <w:b/>
        </w:rPr>
        <w:t>(F)</w:t>
      </w:r>
      <w:r>
        <w:rPr>
          <w:rFonts w:ascii="Times New Roman" w:eastAsia="Times New Roman" w:hAnsi="Times New Roman" w:cs="Times New Roman"/>
          <w:b/>
          <w:sz w:val="14"/>
          <w:szCs w:val="14"/>
        </w:rPr>
        <w:t xml:space="preserve">   </w:t>
      </w:r>
      <w:r>
        <w:t>Q-VD sufficiently rescues viability of IRE1 or IRF4 deficient cells. Cells treated as in (E) were analyzed for plasma</w:t>
      </w:r>
      <w:r>
        <w:rPr>
          <w:strike/>
        </w:rPr>
        <w:t xml:space="preserve"> </w:t>
      </w:r>
      <w:r>
        <w:t>membrane integrity/viability by trypan-blue staining and quantified in a Vi-Cell machine.</w:t>
      </w:r>
    </w:p>
    <w:p w14:paraId="155509E4" w14:textId="77777777" w:rsidR="00EA01CC" w:rsidRDefault="00EA01CC" w:rsidP="00EA01CC">
      <w:pPr>
        <w:ind w:start="36pt" w:hanging="18pt"/>
      </w:pPr>
      <w:r>
        <w:rPr>
          <w:b/>
        </w:rPr>
        <w:t>(G)</w:t>
      </w:r>
      <w:r>
        <w:rPr>
          <w:rFonts w:ascii="Times New Roman" w:eastAsia="Times New Roman" w:hAnsi="Times New Roman" w:cs="Times New Roman"/>
          <w:sz w:val="14"/>
          <w:szCs w:val="14"/>
        </w:rPr>
        <w:t xml:space="preserve">  </w:t>
      </w:r>
      <w:r>
        <w:t xml:space="preserve">Q-VD does not rescue </w:t>
      </w:r>
      <w:r>
        <w:rPr>
          <w:i/>
        </w:rPr>
        <w:t>in vitro</w:t>
      </w:r>
      <w:r>
        <w:t xml:space="preserve"> spheroid growth of IRF4 or IRE1 deficient cells. AMO1 shIRE1 Cl.1 or shIRF4 Cl.1 cells were cultured in the absence (filled shape) or presence (open shape) of Dox (0.2 ug/mL) with or without Q-VD (50 uM) and spheroid cell growth, depicted as % confluence, was monitored by time-lapse microscopy in an Incucyte instrument.</w:t>
      </w:r>
    </w:p>
    <w:p w14:paraId="7A693B94" w14:textId="77777777" w:rsidR="00EA01CC" w:rsidRDefault="00EA01CC" w:rsidP="00EA01CC">
      <w:pPr>
        <w:ind w:start="36pt" w:hanging="18pt"/>
      </w:pPr>
      <w:r>
        <w:rPr>
          <w:b/>
        </w:rPr>
        <w:lastRenderedPageBreak/>
        <w:t>(H)</w:t>
      </w:r>
      <w:r>
        <w:rPr>
          <w:rFonts w:ascii="Times New Roman" w:eastAsia="Times New Roman" w:hAnsi="Times New Roman" w:cs="Times New Roman"/>
          <w:sz w:val="14"/>
          <w:szCs w:val="14"/>
        </w:rPr>
        <w:t xml:space="preserve">  </w:t>
      </w:r>
      <w:r>
        <w:t>Validation of caspase inactivation. Samples from (G) were analyzed for caspase activity by Caspase 3/7-Glo assay.</w:t>
      </w:r>
    </w:p>
    <w:p w14:paraId="321F8F1B" w14:textId="77777777" w:rsidR="00EA01CC" w:rsidRDefault="00EA01CC" w:rsidP="00EA01CC">
      <w:pPr>
        <w:ind w:start="36pt" w:hanging="18pt"/>
      </w:pPr>
      <w:r>
        <w:rPr>
          <w:b/>
        </w:rPr>
        <w:t>(I)</w:t>
      </w:r>
      <w:r>
        <w:rPr>
          <w:rFonts w:ascii="Times New Roman" w:eastAsia="Times New Roman" w:hAnsi="Times New Roman" w:cs="Times New Roman"/>
          <w:sz w:val="14"/>
          <w:szCs w:val="14"/>
        </w:rPr>
        <w:tab/>
      </w:r>
      <w:r>
        <w:t>IRE1, IRF4 but not XBP1 silencing results in fewer cell divisions in KMS27 cells as well. KMS27 shIRE1, shIRF4 or shXBP1 were stained with CFSE-type dye and incubated in the absence (filled shapes) or presence (open shapes) of Dox (0.2 ug/mL) and analyzed by flow cytometry. Etoposide (Eto, 25 uM, dashed line) was used as a non-proliferative control.</w:t>
      </w:r>
    </w:p>
    <w:p w14:paraId="7FC1DFD6" w14:textId="77777777" w:rsidR="00EA01CC" w:rsidRDefault="00EA01CC" w:rsidP="00EA01CC">
      <w:pPr>
        <w:ind w:start="36pt" w:hanging="18pt"/>
      </w:pPr>
      <w:r>
        <w:rPr>
          <w:b/>
        </w:rPr>
        <w:t>(J)</w:t>
      </w:r>
      <w:r>
        <w:rPr>
          <w:rFonts w:ascii="Times New Roman" w:eastAsia="Times New Roman" w:hAnsi="Times New Roman" w:cs="Times New Roman"/>
          <w:sz w:val="14"/>
          <w:szCs w:val="14"/>
        </w:rPr>
        <w:tab/>
      </w:r>
      <w:r>
        <w:t xml:space="preserve">Control panels for </w:t>
      </w:r>
      <w:r>
        <w:rPr>
          <w:b/>
        </w:rPr>
        <w:t>Fig. 3B</w:t>
      </w:r>
      <w:r>
        <w:t>. Quantification of apoptotic (top) versus dividing (bottom) cells.</w:t>
      </w:r>
    </w:p>
    <w:p w14:paraId="4BB51D90" w14:textId="77777777" w:rsidR="00EA01CC" w:rsidRDefault="00EA01CC" w:rsidP="00EA01CC">
      <w:pPr>
        <w:ind w:start="36pt" w:hanging="18pt"/>
      </w:pPr>
      <w:r>
        <w:rPr>
          <w:b/>
        </w:rPr>
        <w:t>(K)</w:t>
      </w:r>
      <w:r>
        <w:rPr>
          <w:rFonts w:ascii="Times New Roman" w:eastAsia="Times New Roman" w:hAnsi="Times New Roman" w:cs="Times New Roman"/>
          <w:sz w:val="14"/>
          <w:szCs w:val="14"/>
        </w:rPr>
        <w:t xml:space="preserve">  </w:t>
      </w:r>
      <w:r>
        <w:t>IRE1 and IRF4 (but not XBP1) silencing arrest cell cycle progression in G1 phase. KMS27 shIRE1, shIRF4 or shXBP1 cells were incubated in the absence (filled shapes) or presence (open shapes) of Dox (0.2 ug/mL) for the indicated times, EtOH fixated and PI stained before analyzed by flow cytometry. The indicated cell cycle phases were determined according to univariate (DNA content) modeling.</w:t>
      </w:r>
    </w:p>
    <w:p w14:paraId="7E3BEADC" w14:textId="77777777" w:rsidR="00EA01CC" w:rsidRDefault="00EA01CC" w:rsidP="00EA01CC">
      <w:pPr>
        <w:ind w:start="36pt" w:hanging="18pt"/>
      </w:pPr>
      <w:r>
        <w:rPr>
          <w:b/>
        </w:rPr>
        <w:t>(L)</w:t>
      </w:r>
      <w:r>
        <w:rPr>
          <w:rFonts w:ascii="Times New Roman" w:eastAsia="Times New Roman" w:hAnsi="Times New Roman" w:cs="Times New Roman"/>
          <w:sz w:val="14"/>
          <w:szCs w:val="14"/>
        </w:rPr>
        <w:t xml:space="preserve">   </w:t>
      </w:r>
      <w:r>
        <w:t>CDK2 phosphorylations are reduced by IRE1 or IRF4 silencing in KMS27 cells as well. KMS27 shIRE1 Cl.9, shIRF4 Cl.20 or shXBP1 Cl.22 cells were treated in the presence or absence of Dox (0.2 ug/mL) in a time course of 0, 6, 24, 48 and 72 h and analyzed by IB for total CDK2 and pT160 CDK2.</w:t>
      </w:r>
    </w:p>
    <w:p w14:paraId="5BADFA0C" w14:textId="77777777" w:rsidR="00EA01CC" w:rsidRDefault="00EA01CC" w:rsidP="00EA01CC">
      <w:pPr>
        <w:ind w:start="36pt" w:hanging="18pt"/>
      </w:pPr>
      <w:r>
        <w:rPr>
          <w:b/>
        </w:rPr>
        <w:t>(M)</w:t>
      </w:r>
      <w:r>
        <w:t xml:space="preserve">IRF4 silencing effect on inhibitory and activating CDK phosphorylations. AMO1 shIRF4 Cl.1 cells were cultured in the absence (filled shape) or presence (open shape) of Dox (0.2 ug/mL) and collected at the indicated time post-treatment to be analyzed by IB for </w:t>
      </w:r>
      <w:r>
        <w:lastRenderedPageBreak/>
        <w:t>total CDK6, pT24 CDK6 (inhibitory), total CDK2, pT14 CDK2 (inhibitory) and pT160 CDK2 (activating). Bottom panels: quantification by densitometry.</w:t>
      </w:r>
    </w:p>
    <w:p w14:paraId="3C5E8F94" w14:textId="77777777" w:rsidR="00EA01CC" w:rsidRDefault="00EA01CC" w:rsidP="00EA01CC">
      <w:pPr>
        <w:ind w:start="36pt" w:hanging="18pt"/>
      </w:pPr>
      <w:r>
        <w:rPr>
          <w:b/>
        </w:rPr>
        <w:t>(N)</w:t>
      </w:r>
      <w:r>
        <w:rPr>
          <w:rFonts w:ascii="Times New Roman" w:eastAsia="Times New Roman" w:hAnsi="Times New Roman" w:cs="Times New Roman"/>
          <w:sz w:val="14"/>
          <w:szCs w:val="14"/>
        </w:rPr>
        <w:t xml:space="preserve">  </w:t>
      </w:r>
      <w:r>
        <w:t>IRF4 silencing induces Cdc25A downregulation. AMO1 shIRF4 Cl.1 or shNTC cells were treated in the absence or presence of Dox (0.2 ug/mL) for the indicated time. Cells were analyzed by IB for total- or phospho- (p-)Cdc25A as well as total CDK levels. Right: quantification of Cdc25A by densitometry in the absence (filled shape) or presence (open shape) of Dox.</w:t>
      </w:r>
    </w:p>
    <w:p w14:paraId="14FFCB94" w14:textId="77777777" w:rsidR="00EA01CC" w:rsidRDefault="00EA01CC" w:rsidP="00EA01CC">
      <w:pPr>
        <w:rPr>
          <w:b/>
        </w:rPr>
      </w:pPr>
      <w:r>
        <w:rPr>
          <w:b/>
        </w:rPr>
        <w:t>Figure S4: IRE1 and IRF4 regulate a highly overlapping set of cell cycle genes</w:t>
      </w:r>
    </w:p>
    <w:p w14:paraId="3431B572" w14:textId="77777777" w:rsidR="00EA01CC" w:rsidRDefault="00EA01CC" w:rsidP="00EA01CC">
      <w:pPr>
        <w:ind w:start="36pt" w:hanging="18pt"/>
      </w:pPr>
      <w:r>
        <w:rPr>
          <w:b/>
        </w:rPr>
        <w:t>(A)</w:t>
      </w:r>
      <w:r>
        <w:rPr>
          <w:rFonts w:ascii="Times New Roman" w:eastAsia="Times New Roman" w:hAnsi="Times New Roman" w:cs="Times New Roman"/>
          <w:sz w:val="14"/>
          <w:szCs w:val="14"/>
        </w:rPr>
        <w:t xml:space="preserve">  </w:t>
      </w:r>
      <w:r>
        <w:t xml:space="preserve">Validation of samples from Fig. 4. AMO1 shIRF4 cl.1 or shNTC bulk RNA-seq analysis (addressed in </w:t>
      </w:r>
      <w:r>
        <w:rPr>
          <w:b/>
        </w:rPr>
        <w:t>Fig. 4</w:t>
      </w:r>
      <w:r>
        <w:t xml:space="preserve">), validates that IRF4 transcripts were depleted during the time-course of silencing, as well as transcripts of known IRF4 targets. i.e. </w:t>
      </w:r>
      <w:r>
        <w:rPr>
          <w:i/>
        </w:rPr>
        <w:t>MYC</w:t>
      </w:r>
      <w:r>
        <w:t xml:space="preserve">, </w:t>
      </w:r>
      <w:r>
        <w:rPr>
          <w:i/>
        </w:rPr>
        <w:t>PRDM1</w:t>
      </w:r>
      <w:r>
        <w:t xml:space="preserve"> (transcript of BLIMP1) and </w:t>
      </w:r>
      <w:r>
        <w:rPr>
          <w:i/>
        </w:rPr>
        <w:t>XBP1</w:t>
      </w:r>
      <w:r>
        <w:t>.</w:t>
      </w:r>
    </w:p>
    <w:p w14:paraId="720AB798" w14:textId="77777777" w:rsidR="00EA01CC" w:rsidRDefault="00EA01CC" w:rsidP="00EA01CC">
      <w:pPr>
        <w:ind w:start="36pt" w:hanging="18pt"/>
      </w:pPr>
      <w:r>
        <w:rPr>
          <w:b/>
        </w:rPr>
        <w:t>(B)</w:t>
      </w:r>
      <w:r>
        <w:rPr>
          <w:rFonts w:ascii="Times New Roman" w:eastAsia="Times New Roman" w:hAnsi="Times New Roman" w:cs="Times New Roman"/>
          <w:sz w:val="14"/>
          <w:szCs w:val="14"/>
        </w:rPr>
        <w:t xml:space="preserve">  </w:t>
      </w:r>
      <w:r>
        <w:t xml:space="preserve">Complete IRF4 GSEA (Hallmark). GSEA analysis was performed as described in </w:t>
      </w:r>
      <w:r>
        <w:rPr>
          <w:b/>
        </w:rPr>
        <w:t>Fig. 4A</w:t>
      </w:r>
      <w:r>
        <w:t>. Shown all enriched datasets. In gray, gene sets with FDR &gt; 0.02.</w:t>
      </w:r>
    </w:p>
    <w:p w14:paraId="2032329D" w14:textId="77777777" w:rsidR="00EA01CC" w:rsidRDefault="00EA01CC" w:rsidP="00EA01CC">
      <w:pPr>
        <w:ind w:start="36pt" w:hanging="18pt"/>
      </w:pPr>
      <w:r>
        <w:rPr>
          <w:b/>
        </w:rPr>
        <w:t>(C)</w:t>
      </w:r>
      <w:r>
        <w:rPr>
          <w:rFonts w:ascii="Times New Roman" w:eastAsia="Times New Roman" w:hAnsi="Times New Roman" w:cs="Times New Roman"/>
          <w:sz w:val="14"/>
          <w:szCs w:val="14"/>
        </w:rPr>
        <w:t xml:space="preserve">  </w:t>
      </w:r>
      <w:r>
        <w:t>Overlap of Leading Edge Genes from GSEA analysis in IRE1 and IRF4 Knockdowns. After GSEA in Fig. 4A, Leading Edge Genes (</w:t>
      </w:r>
      <w:r>
        <w:rPr>
          <w:b/>
        </w:rPr>
        <w:t>Supp. Table 2</w:t>
      </w:r>
      <w:r>
        <w:t>), representing those contributing most significantly to the enrichment of the given gene sets, were extracted for both genetic backgrounds. Shown: Venn diagrams illustrating the intersection between the Leading Edge Genes for ‘G1S Cell Cycle Control’ (Wiki Pathways) and ‘Unfolded Protein Response’ (UPR; Hallmark) between IRE1 knockdown (shIRE1) and IRF4 knockdown (shIRF4) backgrounds.</w:t>
      </w:r>
    </w:p>
    <w:p w14:paraId="40CC7632" w14:textId="77777777" w:rsidR="00EA01CC" w:rsidRDefault="00EA01CC" w:rsidP="00EA01CC">
      <w:pPr>
        <w:ind w:start="36pt" w:hanging="18pt"/>
      </w:pPr>
      <w:r>
        <w:rPr>
          <w:b/>
        </w:rPr>
        <w:lastRenderedPageBreak/>
        <w:t>(D)</w:t>
      </w:r>
      <w:r>
        <w:rPr>
          <w:rFonts w:ascii="Times New Roman" w:eastAsia="Times New Roman" w:hAnsi="Times New Roman" w:cs="Times New Roman"/>
          <w:sz w:val="14"/>
          <w:szCs w:val="14"/>
        </w:rPr>
        <w:t xml:space="preserve">  </w:t>
      </w:r>
      <w:r>
        <w:t>UPR downregulation was validated by IB in both genetic backgrounds. Samples from Fig. 4D were analyzed by IB for pIRE1 as well as PERK and ATF6 pathway proteins.</w:t>
      </w:r>
    </w:p>
    <w:p w14:paraId="7EDF28BD" w14:textId="77777777" w:rsidR="00EA01CC" w:rsidRDefault="00EA01CC" w:rsidP="00EA01CC">
      <w:pPr>
        <w:ind w:start="36pt" w:hanging="18pt"/>
      </w:pPr>
      <w:r>
        <w:rPr>
          <w:b/>
        </w:rPr>
        <w:t>(E)</w:t>
      </w:r>
      <w:r>
        <w:rPr>
          <w:rFonts w:ascii="Times New Roman" w:eastAsia="Times New Roman" w:hAnsi="Times New Roman" w:cs="Times New Roman"/>
          <w:sz w:val="14"/>
          <w:szCs w:val="14"/>
        </w:rPr>
        <w:t xml:space="preserve">   </w:t>
      </w:r>
      <w:r>
        <w:t>G1 cell cycle arrest is not controlled by Rb phosphorylation in IRF4 deficient AMO1 cells. AMO1 shIRF4 Cl.1 or shNTC cells were treated in the absence or presence of Dox (0.2 ug/mL) in a timecourse of 0, 8, 16, 24, and 48 h and then analyzed by IB for total Rb and CDK-dependent phosphorylated forms (pS795 and pS608 RB). Left: Densitometric quantification of pRb relative to total Rb in IRF4 deficient (purple) or NTC cells (blue).</w:t>
      </w:r>
    </w:p>
    <w:p w14:paraId="522ACCED" w14:textId="77777777" w:rsidR="00EA01CC" w:rsidRDefault="00EA01CC" w:rsidP="00EA01CC">
      <w:pPr>
        <w:ind w:start="36pt" w:hanging="18pt"/>
      </w:pPr>
      <w:r>
        <w:rPr>
          <w:b/>
        </w:rPr>
        <w:t>(F)</w:t>
      </w:r>
      <w:r>
        <w:rPr>
          <w:rFonts w:ascii="Times New Roman" w:eastAsia="Times New Roman" w:hAnsi="Times New Roman" w:cs="Times New Roman"/>
          <w:sz w:val="14"/>
          <w:szCs w:val="14"/>
        </w:rPr>
        <w:t xml:space="preserve">   </w:t>
      </w:r>
      <w:r>
        <w:t>G1 cell cycle arrest is not controlled by Rb phosphorylation in IRF4 deficient KMS27 cells. KMS27 shIRF4 Cl.20 or shNTC cells were treated in the absence or presence of Dox (0.2ug/mL) in a timecourse of 0, 8, 16, 24, and 48 h and then analyzed by IB for total Rb and CDK-dependent phosphorylated forms (pS795 and pS608 RB). Left: Densitometric quantification of pRb relative to total Rb in IRF4 deficient (purple) or NTC cells (blue).</w:t>
      </w:r>
    </w:p>
    <w:p w14:paraId="4F047A16" w14:textId="77777777" w:rsidR="00EA01CC" w:rsidRDefault="00EA01CC" w:rsidP="00EA01CC">
      <w:pPr>
        <w:ind w:start="36pt" w:hanging="18pt"/>
      </w:pPr>
      <w:r>
        <w:rPr>
          <w:b/>
        </w:rPr>
        <w:t>(G)</w:t>
      </w:r>
      <w:r>
        <w:rPr>
          <w:rFonts w:ascii="Times New Roman" w:eastAsia="Times New Roman" w:hAnsi="Times New Roman" w:cs="Times New Roman"/>
          <w:sz w:val="14"/>
          <w:szCs w:val="14"/>
        </w:rPr>
        <w:t xml:space="preserve">  </w:t>
      </w:r>
      <w:r>
        <w:t>IRE1 silencing but not enzymatic inhibition depletes Rb phosphorylations. Phosphoproteomics analysis of Rb in AMO1 shIRE1 Cl.1 cells (from Fig. 2H). Fold-change (log</w:t>
      </w:r>
      <w:r>
        <w:rPr>
          <w:vertAlign w:val="subscript"/>
        </w:rPr>
        <w:t>2</w:t>
      </w:r>
      <w:r>
        <w:t>FC) intensity of identified Rb phosphopeptides. Data represented as mean ± SE. Color transparency represents statistically significant vs non-significant changes.</w:t>
      </w:r>
    </w:p>
    <w:p w14:paraId="79CC7D99" w14:textId="77777777" w:rsidR="00EA01CC" w:rsidRDefault="00EA01CC" w:rsidP="00EA01CC">
      <w:pPr>
        <w:ind w:start="36pt" w:hanging="18pt"/>
      </w:pPr>
      <w:r>
        <w:rPr>
          <w:b/>
        </w:rPr>
        <w:t>(H)</w:t>
      </w:r>
      <w:r>
        <w:rPr>
          <w:rFonts w:ascii="Times New Roman" w:eastAsia="Times New Roman" w:hAnsi="Times New Roman" w:cs="Times New Roman"/>
          <w:sz w:val="14"/>
          <w:szCs w:val="14"/>
        </w:rPr>
        <w:t xml:space="preserve">  </w:t>
      </w:r>
      <w:r>
        <w:t xml:space="preserve">Complete IRF4 GSEA (Hallmark) analysis in KMS27 cells. Analysis was performed as described in </w:t>
      </w:r>
      <w:r>
        <w:rPr>
          <w:b/>
        </w:rPr>
        <w:t>Fig. 4A</w:t>
      </w:r>
      <w:r>
        <w:t xml:space="preserve"> for KMS27 cells. Shown all enriched datasets. In gray, gene sets with FDR &gt; 0.02.</w:t>
      </w:r>
    </w:p>
    <w:p w14:paraId="34FB4E18" w14:textId="77777777" w:rsidR="00EA01CC" w:rsidRDefault="00EA01CC" w:rsidP="00EA01CC">
      <w:pPr>
        <w:ind w:start="36pt" w:hanging="18pt"/>
        <w:rPr>
          <w:b/>
        </w:rPr>
      </w:pPr>
      <w:r>
        <w:rPr>
          <w:b/>
        </w:rPr>
        <w:t>(I)</w:t>
      </w:r>
      <w:r>
        <w:rPr>
          <w:rFonts w:ascii="Times New Roman" w:eastAsia="Times New Roman" w:hAnsi="Times New Roman" w:cs="Times New Roman"/>
          <w:sz w:val="14"/>
          <w:szCs w:val="14"/>
        </w:rPr>
        <w:tab/>
      </w:r>
      <w:r>
        <w:t>Overlap of Leading Edge Genes from GSEA analysis in IRF4-deficient AMO1 and KMS27 cells. After GSEA in Fig. 4A, Leading Edge Genes (</w:t>
      </w:r>
      <w:r>
        <w:rPr>
          <w:b/>
        </w:rPr>
        <w:t>Supp. Table 2</w:t>
      </w:r>
      <w:r>
        <w:t xml:space="preserve">), representing those </w:t>
      </w:r>
      <w:r>
        <w:lastRenderedPageBreak/>
        <w:t>contributing most significantly to the enrichment of the given gene sets, were extracted for both cell lines. Shown: Venn diagrams illustrating the intersection between the Leading Edge Genes for Hallmark ‘E2F-Targets’ and ‘G2/M Checkpoint’ between KMS27 and AMO1 cells deficient in IRF4.</w:t>
      </w:r>
    </w:p>
    <w:p w14:paraId="53B84E0C" w14:textId="77777777" w:rsidR="00EA01CC" w:rsidRDefault="00EA01CC" w:rsidP="00EA01CC">
      <w:pPr>
        <w:ind w:start="36pt" w:hanging="18pt"/>
      </w:pPr>
      <w:r>
        <w:rPr>
          <w:b/>
        </w:rPr>
        <w:t>Figure S5: IRF4 directly controls E2F1 gene transcription</w:t>
      </w:r>
    </w:p>
    <w:p w14:paraId="6097124D" w14:textId="77777777" w:rsidR="00EA01CC" w:rsidRDefault="00EA01CC" w:rsidP="00EA01CC">
      <w:pPr>
        <w:ind w:start="36pt" w:hanging="18pt"/>
      </w:pPr>
      <w:r>
        <w:rPr>
          <w:b/>
        </w:rPr>
        <w:t>(A)</w:t>
      </w:r>
      <w:r>
        <w:rPr>
          <w:rFonts w:ascii="Times New Roman" w:eastAsia="Times New Roman" w:hAnsi="Times New Roman" w:cs="Times New Roman"/>
          <w:sz w:val="14"/>
          <w:szCs w:val="14"/>
        </w:rPr>
        <w:t xml:space="preserve">  </w:t>
      </w:r>
      <w:r>
        <w:t xml:space="preserve">IRF4 directly controls the </w:t>
      </w:r>
      <w:r>
        <w:rPr>
          <w:i/>
        </w:rPr>
        <w:t xml:space="preserve">PRDM1 </w:t>
      </w:r>
      <w:r>
        <w:t xml:space="preserve">locus. IRF4 and RNA polymerase II peaks (top and bottom) in IRF4-proficient (black and red tracks) and IRF4-deficient cells (green and blue tracks) inside the </w:t>
      </w:r>
      <w:r>
        <w:rPr>
          <w:i/>
        </w:rPr>
        <w:t>PRDM1</w:t>
      </w:r>
      <w:r>
        <w:t xml:space="preserve"> locus which is a known direct target of IRF4.</w:t>
      </w:r>
    </w:p>
    <w:p w14:paraId="1EA5FC0D" w14:textId="77777777" w:rsidR="00EA01CC" w:rsidRDefault="00EA01CC" w:rsidP="00EA01CC">
      <w:pPr>
        <w:ind w:start="36pt" w:hanging="18pt"/>
      </w:pPr>
      <w:r>
        <w:rPr>
          <w:b/>
        </w:rPr>
        <w:t>(B)</w:t>
      </w:r>
      <w:r>
        <w:rPr>
          <w:rFonts w:ascii="Times New Roman" w:eastAsia="Times New Roman" w:hAnsi="Times New Roman" w:cs="Times New Roman"/>
          <w:sz w:val="14"/>
          <w:szCs w:val="14"/>
        </w:rPr>
        <w:t xml:space="preserve">  </w:t>
      </w:r>
      <w:r>
        <w:t xml:space="preserve">IRF4 does not regulate the </w:t>
      </w:r>
      <w:r>
        <w:rPr>
          <w:i/>
        </w:rPr>
        <w:t xml:space="preserve">RB1 </w:t>
      </w:r>
      <w:r>
        <w:t xml:space="preserve">locus. IRF4 and RNA polymerase II peaks (top and bottom) in IRF4-proficient (black and red tracks) and IRF4-deficient cells (green and blue tracks) inside the </w:t>
      </w:r>
      <w:r>
        <w:rPr>
          <w:i/>
        </w:rPr>
        <w:t>RB1</w:t>
      </w:r>
      <w:r>
        <w:t xml:space="preserve"> locus.</w:t>
      </w:r>
    </w:p>
    <w:p w14:paraId="60C33DA9" w14:textId="77777777" w:rsidR="00EA01CC" w:rsidRDefault="00EA01CC" w:rsidP="00EA01CC">
      <w:pPr>
        <w:ind w:start="36pt" w:hanging="18pt"/>
        <w:rPr>
          <w:rFonts w:ascii="Times New Roman" w:eastAsia="Times New Roman" w:hAnsi="Times New Roman" w:cs="Times New Roman"/>
          <w:sz w:val="14"/>
          <w:szCs w:val="14"/>
        </w:rPr>
      </w:pPr>
      <w:r>
        <w:rPr>
          <w:b/>
        </w:rPr>
        <w:t>(C)</w:t>
      </w:r>
      <w:r>
        <w:rPr>
          <w:rFonts w:ascii="Times New Roman" w:eastAsia="Times New Roman" w:hAnsi="Times New Roman" w:cs="Times New Roman"/>
          <w:sz w:val="14"/>
          <w:szCs w:val="14"/>
        </w:rPr>
        <w:t xml:space="preserve">  </w:t>
      </w:r>
      <w:r>
        <w:t xml:space="preserve">IRF4 silencing directly controls the </w:t>
      </w:r>
      <w:r>
        <w:rPr>
          <w:i/>
        </w:rPr>
        <w:t xml:space="preserve">CDC25A </w:t>
      </w:r>
      <w:r>
        <w:t xml:space="preserve">locus. IRF4 and RNA polymerase II peaks (top and bottom) in IRF4-proficient (black and red tracks) and IRF4-deficient cells (green and blue tracks) inside the </w:t>
      </w:r>
      <w:r>
        <w:rPr>
          <w:i/>
        </w:rPr>
        <w:t xml:space="preserve">CDC25A </w:t>
      </w:r>
      <w:r>
        <w:t>locus which contains an IRF4 motif (red box).</w:t>
      </w:r>
    </w:p>
    <w:p w14:paraId="3D216C6A" w14:textId="77777777" w:rsidR="00EA01CC" w:rsidRDefault="00EA01CC" w:rsidP="00EA01CC">
      <w:pPr>
        <w:ind w:start="36pt" w:hanging="18pt"/>
      </w:pPr>
      <w:r>
        <w:rPr>
          <w:b/>
        </w:rPr>
        <w:t>(D)</w:t>
      </w:r>
      <w:r>
        <w:rPr>
          <w:rFonts w:ascii="Times New Roman" w:eastAsia="Times New Roman" w:hAnsi="Times New Roman" w:cs="Times New Roman"/>
          <w:sz w:val="14"/>
          <w:szCs w:val="14"/>
        </w:rPr>
        <w:t xml:space="preserve"> </w:t>
      </w:r>
      <w:r>
        <w:t xml:space="preserve">IRF4 silencing indirectly inactivates the </w:t>
      </w:r>
      <w:r>
        <w:rPr>
          <w:i/>
        </w:rPr>
        <w:t xml:space="preserve">UHRF1 </w:t>
      </w:r>
      <w:r>
        <w:t xml:space="preserve">locus. IRF4 and RNA polymerase II peaks (top and bottom) in IRF4-proficient (black and red tracks) and IRF4-deficient cells (green and blue tracks) inside the </w:t>
      </w:r>
      <w:r>
        <w:rPr>
          <w:i/>
        </w:rPr>
        <w:t>UHRF1</w:t>
      </w:r>
      <w:r>
        <w:t xml:space="preserve"> (left) locus which is a known E2F1 target.</w:t>
      </w:r>
    </w:p>
    <w:p w14:paraId="2B127216" w14:textId="77777777" w:rsidR="00EA01CC" w:rsidRDefault="00EA01CC" w:rsidP="00EA01CC">
      <w:pPr>
        <w:rPr>
          <w:b/>
        </w:rPr>
      </w:pPr>
      <w:r>
        <w:rPr>
          <w:b/>
        </w:rPr>
        <w:t>Figure S6: IRF4 repletion in IRE1-deficient cells rescues E2F1 expression and proliferation</w:t>
      </w:r>
    </w:p>
    <w:p w14:paraId="7DAF803E" w14:textId="77777777" w:rsidR="00EA01CC" w:rsidRDefault="00EA01CC" w:rsidP="00EA01CC">
      <w:pPr>
        <w:ind w:start="36pt" w:hanging="18pt"/>
      </w:pPr>
      <w:r>
        <w:rPr>
          <w:b/>
        </w:rPr>
        <w:t>(A)</w:t>
      </w:r>
      <w:r>
        <w:rPr>
          <w:rFonts w:ascii="Times New Roman" w:eastAsia="Times New Roman" w:hAnsi="Times New Roman" w:cs="Times New Roman"/>
          <w:sz w:val="14"/>
          <w:szCs w:val="14"/>
        </w:rPr>
        <w:t xml:space="preserve">  </w:t>
      </w:r>
      <w:r>
        <w:t xml:space="preserve">Effect of IRF4 expression levels in the growth of IRF4 rescued cell lines. AMO1 shIRF4 EV or individual shIRF4 IRF4 clones were cultured in the absence (closed symbols) or </w:t>
      </w:r>
      <w:r>
        <w:lastRenderedPageBreak/>
        <w:t>presence (open symbols) of Dox (0.1 μg/ml). (Left) Spheroid growth, depicted as um</w:t>
      </w:r>
      <w:r>
        <w:rPr>
          <w:vertAlign w:val="superscript"/>
        </w:rPr>
        <w:t>2</w:t>
      </w:r>
      <w:r>
        <w:t xml:space="preserve"> / image, was monitored by time-lapse microscopy in an Incucyte instrument and values represent mean ± SEM. (Right) Analysis of these cells after 24 h of culture in the same conditions by RT-qPCR for </w:t>
      </w:r>
      <w:r>
        <w:rPr>
          <w:i/>
        </w:rPr>
        <w:t>IRF4</w:t>
      </w:r>
      <w:r>
        <w:t xml:space="preserve"> mRNA levels. Dashed line represents the level of endogenous IRF4 expression.</w:t>
      </w:r>
    </w:p>
    <w:p w14:paraId="50D7CAF3" w14:textId="77777777" w:rsidR="00EA01CC" w:rsidRDefault="00EA01CC" w:rsidP="00EA01CC">
      <w:pPr>
        <w:ind w:start="36pt" w:hanging="18pt"/>
      </w:pPr>
      <w:r>
        <w:rPr>
          <w:b/>
        </w:rPr>
        <w:t>(B)</w:t>
      </w:r>
      <w:r>
        <w:rPr>
          <w:rFonts w:ascii="Times New Roman" w:eastAsia="Times New Roman" w:hAnsi="Times New Roman" w:cs="Times New Roman"/>
          <w:sz w:val="14"/>
          <w:szCs w:val="14"/>
        </w:rPr>
        <w:t xml:space="preserve">  </w:t>
      </w:r>
      <w:r>
        <w:t>mRNA-to-rescue correlation during IRF4 silencing. AMO1 shIRF4 + IRF4 clones were treated as in (A). Percentage of rescue was calculated from Incucyte</w:t>
      </w:r>
      <w:r>
        <w:rPr>
          <w:vertAlign w:val="superscript"/>
        </w:rPr>
        <w:t>TM</w:t>
      </w:r>
      <w:r>
        <w:t xml:space="preserve"> data where -Dox condition was considered 100% growth. %rescue was plotted against </w:t>
      </w:r>
      <w:r>
        <w:rPr>
          <w:i/>
        </w:rPr>
        <w:t>IRF4</w:t>
      </w:r>
      <w:r>
        <w:t xml:space="preserve"> mRNA fold change (FC) values for each clone.</w:t>
      </w:r>
    </w:p>
    <w:p w14:paraId="0191B302" w14:textId="77777777" w:rsidR="00EA01CC" w:rsidRDefault="00EA01CC" w:rsidP="00EA01CC">
      <w:pPr>
        <w:ind w:start="36pt" w:hanging="18pt"/>
      </w:pPr>
      <w:r>
        <w:rPr>
          <w:b/>
        </w:rPr>
        <w:t>(C)</w:t>
      </w:r>
      <w:r>
        <w:rPr>
          <w:rFonts w:ascii="Times New Roman" w:eastAsia="Times New Roman" w:hAnsi="Times New Roman" w:cs="Times New Roman"/>
          <w:sz w:val="14"/>
          <w:szCs w:val="14"/>
        </w:rPr>
        <w:t xml:space="preserve">  </w:t>
      </w:r>
      <w:r>
        <w:t>Effect of variable IRF4 expression levels during IRE1 silencing in spheroid growth. AMO1 shIRE1 Cl.1 + EV or shIRE1 Cl.1 + IRF4 cultures from Fig. 6B, including more clones. (Left) Spheroid growth, depicted as um</w:t>
      </w:r>
      <w:r>
        <w:rPr>
          <w:vertAlign w:val="superscript"/>
        </w:rPr>
        <w:t>2</w:t>
      </w:r>
      <w:r>
        <w:t xml:space="preserve"> / image, was monitored by time-lapse microscopy in an Incucyte instrument and values represent mean ± SEM. (Right) Analysis of these cells after 24 h of culture in the same conditions by RT-qPCR for </w:t>
      </w:r>
      <w:r>
        <w:rPr>
          <w:i/>
        </w:rPr>
        <w:t>IRF4</w:t>
      </w:r>
      <w:r>
        <w:t xml:space="preserve"> mRNA levels. Dashed line represents the level of endogenous IRF4 expression.</w:t>
      </w:r>
    </w:p>
    <w:p w14:paraId="4D8D0853" w14:textId="77777777" w:rsidR="00EA01CC" w:rsidRDefault="00EA01CC" w:rsidP="00EA01CC">
      <w:pPr>
        <w:ind w:start="36pt" w:hanging="18pt"/>
      </w:pPr>
      <w:r>
        <w:rPr>
          <w:b/>
        </w:rPr>
        <w:t>(D)</w:t>
      </w:r>
      <w:r>
        <w:rPr>
          <w:rFonts w:ascii="Times New Roman" w:eastAsia="Times New Roman" w:hAnsi="Times New Roman" w:cs="Times New Roman"/>
          <w:sz w:val="14"/>
          <w:szCs w:val="14"/>
        </w:rPr>
        <w:t xml:space="preserve">  </w:t>
      </w:r>
      <w:r>
        <w:t xml:space="preserve">mRNA-to-rescue correlation during IRF4 silencing. AMO1 shIRE1 Cl.1 + IRF4 clones were treated as in (A). Percentage of rescue was calculated by incucyte data where -Dox condition was considered 100% growth. %rescue was plotted against </w:t>
      </w:r>
      <w:r>
        <w:rPr>
          <w:i/>
        </w:rPr>
        <w:t>IRF4</w:t>
      </w:r>
      <w:r>
        <w:t xml:space="preserve"> mRNA fold change (FC) values for each clone.</w:t>
      </w:r>
    </w:p>
    <w:p w14:paraId="368545A0" w14:textId="77777777" w:rsidR="00EA01CC" w:rsidRDefault="00EA01CC" w:rsidP="00EA01CC">
      <w:pPr>
        <w:ind w:start="36pt" w:hanging="18pt"/>
      </w:pPr>
      <w:r>
        <w:rPr>
          <w:b/>
        </w:rPr>
        <w:t>(E)</w:t>
      </w:r>
      <w:r>
        <w:rPr>
          <w:rFonts w:ascii="Times New Roman" w:eastAsia="Times New Roman" w:hAnsi="Times New Roman" w:cs="Times New Roman"/>
          <w:sz w:val="14"/>
          <w:szCs w:val="14"/>
        </w:rPr>
        <w:t xml:space="preserve"> </w:t>
      </w:r>
      <w:r>
        <w:t xml:space="preserve">Caspase activation by IRE1 silencing is not fully mitigated upon IRF4 re-expression. AMO1 shIRE1 Cl.1 + EV vs shIRE1 Cl.1 + IRF4 Cl.4 and shIRF4 Cl.1 + EV vs shIRF4 Cl.1 + IRF4 Cl.5 </w:t>
      </w:r>
      <w:r>
        <w:lastRenderedPageBreak/>
        <w:t>cells were treated in the absence (filled shapes) or presence (open shapes) of Dox (0.1 ug/mL) for 72 h were analyzed for caspase activity by Caspase 3/7-Glo assay.</w:t>
      </w:r>
    </w:p>
    <w:p w14:paraId="31CCD887" w14:textId="77777777" w:rsidR="00EA01CC" w:rsidRDefault="00EA01CC" w:rsidP="00EA01CC">
      <w:pPr>
        <w:ind w:start="36pt" w:hanging="18pt"/>
      </w:pPr>
      <w:r>
        <w:rPr>
          <w:b/>
        </w:rPr>
        <w:t>(F)</w:t>
      </w:r>
      <w:r>
        <w:rPr>
          <w:rFonts w:ascii="Times New Roman" w:eastAsia="Times New Roman" w:hAnsi="Times New Roman" w:cs="Times New Roman"/>
          <w:sz w:val="14"/>
          <w:szCs w:val="14"/>
        </w:rPr>
        <w:t xml:space="preserve">   </w:t>
      </w:r>
      <w:r>
        <w:t>The apoptotic profile of IRE1 depleted cells is not fully restored by IRF4 replenishment. AMO1 shIRE1 Cl.1 + EV or shIRE1 Cl.1 + IRF4 Cl. 4 and shIRF4 Cl.1 + EV or shIRF4 Cl.1 + IRF4 Cl. 5 cells were treated with Dox (0.1 ug/mL) for the indicated time points. Cells were then stained with FITC-Annexin V and PI and analyzed by flow cytometry for early apoptotic (FITC+ PI-), late apoptotic (FITC+ PI+) and necrotic (FITC- PI+) cells.</w:t>
      </w:r>
    </w:p>
    <w:p w14:paraId="1A9B7EDF" w14:textId="77777777" w:rsidR="00EA01CC" w:rsidRDefault="00EA01CC" w:rsidP="00EA01CC">
      <w:pPr>
        <w:ind w:start="36pt" w:hanging="18pt"/>
      </w:pPr>
      <w:r>
        <w:rPr>
          <w:b/>
        </w:rPr>
        <w:t>(G)</w:t>
      </w:r>
      <w:r>
        <w:rPr>
          <w:rFonts w:ascii="Times New Roman" w:eastAsia="Times New Roman" w:hAnsi="Times New Roman" w:cs="Times New Roman"/>
          <w:sz w:val="14"/>
          <w:szCs w:val="14"/>
        </w:rPr>
        <w:t xml:space="preserve">   </w:t>
      </w:r>
      <w:r>
        <w:t xml:space="preserve">IRF4 repletion relieves IRE1 or IRF4 deficient cells from G1 cell cycle arrest. Bar plot of the complete cell cycle characterization for </w:t>
      </w:r>
      <w:r>
        <w:rPr>
          <w:b/>
        </w:rPr>
        <w:t>Fig. 6E</w:t>
      </w:r>
      <w:r>
        <w:t xml:space="preserve"> samples.</w:t>
      </w:r>
    </w:p>
    <w:p w14:paraId="5A5F03F5" w14:textId="77777777" w:rsidR="00EA01CC" w:rsidRPr="00BF1C1F" w:rsidRDefault="00EA01CC" w:rsidP="00EA01CC">
      <w:pPr>
        <w:ind w:start="36pt" w:hanging="18pt"/>
      </w:pPr>
      <w:r>
        <w:rPr>
          <w:b/>
        </w:rPr>
        <w:t>(H)</w:t>
      </w:r>
      <w:r>
        <w:rPr>
          <w:rFonts w:ascii="Times New Roman" w:eastAsia="Times New Roman" w:hAnsi="Times New Roman" w:cs="Times New Roman"/>
          <w:sz w:val="14"/>
          <w:szCs w:val="14"/>
        </w:rPr>
        <w:t xml:space="preserve">  </w:t>
      </w:r>
      <w:r>
        <w:t xml:space="preserve">IRF4 expression rescues E2F1 and UHRF1 during IRF4 silencing. AMO1 shIRF4 Cl.1 + EV or shIRF4 Cl.1 + IRF4 Cl. 5 cells were cultured in the absence or presence of Dox (0.1 ug/mL) for 24 h and analyzed by RT-qPCR for </w:t>
      </w:r>
      <w:r>
        <w:rPr>
          <w:i/>
        </w:rPr>
        <w:t xml:space="preserve">E2F1 </w:t>
      </w:r>
      <w:r>
        <w:t>and</w:t>
      </w:r>
      <w:r>
        <w:rPr>
          <w:i/>
        </w:rPr>
        <w:t xml:space="preserve"> UHRF1</w:t>
      </w:r>
      <w:r>
        <w:t xml:space="preserve"> mRNAs or IB (bottom panel) for E2F1, CDK2 and p21.</w:t>
      </w:r>
    </w:p>
    <w:p w14:paraId="146C851F" w14:textId="77777777" w:rsidR="008C374B" w:rsidRDefault="008C374B"/>
    <w:sectPr w:rsidR="008C374B">
      <w:pgSz w:w="612pt" w:h="792pt"/>
      <w:pgMar w:top="72pt" w:right="72pt" w:bottom="72pt" w:left="72pt" w:header="36pt" w:footer="36pt" w:gutter="0pt"/>
      <w:cols w:space="36pt"/>
      <w:docGrid w:linePitch="360"/>
    </w:sectPr>
  </w:body>
</w:document>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characterSet="iso-8859-1"/>
    <w:family w:val="swiss"/>
    <w:pitch w:val="variable"/>
    <w:sig w:usb0="20000287" w:usb1="00000003" w:usb2="00000000" w:usb3="00000000" w:csb0="0000019F" w:csb1="00000000"/>
  </w:font>
  <w:font w:name="Times New Roman">
    <w:panose1 w:val="02020603050405020304"/>
    <w:charset w:characterSet="iso-8859-1"/>
    <w:family w:val="roman"/>
    <w:pitch w:val="variable"/>
    <w:sig w:usb0="E0002EFF" w:usb1="C000785B" w:usb2="00000009" w:usb3="00000000" w:csb0="000001FF" w:csb1="00000000"/>
  </w:font>
  <w:font w:name="Calibri">
    <w:panose1 w:val="020F0502020204030204"/>
    <w:charset w:characterSet="iso-8859-1"/>
    <w:family w:val="swiss"/>
    <w:pitch w:val="variable"/>
    <w:sig w:usb0="E4002EFF" w:usb1="C200247B" w:usb2="00000009" w:usb3="00000000" w:csb0="000001FF" w:csb1="00000000"/>
  </w:font>
  <w:font w:name="Aptos Display">
    <w:charset w:characterSet="iso-8859-1"/>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36pt"/>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1CC"/>
    <w:rsid w:val="002A5090"/>
    <w:rsid w:val="003F36CB"/>
    <w:rsid w:val="005C08DE"/>
    <w:rsid w:val="008C374B"/>
    <w:rsid w:val="00954821"/>
    <w:rsid w:val="00AF416B"/>
    <w:rsid w:val="00E459B1"/>
    <w:rsid w:val="00E910FB"/>
    <w:rsid w:val="00EA01CC"/>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3E57429"/>
  <w15:chartTrackingRefBased/>
  <w15:docId w15:val="{717C4138-3617-4397-9AFB-5D7C5DECBB7D}"/>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8pt" w:line="12.95pt"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01CC"/>
    <w:pPr>
      <w:spacing w:line="24pt" w:lineRule="auto"/>
    </w:pPr>
    <w:rPr>
      <w:rFonts w:ascii="Calibri" w:eastAsia="Calibri" w:hAnsi="Calibri" w:cs="Calibri"/>
      <w:kern w:val="0"/>
      <w:sz w:val="24"/>
      <w:szCs w:val="24"/>
      <w14:ligatures w14:val="none"/>
    </w:rPr>
  </w:style>
  <w:style w:type="paragraph" w:styleId="Heading1">
    <w:name w:val="heading 1"/>
    <w:basedOn w:val="Normal"/>
    <w:next w:val="Normal"/>
    <w:link w:val="Heading1Char"/>
    <w:uiPriority w:val="9"/>
    <w:qFormat/>
    <w:rsid w:val="00EA01CC"/>
    <w:pPr>
      <w:keepNext/>
      <w:keepLines/>
      <w:spacing w:before="18pt" w:after="4pt" w:line="12.95pt"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EA01CC"/>
    <w:pPr>
      <w:keepNext/>
      <w:keepLines/>
      <w:spacing w:before="8pt" w:after="4pt" w:line="12.95pt"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EA01CC"/>
    <w:pPr>
      <w:keepNext/>
      <w:keepLines/>
      <w:spacing w:before="8pt" w:after="4pt" w:line="12.95pt"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EA01CC"/>
    <w:pPr>
      <w:keepNext/>
      <w:keepLines/>
      <w:spacing w:before="4pt" w:after="2pt" w:line="12.95pt" w:lineRule="auto"/>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EA01CC"/>
    <w:pPr>
      <w:keepNext/>
      <w:keepLines/>
      <w:spacing w:before="4pt" w:after="2pt" w:line="12.95pt" w:lineRule="auto"/>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EA01CC"/>
    <w:pPr>
      <w:keepNext/>
      <w:keepLines/>
      <w:spacing w:before="2pt" w:after="0pt" w:line="12.95pt"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EA01CC"/>
    <w:pPr>
      <w:keepNext/>
      <w:keepLines/>
      <w:spacing w:before="2pt" w:after="0pt" w:line="12.95pt"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EA01CC"/>
    <w:pPr>
      <w:keepNext/>
      <w:keepLines/>
      <w:spacing w:after="0pt" w:line="12.95pt"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EA01CC"/>
    <w:pPr>
      <w:keepNext/>
      <w:keepLines/>
      <w:spacing w:after="0pt" w:line="12.95pt"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01C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A01C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A01C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01C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01C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01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01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01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01CC"/>
    <w:rPr>
      <w:rFonts w:eastAsiaTheme="majorEastAsia" w:cstheme="majorBidi"/>
      <w:color w:val="272727" w:themeColor="text1" w:themeTint="D8"/>
    </w:rPr>
  </w:style>
  <w:style w:type="paragraph" w:styleId="Title">
    <w:name w:val="Title"/>
    <w:basedOn w:val="Normal"/>
    <w:next w:val="Normal"/>
    <w:link w:val="TitleChar"/>
    <w:uiPriority w:val="10"/>
    <w:qFormat/>
    <w:rsid w:val="00EA01CC"/>
    <w:pPr>
      <w:spacing w:after="4pt" w:line="12pt"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EA01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01CC"/>
    <w:pPr>
      <w:numPr>
        <w:ilvl w:val="1"/>
      </w:numPr>
      <w:spacing w:line="12.95pt"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EA01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01CC"/>
    <w:pPr>
      <w:spacing w:before="8pt" w:line="12.95pt"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EA01CC"/>
    <w:rPr>
      <w:i/>
      <w:iCs/>
      <w:color w:val="404040" w:themeColor="text1" w:themeTint="BF"/>
    </w:rPr>
  </w:style>
  <w:style w:type="paragraph" w:styleId="ListParagraph">
    <w:name w:val="List Paragraph"/>
    <w:basedOn w:val="Normal"/>
    <w:uiPriority w:val="34"/>
    <w:qFormat/>
    <w:rsid w:val="00EA01CC"/>
    <w:pPr>
      <w:spacing w:line="12.95pt" w:lineRule="auto"/>
      <w:ind w:start="36pt"/>
      <w:contextualSpacing/>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EA01CC"/>
    <w:rPr>
      <w:i/>
      <w:iCs/>
      <w:color w:val="0F4761" w:themeColor="accent1" w:themeShade="BF"/>
    </w:rPr>
  </w:style>
  <w:style w:type="paragraph" w:styleId="IntenseQuote">
    <w:name w:val="Intense Quote"/>
    <w:basedOn w:val="Normal"/>
    <w:next w:val="Normal"/>
    <w:link w:val="IntenseQuoteChar"/>
    <w:uiPriority w:val="30"/>
    <w:qFormat/>
    <w:rsid w:val="00EA01CC"/>
    <w:pPr>
      <w:pBdr>
        <w:top w:val="single" w:sz="4" w:space="10" w:color="0F4761" w:themeColor="accent1" w:themeShade="BF"/>
        <w:bottom w:val="single" w:sz="4" w:space="10" w:color="0F4761" w:themeColor="accent1" w:themeShade="BF"/>
      </w:pBdr>
      <w:spacing w:before="18pt" w:after="18pt" w:line="12.95pt" w:lineRule="auto"/>
      <w:ind w:start="43.20pt" w:end="43.20pt"/>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EA01CC"/>
    <w:rPr>
      <w:i/>
      <w:iCs/>
      <w:color w:val="0F4761" w:themeColor="accent1" w:themeShade="BF"/>
    </w:rPr>
  </w:style>
  <w:style w:type="character" w:styleId="IntenseReference">
    <w:name w:val="Intense Reference"/>
    <w:basedOn w:val="DefaultParagraphFont"/>
    <w:uiPriority w:val="32"/>
    <w:qFormat/>
    <w:rsid w:val="00EA01CC"/>
    <w:rPr>
      <w:b/>
      <w:bCs/>
      <w:smallCaps/>
      <w:color w:val="0F4761" w:themeColor="accent1" w:themeShade="BF"/>
      <w:spacing w:val="5"/>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purl.oclc.org/ooxml/officeDocument/relationships/webSettings" Target="webSettings.xml"/><Relationship Id="rId2" Type="http://purl.oclc.org/ooxml/officeDocument/relationships/settings" Target="settings.xml"/><Relationship Id="rId1" Type="http://purl.oclc.org/ooxml/officeDocument/relationships/styles" Target="styles.xml"/><Relationship Id="rId5" Type="http://purl.oclc.org/ooxml/officeDocument/relationships/theme" Target="theme/theme1.xml"/><Relationship Id="rId4" Type="http://purl.oclc.org/ooxml/officeDocument/relationships/fontTable" Target="fontTable.xml"/></Relationships>
</file>

<file path=word/theme/theme1.xml><?xml version="1.0" encoding="utf-8"?>
<a:theme xmlns:a="http://purl.oclc.org/ooxml/drawingml/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purl.oclc.org/ooxml/officeDocument/extendedProperties" xmlns:vt="http://purl.oclc.org/ooxml/officeDocument/docPropsVTypes">
  <Template>Normal.dotm</Template>
  <TotalTime>1</TotalTime>
  <Pages>9</Pages>
  <Words>2043</Words>
  <Characters>11648</Characters>
  <Application>Microsoft Office Word</Application>
  <DocSecurity>0</DocSecurity>
  <Lines>97</Lines>
  <Paragraphs>27</Paragraphs>
  <ScaleCrop>false</ScaleCrop>
  <Company>Springer Nature</Company>
  <LinksUpToDate>false</LinksUpToDate>
  <CharactersWithSpaces>13664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2024-08-01T06:45:00Z</dcterms:created>
  <dcterms:modified xsi:type="dcterms:W3CDTF">2024-08-01T06:46:00Z</dcterms:modified>
</cp:coreProperties>
</file>