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CA4424" w14:textId="77777777" w:rsidR="000F3722" w:rsidRDefault="000F3722" w:rsidP="000F3722">
      <w:pPr>
        <w:jc w:val="center"/>
        <w:rPr>
          <w:b/>
        </w:rPr>
      </w:pPr>
      <w:r>
        <w:rPr>
          <w:b/>
        </w:rPr>
        <w:t>IRF4 mediates non-enzymatic dependency on IRE1 in Multiple Myeloma cells</w:t>
      </w:r>
    </w:p>
    <w:p w14:paraId="00000002" w14:textId="77777777" w:rsidR="00990BBD" w:rsidRDefault="00000000">
      <w:pPr>
        <w:spacing w:line="276" w:lineRule="auto"/>
        <w:jc w:val="both"/>
        <w:rPr>
          <w:b/>
        </w:rPr>
      </w:pPr>
      <w:r>
        <w:rPr>
          <w:b/>
        </w:rPr>
        <w:t xml:space="preserve"> </w:t>
      </w:r>
    </w:p>
    <w:p w14:paraId="00000003" w14:textId="7E006FEE" w:rsidR="00990BBD" w:rsidRDefault="00000000">
      <w:pPr>
        <w:spacing w:line="276" w:lineRule="auto"/>
        <w:jc w:val="both"/>
        <w:rPr>
          <w:vertAlign w:val="superscript"/>
        </w:rPr>
      </w:pPr>
      <w:r>
        <w:t>Ioanna Oikonomidi</w:t>
      </w:r>
      <w:r>
        <w:rPr>
          <w:vertAlign w:val="superscript"/>
        </w:rPr>
        <w:t>1</w:t>
      </w:r>
      <w:r>
        <w:t xml:space="preserve">, </w:t>
      </w:r>
      <w:proofErr w:type="spellStart"/>
      <w:r w:rsidR="005E164C">
        <w:t>Vasumathi</w:t>
      </w:r>
      <w:proofErr w:type="spellEnd"/>
      <w:r w:rsidR="005E164C">
        <w:t xml:space="preserve"> Kameswaran</w:t>
      </w:r>
      <w:r w:rsidR="005E164C">
        <w:rPr>
          <w:vertAlign w:val="superscript"/>
        </w:rPr>
        <w:t>2</w:t>
      </w:r>
      <w:r>
        <w:t>, Victoria C. Pham</w:t>
      </w:r>
      <w:r>
        <w:rPr>
          <w:vertAlign w:val="superscript"/>
        </w:rPr>
        <w:t>2</w:t>
      </w:r>
      <w:r>
        <w:t xml:space="preserve">, </w:t>
      </w:r>
      <w:proofErr w:type="spellStart"/>
      <w:r>
        <w:t>Iratxe</w:t>
      </w:r>
      <w:proofErr w:type="spellEnd"/>
      <w:r>
        <w:t xml:space="preserve"> Zuazo-Gaztelu</w:t>
      </w:r>
      <w:r>
        <w:rPr>
          <w:vertAlign w:val="superscript"/>
        </w:rPr>
        <w:t>1</w:t>
      </w:r>
      <w:r>
        <w:t>, Lauren M. Gutgesell</w:t>
      </w:r>
      <w:r>
        <w:rPr>
          <w:vertAlign w:val="superscript"/>
        </w:rPr>
        <w:t>1</w:t>
      </w:r>
      <w:r>
        <w:t>, Scot Marsters</w:t>
      </w:r>
      <w:r>
        <w:rPr>
          <w:vertAlign w:val="superscript"/>
        </w:rPr>
        <w:t>1</w:t>
      </w:r>
      <w:r>
        <w:t xml:space="preserve">, </w:t>
      </w:r>
      <w:r w:rsidR="005E164C">
        <w:t>Bence Daniel</w:t>
      </w:r>
      <w:proofErr w:type="gramStart"/>
      <w:r w:rsidR="005E164C">
        <w:rPr>
          <w:vertAlign w:val="superscript"/>
        </w:rPr>
        <w:t>2</w:t>
      </w:r>
      <w:r w:rsidR="005E164C">
        <w:t xml:space="preserve"> ,J</w:t>
      </w:r>
      <w:r>
        <w:t>ennie</w:t>
      </w:r>
      <w:proofErr w:type="gramEnd"/>
      <w:r>
        <w:t xml:space="preserve"> Lill</w:t>
      </w:r>
      <w:r>
        <w:rPr>
          <w:vertAlign w:val="superscript"/>
        </w:rPr>
        <w:t>2</w:t>
      </w:r>
      <w:r>
        <w:t>, Zora Modrusan</w:t>
      </w:r>
      <w:r>
        <w:rPr>
          <w:vertAlign w:val="superscript"/>
        </w:rPr>
        <w:t>2</w:t>
      </w:r>
      <w:r>
        <w:t>, and Avi Ashkenazi</w:t>
      </w:r>
      <w:r>
        <w:rPr>
          <w:vertAlign w:val="superscript"/>
        </w:rPr>
        <w:t>1,3</w:t>
      </w:r>
    </w:p>
    <w:p w14:paraId="00000004" w14:textId="77777777" w:rsidR="00990BBD" w:rsidRDefault="00990BBD">
      <w:pPr>
        <w:spacing w:line="276" w:lineRule="auto"/>
        <w:jc w:val="both"/>
      </w:pPr>
    </w:p>
    <w:p w14:paraId="00000005" w14:textId="77777777" w:rsidR="00990BBD" w:rsidRDefault="00000000">
      <w:pPr>
        <w:rPr>
          <w:rFonts w:ascii="Times New Roman" w:eastAsia="Times New Roman" w:hAnsi="Times New Roman" w:cs="Times New Roman"/>
        </w:rPr>
      </w:pPr>
      <w:r>
        <w:rPr>
          <w:rFonts w:ascii="Arial" w:eastAsia="Arial" w:hAnsi="Arial" w:cs="Arial"/>
          <w:sz w:val="11"/>
          <w:szCs w:val="11"/>
          <w:highlight w:val="white"/>
        </w:rPr>
        <w:t xml:space="preserve">1 </w:t>
      </w:r>
      <w:r>
        <w:rPr>
          <w:rFonts w:ascii="Arial" w:eastAsia="Arial" w:hAnsi="Arial" w:cs="Arial"/>
          <w:sz w:val="16"/>
          <w:szCs w:val="16"/>
          <w:highlight w:val="white"/>
        </w:rPr>
        <w:t>Department of Cancer Immunology, Genentech, Inc.</w:t>
      </w:r>
    </w:p>
    <w:p w14:paraId="00000006" w14:textId="77777777" w:rsidR="00990BBD" w:rsidRDefault="00000000">
      <w:pPr>
        <w:rPr>
          <w:rFonts w:ascii="Arial" w:eastAsia="Arial" w:hAnsi="Arial" w:cs="Arial"/>
          <w:sz w:val="11"/>
          <w:szCs w:val="11"/>
          <w:highlight w:val="white"/>
        </w:rPr>
      </w:pPr>
      <w:r>
        <w:rPr>
          <w:rFonts w:ascii="Arial" w:eastAsia="Arial" w:hAnsi="Arial" w:cs="Arial"/>
          <w:sz w:val="11"/>
          <w:szCs w:val="11"/>
          <w:highlight w:val="white"/>
        </w:rPr>
        <w:t xml:space="preserve">2 </w:t>
      </w:r>
      <w:r>
        <w:rPr>
          <w:rFonts w:ascii="Arial" w:eastAsia="Arial" w:hAnsi="Arial" w:cs="Arial"/>
          <w:sz w:val="16"/>
          <w:szCs w:val="16"/>
          <w:highlight w:val="white"/>
        </w:rPr>
        <w:t xml:space="preserve">Department of Microchemistry, Proteomics and </w:t>
      </w:r>
      <w:proofErr w:type="spellStart"/>
      <w:r>
        <w:rPr>
          <w:rFonts w:ascii="Arial" w:eastAsia="Arial" w:hAnsi="Arial" w:cs="Arial"/>
          <w:sz w:val="16"/>
          <w:szCs w:val="16"/>
          <w:highlight w:val="white"/>
        </w:rPr>
        <w:t>Lipidomics</w:t>
      </w:r>
      <w:proofErr w:type="spellEnd"/>
      <w:r>
        <w:rPr>
          <w:rFonts w:ascii="Arial" w:eastAsia="Arial" w:hAnsi="Arial" w:cs="Arial"/>
          <w:sz w:val="16"/>
          <w:szCs w:val="16"/>
          <w:highlight w:val="white"/>
        </w:rPr>
        <w:t>, Genentech, Inc.</w:t>
      </w:r>
    </w:p>
    <w:p w14:paraId="00000007" w14:textId="77777777" w:rsidR="00990BBD" w:rsidRDefault="00000000">
      <w:pPr>
        <w:rPr>
          <w:rFonts w:ascii="Arial" w:eastAsia="Arial" w:hAnsi="Arial" w:cs="Arial"/>
          <w:sz w:val="16"/>
          <w:szCs w:val="16"/>
          <w:highlight w:val="white"/>
        </w:rPr>
      </w:pPr>
      <w:r>
        <w:rPr>
          <w:rFonts w:ascii="Arial" w:eastAsia="Arial" w:hAnsi="Arial" w:cs="Arial"/>
          <w:sz w:val="11"/>
          <w:szCs w:val="11"/>
          <w:highlight w:val="white"/>
        </w:rPr>
        <w:t>3</w:t>
      </w:r>
      <w:r>
        <w:rPr>
          <w:rFonts w:ascii="Arial" w:eastAsia="Arial" w:hAnsi="Arial" w:cs="Arial"/>
          <w:sz w:val="16"/>
          <w:szCs w:val="16"/>
          <w:highlight w:val="white"/>
        </w:rPr>
        <w:t>To whom correspondence should be addressed</w:t>
      </w:r>
    </w:p>
    <w:p w14:paraId="00000008" w14:textId="77777777" w:rsidR="00990BBD" w:rsidRDefault="00000000">
      <w:pPr>
        <w:spacing w:line="276" w:lineRule="auto"/>
        <w:jc w:val="both"/>
        <w:rPr>
          <w:b/>
        </w:rPr>
      </w:pPr>
      <w:r>
        <w:rPr>
          <w:rFonts w:ascii="Arial" w:eastAsia="Arial" w:hAnsi="Arial" w:cs="Arial"/>
          <w:sz w:val="16"/>
          <w:szCs w:val="16"/>
          <w:highlight w:val="white"/>
        </w:rPr>
        <w:t xml:space="preserve">1 DNA Way, South San Francisco, Ca, USA 94080 </w:t>
      </w:r>
      <w:hyperlink r:id="rId8">
        <w:r>
          <w:rPr>
            <w:rFonts w:ascii="Arial" w:eastAsia="Arial" w:hAnsi="Arial" w:cs="Arial"/>
            <w:color w:val="1155CC"/>
            <w:sz w:val="16"/>
            <w:szCs w:val="16"/>
            <w:highlight w:val="white"/>
            <w:u w:val="single"/>
          </w:rPr>
          <w:t>aa@gene.com</w:t>
        </w:r>
      </w:hyperlink>
    </w:p>
    <w:p w14:paraId="00000009" w14:textId="77777777" w:rsidR="00990BBD" w:rsidRDefault="00990BBD">
      <w:pPr>
        <w:spacing w:line="276" w:lineRule="auto"/>
        <w:rPr>
          <w:b/>
        </w:rPr>
      </w:pPr>
    </w:p>
    <w:p w14:paraId="0000000A" w14:textId="77777777" w:rsidR="00990BBD" w:rsidRDefault="00990BBD">
      <w:pPr>
        <w:spacing w:line="276" w:lineRule="auto"/>
        <w:jc w:val="center"/>
        <w:rPr>
          <w:b/>
        </w:rPr>
      </w:pPr>
    </w:p>
    <w:p w14:paraId="0000000B" w14:textId="77777777" w:rsidR="00990BBD" w:rsidRDefault="00000000">
      <w:pPr>
        <w:spacing w:line="276" w:lineRule="auto"/>
        <w:jc w:val="center"/>
        <w:rPr>
          <w:b/>
        </w:rPr>
      </w:pPr>
      <w:r>
        <w:rPr>
          <w:b/>
        </w:rPr>
        <w:t>SUPPLEMENTAL DATA</w:t>
      </w:r>
    </w:p>
    <w:p w14:paraId="0000000C" w14:textId="77777777" w:rsidR="00990BBD" w:rsidRDefault="00990BBD">
      <w:pPr>
        <w:spacing w:line="276" w:lineRule="auto"/>
        <w:rPr>
          <w:b/>
        </w:rPr>
      </w:pPr>
    </w:p>
    <w:p w14:paraId="0000000D" w14:textId="77777777" w:rsidR="00990BBD" w:rsidRDefault="00000000">
      <w:pPr>
        <w:spacing w:line="276" w:lineRule="auto"/>
        <w:rPr>
          <w:b/>
        </w:rPr>
      </w:pPr>
      <w:r>
        <w:rPr>
          <w:b/>
        </w:rPr>
        <w:t>EXTENDED MATERIALS AND METHODS</w:t>
      </w:r>
    </w:p>
    <w:p w14:paraId="0000000E" w14:textId="77777777" w:rsidR="00990BBD" w:rsidRDefault="00000000">
      <w:pPr>
        <w:spacing w:line="276" w:lineRule="auto"/>
        <w:jc w:val="both"/>
        <w:rPr>
          <w:b/>
        </w:rPr>
      </w:pPr>
      <w:r>
        <w:rPr>
          <w:b/>
        </w:rPr>
        <w:t>Reagents:</w:t>
      </w:r>
    </w:p>
    <w:p w14:paraId="0000000F" w14:textId="77777777" w:rsidR="00990BBD" w:rsidRDefault="00000000">
      <w:pPr>
        <w:spacing w:line="276" w:lineRule="auto"/>
        <w:jc w:val="both"/>
      </w:pPr>
      <w:r>
        <w:t>Antibodies: XBP1s</w:t>
      </w:r>
      <w:r>
        <w:rPr>
          <w:vertAlign w:val="superscript"/>
        </w:rPr>
        <w:t>1,2</w:t>
      </w:r>
      <w:r>
        <w:t>, IRE1α LD</w:t>
      </w:r>
      <w:r>
        <w:rPr>
          <w:vertAlign w:val="superscript"/>
        </w:rPr>
        <w:t>3</w:t>
      </w:r>
      <w:r>
        <w:t>, pIRE1</w:t>
      </w:r>
      <w:r>
        <w:rPr>
          <w:vertAlign w:val="superscript"/>
        </w:rPr>
        <w:t>1,2</w:t>
      </w:r>
      <w:r>
        <w:t xml:space="preserve"> were from Genentech. GAPDH-HRP (#2118), IRF4 (#4964), MITF (#12590),</w:t>
      </w:r>
      <w:r>
        <w:rPr>
          <w:b/>
        </w:rPr>
        <w:t xml:space="preserve"> </w:t>
      </w:r>
      <w:proofErr w:type="spellStart"/>
      <w:r>
        <w:t>Aiolos</w:t>
      </w:r>
      <w:proofErr w:type="spellEnd"/>
      <w:r>
        <w:t xml:space="preserve"> (#12720), Cofilin-HRP (#8503), Histone H3 #9715), Lamin B2 (#12255), Ubiquitin (#3936), CDK2 for immunoprecipitation (#18048), Rb (#9309), p21 (#2947), actin-HRP (#5125), Lamin A/C (#2032), PARP1 (#9532), Caspase 3 (#9662), Caspase 8 (#9746), p53 (#18032), pT160 CDK2 (#2561), CDK1 (#9116)</w:t>
      </w:r>
      <w:r>
        <w:rPr>
          <w:b/>
        </w:rPr>
        <w:t>,</w:t>
      </w:r>
      <w:r>
        <w:t xml:space="preserve"> CDK6 (#13331), Cyclin E2 (#4132), Cyclin B1 (#4138), p27 (#2552), pS608 Rb (#2181), pS795 Rb (#9301), PERK (#5683), eIF2α #9722) and CHOP (#2895)</w:t>
      </w:r>
      <w:r>
        <w:rPr>
          <w:b/>
        </w:rPr>
        <w:t xml:space="preserve"> </w:t>
      </w:r>
      <w:r>
        <w:t xml:space="preserve">were from Cell Signaling Technology (CST). CD59 (ab133707) c-Myc (ab32072), CDK2 (ab32147), pT14 CDK2 (ab68265), pT124 Cdc25A (ab182666), and Cdc25A (ab2357), Histone H2AX (ab20669), and </w:t>
      </w:r>
      <w:r>
        <w:rPr>
          <w:color w:val="222222"/>
          <w:highlight w:val="white"/>
        </w:rPr>
        <w:t>RNAPII-pS2 (ab5095)</w:t>
      </w:r>
      <w:r>
        <w:t xml:space="preserve"> were from Abcam. γΗ2ΑΧ (#05-636) was from Millipore, pT24 CDK6 (#PA537518) from </w:t>
      </w:r>
      <w:proofErr w:type="spellStart"/>
      <w:r>
        <w:t>Thermo</w:t>
      </w:r>
      <w:proofErr w:type="spellEnd"/>
      <w:r>
        <w:t xml:space="preserve"> Fisher Scientific, while E2F1 (#66515-1-Ig), ATF6 (#66563–1) and UHRF1 (#21402-1-AP) were from </w:t>
      </w:r>
      <w:proofErr w:type="spellStart"/>
      <w:r>
        <w:t>Proteintech</w:t>
      </w:r>
      <w:proofErr w:type="spellEnd"/>
      <w:r>
        <w:t>.</w:t>
      </w:r>
    </w:p>
    <w:p w14:paraId="37CA33D1" w14:textId="77777777" w:rsidR="00FF447D" w:rsidRDefault="00000000">
      <w:pPr>
        <w:spacing w:line="276" w:lineRule="auto"/>
        <w:jc w:val="both"/>
      </w:pPr>
      <w:r>
        <w:t xml:space="preserve">IRE1 Inhibitors: Kinase inhibitor (KI) (1-3uM, </w:t>
      </w:r>
    </w:p>
    <w:p w14:paraId="00000010" w14:textId="1CDEC6EB" w:rsidR="00990BBD" w:rsidRDefault="00FF447D">
      <w:pPr>
        <w:spacing w:line="276" w:lineRule="auto"/>
        <w:jc w:val="both"/>
      </w:pPr>
      <w:r>
        <w:t xml:space="preserve">Ref. </w:t>
      </w:r>
      <w:r w:rsidRPr="00FF447D">
        <w:t>4</w:t>
      </w:r>
      <w:r>
        <w:t xml:space="preserve">), RNase inhibitor (RI) 4u8C (10uM, aka IRE1 inhibitor III, Ref. </w:t>
      </w:r>
      <w:r w:rsidRPr="00FF447D">
        <w:t>5</w:t>
      </w:r>
      <w:r>
        <w:t xml:space="preserve">) and RNase inhibitor (RI2; 1uM; aka MKC8866, Ref. </w:t>
      </w:r>
      <w:r w:rsidRPr="00FF447D">
        <w:t>6</w:t>
      </w:r>
      <w:r>
        <w:t xml:space="preserve">) were from Genentech. CDK1 inhibitor RO-3306 (9 </w:t>
      </w:r>
      <w:proofErr w:type="spellStart"/>
      <w:r>
        <w:t>μM</w:t>
      </w:r>
      <w:proofErr w:type="spellEnd"/>
      <w:r>
        <w:t xml:space="preserve">, Ref. </w:t>
      </w:r>
      <w:r w:rsidRPr="00FF447D">
        <w:t>7</w:t>
      </w:r>
      <w:r>
        <w:t xml:space="preserve">) was from </w:t>
      </w:r>
      <w:proofErr w:type="spellStart"/>
      <w:r>
        <w:t>MedChem</w:t>
      </w:r>
      <w:proofErr w:type="spellEnd"/>
      <w:r>
        <w:t xml:space="preserve"> Express. Pan-Caspase inhibitor Q-VD-</w:t>
      </w:r>
      <w:proofErr w:type="spellStart"/>
      <w:r>
        <w:t>Oph</w:t>
      </w:r>
      <w:proofErr w:type="spellEnd"/>
      <w:r>
        <w:t xml:space="preserve"> (50uM, Q-VD) was from </w:t>
      </w:r>
      <w:proofErr w:type="spellStart"/>
      <w:r>
        <w:t>SelleckChem</w:t>
      </w:r>
      <w:proofErr w:type="spellEnd"/>
      <w:r>
        <w:t xml:space="preserve">. Doxycycline (0.1-0.2 ug/mL) was from </w:t>
      </w:r>
      <w:proofErr w:type="spellStart"/>
      <w:r>
        <w:t>Clontech</w:t>
      </w:r>
      <w:proofErr w:type="spellEnd"/>
      <w:r>
        <w:t>. Etoposide (25uM, #1226) was from R&amp;D systems. Cycloheximide (CHX, C4859) was from Sigma-Aldrich.</w:t>
      </w:r>
      <w:r>
        <w:rPr>
          <w:b/>
        </w:rPr>
        <w:t xml:space="preserve"> </w:t>
      </w:r>
      <w:r>
        <w:t>Actinomycin D (1ug/mL, #</w:t>
      </w:r>
      <w:r>
        <w:rPr>
          <w:color w:val="071D32"/>
          <w:sz w:val="22"/>
          <w:szCs w:val="22"/>
          <w:highlight w:val="white"/>
        </w:rPr>
        <w:t>11805017</w:t>
      </w:r>
      <w:r>
        <w:t>) was from Gibco.</w:t>
      </w:r>
      <w:r>
        <w:rPr>
          <w:b/>
        </w:rPr>
        <w:t xml:space="preserve"> </w:t>
      </w:r>
      <w:r>
        <w:t>E1+UBA3 inhibitor was from Genentech.</w:t>
      </w:r>
    </w:p>
    <w:p w14:paraId="00000011" w14:textId="77777777" w:rsidR="00990BBD" w:rsidRDefault="00990BBD">
      <w:pPr>
        <w:spacing w:line="276" w:lineRule="auto"/>
        <w:jc w:val="both"/>
      </w:pPr>
    </w:p>
    <w:p w14:paraId="00000012" w14:textId="6B5F8DE6" w:rsidR="00990BBD" w:rsidRDefault="00000000">
      <w:pPr>
        <w:spacing w:line="276" w:lineRule="auto"/>
        <w:jc w:val="both"/>
        <w:rPr>
          <w:b/>
        </w:rPr>
      </w:pPr>
      <w:r>
        <w:rPr>
          <w:b/>
        </w:rPr>
        <w:t xml:space="preserve">Corrected </w:t>
      </w:r>
      <w:r w:rsidR="00F348FD">
        <w:rPr>
          <w:b/>
        </w:rPr>
        <w:t>Gene Effect</w:t>
      </w:r>
      <w:r>
        <w:rPr>
          <w:b/>
        </w:rPr>
        <w:t xml:space="preserve"> score calculation</w:t>
      </w:r>
    </w:p>
    <w:p w14:paraId="00000013" w14:textId="7CC764A2" w:rsidR="00990BBD" w:rsidRDefault="00000000">
      <w:pPr>
        <w:spacing w:line="276" w:lineRule="auto"/>
        <w:jc w:val="both"/>
      </w:pPr>
      <w:proofErr w:type="spellStart"/>
      <w:r>
        <w:t>CrisprGeneEffect</w:t>
      </w:r>
      <w:proofErr w:type="spellEnd"/>
      <w:r>
        <w:t xml:space="preserve"> files were downloaded from </w:t>
      </w:r>
      <w:proofErr w:type="spellStart"/>
      <w:r>
        <w:rPr>
          <w:rFonts w:ascii="Arial" w:eastAsia="Arial" w:hAnsi="Arial" w:cs="Arial"/>
          <w:color w:val="333333"/>
          <w:sz w:val="21"/>
          <w:szCs w:val="21"/>
          <w:highlight w:val="white"/>
        </w:rPr>
        <w:t>DepMap</w:t>
      </w:r>
      <w:proofErr w:type="spellEnd"/>
      <w:r>
        <w:rPr>
          <w:rFonts w:ascii="Arial" w:eastAsia="Arial" w:hAnsi="Arial" w:cs="Arial"/>
          <w:color w:val="333333"/>
          <w:sz w:val="21"/>
          <w:szCs w:val="21"/>
          <w:highlight w:val="white"/>
        </w:rPr>
        <w:t xml:space="preserve">, Broad (2023). </w:t>
      </w:r>
      <w:proofErr w:type="spellStart"/>
      <w:r>
        <w:rPr>
          <w:rFonts w:ascii="Arial" w:eastAsia="Arial" w:hAnsi="Arial" w:cs="Arial"/>
          <w:color w:val="333333"/>
          <w:sz w:val="21"/>
          <w:szCs w:val="21"/>
          <w:highlight w:val="white"/>
        </w:rPr>
        <w:t>DepMap</w:t>
      </w:r>
      <w:proofErr w:type="spellEnd"/>
      <w:r>
        <w:rPr>
          <w:rFonts w:ascii="Arial" w:eastAsia="Arial" w:hAnsi="Arial" w:cs="Arial"/>
          <w:color w:val="333333"/>
          <w:sz w:val="21"/>
          <w:szCs w:val="21"/>
          <w:highlight w:val="white"/>
        </w:rPr>
        <w:t xml:space="preserve"> 23Q4 Public</w:t>
      </w:r>
      <w:r>
        <w:t xml:space="preserve">. Dataset. </w:t>
      </w:r>
      <w:hyperlink r:id="rId9">
        <w:r>
          <w:rPr>
            <w:rFonts w:ascii="Arial" w:eastAsia="Arial" w:hAnsi="Arial" w:cs="Arial"/>
            <w:color w:val="337AB7"/>
            <w:sz w:val="21"/>
            <w:szCs w:val="21"/>
            <w:highlight w:val="white"/>
            <w:u w:val="single"/>
          </w:rPr>
          <w:t>https://doi.org/10.25452/figshare.plus.24667905.v2</w:t>
        </w:r>
      </w:hyperlink>
      <w:r>
        <w:t>. An average gene effect score was calculated for all tested cell lines (1101) which was, then, subtracted by the C</w:t>
      </w:r>
      <w:r w:rsidR="00F348FD">
        <w:t xml:space="preserve">hronos </w:t>
      </w:r>
      <w:r>
        <w:t xml:space="preserve">score of each gene in the </w:t>
      </w:r>
      <w:proofErr w:type="spellStart"/>
      <w:r>
        <w:t>myltiple</w:t>
      </w:r>
      <w:proofErr w:type="spellEnd"/>
      <w:r>
        <w:t xml:space="preserve"> myeloma cell lines of interest (AMO1, KMS27, L363, JJN3, RPMI8226). </w:t>
      </w:r>
      <w:r>
        <w:lastRenderedPageBreak/>
        <w:t>This correction allowed for removing pan-essential genes and focusing on MM-specific dependencies.</w:t>
      </w:r>
      <w:r>
        <w:rPr>
          <w:b/>
        </w:rPr>
        <w:t xml:space="preserve"> </w:t>
      </w:r>
    </w:p>
    <w:p w14:paraId="00000014" w14:textId="77777777" w:rsidR="00990BBD" w:rsidRDefault="00990BBD">
      <w:pPr>
        <w:spacing w:line="276" w:lineRule="auto"/>
        <w:jc w:val="both"/>
        <w:rPr>
          <w:b/>
        </w:rPr>
      </w:pPr>
    </w:p>
    <w:p w14:paraId="00000015" w14:textId="77777777" w:rsidR="00990BBD" w:rsidRDefault="00000000">
      <w:pPr>
        <w:spacing w:line="276" w:lineRule="auto"/>
        <w:jc w:val="both"/>
        <w:rPr>
          <w:b/>
        </w:rPr>
      </w:pPr>
      <w:r>
        <w:rPr>
          <w:b/>
        </w:rPr>
        <w:t>Cell culture</w:t>
      </w:r>
    </w:p>
    <w:p w14:paraId="00000016" w14:textId="77777777" w:rsidR="00990BBD" w:rsidRDefault="00000000">
      <w:pPr>
        <w:spacing w:line="276" w:lineRule="auto"/>
        <w:jc w:val="both"/>
      </w:pPr>
      <w:r>
        <w:t>All cell lines were obtained or generated from an internal repository maintained at Genentech. Multiple Myeloma cell lines (AMO1 (</w:t>
      </w:r>
      <w:hyperlink r:id="rId10">
        <w:r>
          <w:rPr>
            <w:color w:val="0563C1"/>
            <w:u w:val="single"/>
          </w:rPr>
          <w:t>RRID:CVCL_1806</w:t>
        </w:r>
      </w:hyperlink>
      <w:r>
        <w:t>), KMS27 (JCRB Cat# JCRB1188,</w:t>
      </w:r>
      <w:hyperlink r:id="rId11">
        <w:r>
          <w:t xml:space="preserve"> </w:t>
        </w:r>
      </w:hyperlink>
      <w:hyperlink r:id="rId12">
        <w:r>
          <w:rPr>
            <w:color w:val="0563C1"/>
            <w:u w:val="single"/>
          </w:rPr>
          <w:t>RRID:CVCL_2993</w:t>
        </w:r>
      </w:hyperlink>
      <w:r>
        <w:t>) and L363 (</w:t>
      </w:r>
      <w:hyperlink r:id="rId13">
        <w:r>
          <w:rPr>
            <w:color w:val="0563C1"/>
            <w:u w:val="single"/>
          </w:rPr>
          <w:t>RRID:CVCL_L363</w:t>
        </w:r>
      </w:hyperlink>
      <w:r>
        <w:t xml:space="preserve">)) were maintained under standard conditions in RPMI 1640 containing 2 mM </w:t>
      </w:r>
      <w:proofErr w:type="spellStart"/>
      <w:r>
        <w:t>glutaMAX</w:t>
      </w:r>
      <w:proofErr w:type="spellEnd"/>
      <w:r>
        <w:t xml:space="preserve">, 100 U/mL penicillin, 100 </w:t>
      </w:r>
      <w:proofErr w:type="spellStart"/>
      <w:r>
        <w:t>μg</w:t>
      </w:r>
      <w:proofErr w:type="spellEnd"/>
      <w:r>
        <w:t>/mL streptomycin (all from Gibco), supplemented with 10% fetal bovine serum (Sigma).</w:t>
      </w:r>
    </w:p>
    <w:p w14:paraId="00000017" w14:textId="77777777" w:rsidR="00990BBD" w:rsidRDefault="00000000">
      <w:pPr>
        <w:spacing w:line="276" w:lineRule="auto"/>
        <w:jc w:val="both"/>
      </w:pPr>
      <w:r>
        <w:t xml:space="preserve"> </w:t>
      </w:r>
    </w:p>
    <w:p w14:paraId="00000018" w14:textId="77777777" w:rsidR="00990BBD" w:rsidRDefault="00000000">
      <w:pPr>
        <w:spacing w:line="276" w:lineRule="auto"/>
        <w:jc w:val="both"/>
        <w:rPr>
          <w:b/>
        </w:rPr>
      </w:pPr>
      <w:r>
        <w:rPr>
          <w:b/>
        </w:rPr>
        <w:t>Cell line authentication/quality control</w:t>
      </w:r>
    </w:p>
    <w:p w14:paraId="00000019" w14:textId="2981EB95" w:rsidR="00990BBD" w:rsidRDefault="00000000">
      <w:pPr>
        <w:spacing w:line="276" w:lineRule="auto"/>
        <w:jc w:val="both"/>
      </w:pPr>
      <w:r>
        <w:t xml:space="preserve">Short Tandem Repeat (STR) Profiling: STR profiles are determined for each line using the Promega </w:t>
      </w:r>
      <w:proofErr w:type="spellStart"/>
      <w:r>
        <w:t>PowerPlex</w:t>
      </w:r>
      <w:proofErr w:type="spellEnd"/>
      <w:r>
        <w:t xml:space="preserve"> 16 System. This is performed once and compared to external STR profiles of cell </w:t>
      </w:r>
      <w:proofErr w:type="gramStart"/>
      <w:r>
        <w:t>lines(</w:t>
      </w:r>
      <w:proofErr w:type="gramEnd"/>
      <w:r>
        <w:t xml:space="preserve">when available) to determine cell line ancestry. Loci analyzed: Detection of sixteen loci (fifteen </w:t>
      </w:r>
      <w:proofErr w:type="spellStart"/>
      <w:r>
        <w:t>STRloci</w:t>
      </w:r>
      <w:proofErr w:type="spellEnd"/>
      <w:r>
        <w:t xml:space="preserve"> and </w:t>
      </w:r>
      <w:proofErr w:type="spellStart"/>
      <w:r>
        <w:t>Amelogenin</w:t>
      </w:r>
      <w:proofErr w:type="spellEnd"/>
      <w:r>
        <w:t xml:space="preserve"> for gender identification), including D3S1358, TH01, D21S11, D18S51, Penta E,</w:t>
      </w:r>
      <w:r w:rsidR="00FF447D">
        <w:t xml:space="preserve"> </w:t>
      </w:r>
      <w:r>
        <w:t xml:space="preserve">D5S818, D13S317, D7S820, D16S539, CSF1PO, Penta D, AMEL, </w:t>
      </w:r>
      <w:proofErr w:type="spellStart"/>
      <w:r>
        <w:t>vWA</w:t>
      </w:r>
      <w:proofErr w:type="spellEnd"/>
      <w:r>
        <w:t>, D8S1179 and TPOX. Cell lines were also tested to ensure they were mycoplasma-free within 3 months of use.</w:t>
      </w:r>
    </w:p>
    <w:p w14:paraId="0000001A" w14:textId="77777777" w:rsidR="00990BBD" w:rsidRDefault="00000000">
      <w:pPr>
        <w:spacing w:line="276" w:lineRule="auto"/>
      </w:pPr>
      <w:r>
        <w:t xml:space="preserve"> </w:t>
      </w:r>
    </w:p>
    <w:p w14:paraId="0000001B" w14:textId="77777777" w:rsidR="00990BBD" w:rsidRDefault="00000000">
      <w:pPr>
        <w:spacing w:line="276" w:lineRule="auto"/>
        <w:rPr>
          <w:b/>
        </w:rPr>
      </w:pPr>
      <w:r>
        <w:rPr>
          <w:b/>
        </w:rPr>
        <w:t>Generation of shRNA-expressing and / or IRF4-expressing cells</w:t>
      </w:r>
    </w:p>
    <w:p w14:paraId="26EED885" w14:textId="16B8E180" w:rsidR="000F3722" w:rsidRDefault="00000000">
      <w:pPr>
        <w:spacing w:line="276" w:lineRule="auto"/>
        <w:jc w:val="both"/>
      </w:pPr>
      <w:r>
        <w:t>Construction of AMO1, KMS27 or L363 shIRE1 and shXBP1 cells was described previously</w:t>
      </w:r>
      <w:r>
        <w:rPr>
          <w:vertAlign w:val="superscript"/>
        </w:rPr>
        <w:t>8</w:t>
      </w:r>
      <w:r>
        <w:t xml:space="preserve">. KMS27, AMO1, L363 cells were transfected simultaneously with three different </w:t>
      </w:r>
      <w:proofErr w:type="spellStart"/>
      <w:r>
        <w:t>shRNAs</w:t>
      </w:r>
      <w:proofErr w:type="spellEnd"/>
      <w:r>
        <w:t xml:space="preserve"> for either IRF4 or with a non-targeted control shRNA, encoded in a puromycin resistance piggyBac vector, controlled by a Doxycycline-inducible promoter. Transfected cells underwent puromycin selection and single-cell cloning. Clones with the most complete knockdown of IRF4 </w:t>
      </w:r>
      <w:r w:rsidR="00366444">
        <w:t xml:space="preserve">or MYC </w:t>
      </w:r>
      <w:r>
        <w:t xml:space="preserve">were selected by immunoblot and qPCR. IRF4 </w:t>
      </w:r>
      <w:proofErr w:type="spellStart"/>
      <w:r>
        <w:t>shRNAs</w:t>
      </w:r>
      <w:proofErr w:type="spellEnd"/>
      <w:r>
        <w:t xml:space="preserve">: 5’-TTGAAGAAGCCTCACACGTAA-3’, 5’- CAGGATGGAGCTGACTACGGA-3’, 5’-AGGATGGAGCTGACTACGGAA-3’. </w:t>
      </w:r>
      <w:r w:rsidR="000F3722">
        <w:t xml:space="preserve">MYC </w:t>
      </w:r>
      <w:proofErr w:type="spellStart"/>
      <w:r w:rsidR="000F3722">
        <w:t>shRNAs</w:t>
      </w:r>
      <w:proofErr w:type="spellEnd"/>
      <w:r w:rsidR="000F3722">
        <w:t xml:space="preserve">: </w:t>
      </w:r>
      <w:r w:rsidR="000F3722">
        <w:t>5’-</w:t>
      </w:r>
      <w:r w:rsidR="000F3722" w:rsidRPr="000F3722">
        <w:t>TAGTCGAGGTCATAGTTCCTG</w:t>
      </w:r>
      <w:r w:rsidR="000F3722">
        <w:t>-3’</w:t>
      </w:r>
      <w:r w:rsidR="000F3722">
        <w:t xml:space="preserve">, </w:t>
      </w:r>
      <w:r w:rsidR="000F3722">
        <w:t>5’-</w:t>
      </w:r>
      <w:r w:rsidR="000F3722" w:rsidRPr="000F3722">
        <w:t>TCGGTCACCATCTCCAGCTGG</w:t>
      </w:r>
      <w:r w:rsidR="000F3722">
        <w:t>-3’,</w:t>
      </w:r>
      <w:r w:rsidR="000F3722">
        <w:t xml:space="preserve"> </w:t>
      </w:r>
      <w:r w:rsidR="000F3722">
        <w:t>5’-</w:t>
      </w:r>
      <w:r w:rsidR="000F3722" w:rsidRPr="000F3722">
        <w:t>TACGGCTGCACCGAGTCGTAG</w:t>
      </w:r>
      <w:r w:rsidR="000F3722">
        <w:t>-3’</w:t>
      </w:r>
      <w:r w:rsidR="000F3722">
        <w:t>.</w:t>
      </w:r>
    </w:p>
    <w:p w14:paraId="0000001C" w14:textId="78887B4B" w:rsidR="00990BBD" w:rsidRDefault="00000000">
      <w:pPr>
        <w:spacing w:line="276" w:lineRule="auto"/>
        <w:jc w:val="both"/>
      </w:pPr>
      <w:r>
        <w:t xml:space="preserve">Full length human IRF4 was encoded after a Doxycycline-inducible promoter in a piggyBac plasmid encoding for </w:t>
      </w:r>
      <w:proofErr w:type="spellStart"/>
      <w:r>
        <w:t>Blasticidin</w:t>
      </w:r>
      <w:proofErr w:type="spellEnd"/>
      <w:r>
        <w:t xml:space="preserve"> resistance. AMO1 shIRE1 Cl.1 or AMO1 shIRF4 Cl.1 cells were transfected with IRF4 inducible plasmid using </w:t>
      </w:r>
      <w:proofErr w:type="spellStart"/>
      <w:r>
        <w:t>Mirus</w:t>
      </w:r>
      <w:proofErr w:type="spellEnd"/>
      <w:r>
        <w:t xml:space="preserve"> TransIT-X2 delivery system. </w:t>
      </w:r>
      <w:proofErr w:type="spellStart"/>
      <w:r>
        <w:t>Blasticidin</w:t>
      </w:r>
      <w:proofErr w:type="spellEnd"/>
      <w:r>
        <w:t>-selected cells were single-cell cloned and clones were screened for IRF4 induction levels by qPCR and immunoblotting.</w:t>
      </w:r>
    </w:p>
    <w:p w14:paraId="0000001D" w14:textId="77777777" w:rsidR="00990BBD" w:rsidRDefault="00000000">
      <w:pPr>
        <w:spacing w:line="276" w:lineRule="auto"/>
        <w:jc w:val="both"/>
      </w:pPr>
      <w:r>
        <w:t xml:space="preserve"> </w:t>
      </w:r>
    </w:p>
    <w:p w14:paraId="0000001E" w14:textId="77777777" w:rsidR="00990BBD" w:rsidRDefault="00000000">
      <w:pPr>
        <w:spacing w:line="276" w:lineRule="auto"/>
        <w:jc w:val="both"/>
        <w:rPr>
          <w:b/>
        </w:rPr>
      </w:pPr>
      <w:r>
        <w:rPr>
          <w:b/>
        </w:rPr>
        <w:t>siRNA transfections</w:t>
      </w:r>
    </w:p>
    <w:p w14:paraId="0000001F" w14:textId="77777777" w:rsidR="00990BBD" w:rsidRDefault="00000000">
      <w:pPr>
        <w:spacing w:line="276" w:lineRule="auto"/>
        <w:jc w:val="both"/>
      </w:pPr>
      <w:r>
        <w:t xml:space="preserve">siRNAs against MYC were purchased by </w:t>
      </w:r>
      <w:proofErr w:type="spellStart"/>
      <w:r>
        <w:t>Dharmacon</w:t>
      </w:r>
      <w:proofErr w:type="spellEnd"/>
      <w:r>
        <w:t xml:space="preserve"> Reagents. 5 x 10</w:t>
      </w:r>
      <w:r>
        <w:rPr>
          <w:vertAlign w:val="superscript"/>
        </w:rPr>
        <w:t>6</w:t>
      </w:r>
      <w:r>
        <w:t xml:space="preserve"> KMS27 cells were electroporated with 2uM </w:t>
      </w:r>
      <w:proofErr w:type="spellStart"/>
      <w:r>
        <w:t>siMYC</w:t>
      </w:r>
      <w:proofErr w:type="spellEnd"/>
      <w:r>
        <w:t xml:space="preserve">, using the Nucleofector Kit V (Lonza) according to </w:t>
      </w:r>
      <w:r>
        <w:lastRenderedPageBreak/>
        <w:t>manufacturer’s protocol and program X-001. Cells were incubated for 24h, 48h, and 72h and collected for RNA and protein extraction as described above.</w:t>
      </w:r>
    </w:p>
    <w:p w14:paraId="00000020" w14:textId="77777777" w:rsidR="00990BBD" w:rsidRDefault="00990BBD">
      <w:pPr>
        <w:spacing w:line="276" w:lineRule="auto"/>
        <w:jc w:val="both"/>
      </w:pPr>
    </w:p>
    <w:p w14:paraId="2F8547E5" w14:textId="77777777" w:rsidR="006A552C" w:rsidRDefault="006A552C">
      <w:pPr>
        <w:spacing w:line="276" w:lineRule="auto"/>
        <w:jc w:val="both"/>
      </w:pPr>
    </w:p>
    <w:p w14:paraId="275DBCB4" w14:textId="77777777" w:rsidR="006A552C" w:rsidRDefault="006A552C">
      <w:pPr>
        <w:spacing w:line="276" w:lineRule="auto"/>
        <w:jc w:val="both"/>
      </w:pPr>
    </w:p>
    <w:p w14:paraId="00000021" w14:textId="77777777" w:rsidR="00990BBD" w:rsidRDefault="00000000">
      <w:pPr>
        <w:spacing w:line="276" w:lineRule="auto"/>
        <w:jc w:val="both"/>
        <w:rPr>
          <w:b/>
        </w:rPr>
      </w:pPr>
      <w:r>
        <w:rPr>
          <w:b/>
        </w:rPr>
        <w:t>Apoptosis assays</w:t>
      </w:r>
    </w:p>
    <w:p w14:paraId="00000022" w14:textId="77777777" w:rsidR="00990BBD" w:rsidRDefault="00000000">
      <w:pPr>
        <w:spacing w:line="276" w:lineRule="auto"/>
        <w:jc w:val="both"/>
      </w:pPr>
      <w:proofErr w:type="spellStart"/>
      <w:r>
        <w:rPr>
          <w:u w:val="single"/>
        </w:rPr>
        <w:t>CaspaseGlo</w:t>
      </w:r>
      <w:proofErr w:type="spellEnd"/>
      <w:r>
        <w:rPr>
          <w:u w:val="single"/>
        </w:rPr>
        <w:t>:</w:t>
      </w:r>
      <w:r>
        <w:t xml:space="preserve"> Equal number of cells was seeded in opaque 96well plates and equal volume of Caspase 3/7 Glo (Promega) was added according to manufacturer’s instructions. Luminescence was measured using a PerkinElmer reader. </w:t>
      </w:r>
      <w:proofErr w:type="spellStart"/>
      <w:r>
        <w:rPr>
          <w:u w:val="single"/>
        </w:rPr>
        <w:t>AnnexinV</w:t>
      </w:r>
      <w:proofErr w:type="spellEnd"/>
      <w:r>
        <w:rPr>
          <w:u w:val="single"/>
        </w:rPr>
        <w:t>/PI staining:</w:t>
      </w:r>
      <w:r>
        <w:t xml:space="preserve"> Dead Cell Apoptosis kit (V13242, Invitrogen) was used according to </w:t>
      </w:r>
      <w:proofErr w:type="spellStart"/>
      <w:r>
        <w:t>manifacturer’s</w:t>
      </w:r>
      <w:proofErr w:type="spellEnd"/>
      <w:r>
        <w:t xml:space="preserve"> instructions. In brief, past the indicated treatments, 1 x 10</w:t>
      </w:r>
      <w:r>
        <w:rPr>
          <w:vertAlign w:val="superscript"/>
        </w:rPr>
        <w:t>6</w:t>
      </w:r>
      <w:r>
        <w:t xml:space="preserve"> cells were stained with FITC Annexin V and PI according to manufacturer’s instructions and visualized on a </w:t>
      </w:r>
      <w:proofErr w:type="spellStart"/>
      <w:r>
        <w:t>FACSymphony</w:t>
      </w:r>
      <w:proofErr w:type="spellEnd"/>
      <w:r>
        <w:t xml:space="preserve"> cell analyzer (BD). Percentages of cells in early (Annexin V + PI </w:t>
      </w:r>
      <w:proofErr w:type="gramStart"/>
      <w:r>
        <w:t>- )</w:t>
      </w:r>
      <w:proofErr w:type="gramEnd"/>
      <w:r>
        <w:t xml:space="preserve"> or late (Annexin V + PI + ) apoptosis were determined with FlowJo10 software. </w:t>
      </w:r>
      <w:proofErr w:type="spellStart"/>
      <w:r>
        <w:rPr>
          <w:u w:val="single"/>
        </w:rPr>
        <w:t>Tunel</w:t>
      </w:r>
      <w:proofErr w:type="spellEnd"/>
      <w:r>
        <w:rPr>
          <w:u w:val="single"/>
        </w:rPr>
        <w:t xml:space="preserve"> assay:</w:t>
      </w:r>
      <w:r>
        <w:t xml:space="preserve"> DNA fractionation in AMO1 shIRE1 EV vs shIRE1 IRF4 cl.4 cells were measured using the In Situ Cell Death Detection Kit, Fluorescein (Roche, 11684795910) according to protocol. In brief, 2 million cells per treatment were stained with LIVE/DEAD fixable dye (Life Technologies, 30 min at RT) and then fixed in 2% PFA solution. After permeabilization, cells were treated with TUNEL reaction mixture. A positive control was treated with DNase I solution prior to TUNEL reaction. Immediately after labeling, the samples were analyzed on a </w:t>
      </w:r>
      <w:proofErr w:type="spellStart"/>
      <w:r>
        <w:t>FACSymphony</w:t>
      </w:r>
      <w:proofErr w:type="spellEnd"/>
      <w:r>
        <w:t xml:space="preserve"> cell analyzer (BD). After excluding dead cells, apoptotic cells were determined using </w:t>
      </w:r>
      <w:proofErr w:type="spellStart"/>
      <w:r>
        <w:t>FlowJo</w:t>
      </w:r>
      <w:proofErr w:type="spellEnd"/>
      <w:r>
        <w:t xml:space="preserve"> 10.10.0 software.</w:t>
      </w:r>
    </w:p>
    <w:p w14:paraId="00000023" w14:textId="77777777" w:rsidR="00990BBD" w:rsidRDefault="00990BBD">
      <w:pPr>
        <w:spacing w:line="276" w:lineRule="auto"/>
        <w:jc w:val="both"/>
      </w:pPr>
    </w:p>
    <w:p w14:paraId="00000024" w14:textId="77777777" w:rsidR="00990BBD" w:rsidRDefault="00000000">
      <w:pPr>
        <w:spacing w:line="276" w:lineRule="auto"/>
        <w:jc w:val="both"/>
        <w:rPr>
          <w:b/>
        </w:rPr>
      </w:pPr>
      <w:r>
        <w:rPr>
          <w:b/>
        </w:rPr>
        <w:t>RT-qPCR</w:t>
      </w:r>
    </w:p>
    <w:p w14:paraId="00000025" w14:textId="77777777" w:rsidR="00990BBD" w:rsidRDefault="00000000">
      <w:pPr>
        <w:spacing w:line="276" w:lineRule="auto"/>
        <w:jc w:val="both"/>
      </w:pPr>
      <w:r>
        <w:t>As described before</w:t>
      </w:r>
      <w:r>
        <w:rPr>
          <w:vertAlign w:val="superscript"/>
        </w:rPr>
        <w:t>2</w:t>
      </w:r>
      <w:r>
        <w:t xml:space="preserve">, RNA was extracted with RNeasy Plus kit (Qiagen). Equal amounts of RNA were reverse transcribed and amplified by RNA-to-Ct kit (Applied Biosystems) on the </w:t>
      </w:r>
      <w:proofErr w:type="spellStart"/>
      <w:r>
        <w:t>ViiA</w:t>
      </w:r>
      <w:proofErr w:type="spellEnd"/>
      <w:r>
        <w:t xml:space="preserve"> 7 Real-Time PCR System. The </w:t>
      </w:r>
      <w:proofErr w:type="spellStart"/>
      <w:r>
        <w:t>δδCt</w:t>
      </w:r>
      <w:proofErr w:type="spellEnd"/>
      <w:r>
        <w:t xml:space="preserve"> values were calculated by relating each individual Ct value to its internal GAPDH control, and then normalizing to the vehicle-treatment control, using the </w:t>
      </w:r>
      <w:proofErr w:type="spellStart"/>
      <w:r>
        <w:t>ViiA</w:t>
      </w:r>
      <w:proofErr w:type="spellEnd"/>
      <w:r>
        <w:t xml:space="preserve"> 7 software. </w:t>
      </w:r>
      <w:proofErr w:type="spellStart"/>
      <w:r>
        <w:t>Taqman</w:t>
      </w:r>
      <w:proofErr w:type="spellEnd"/>
      <w:r>
        <w:t xml:space="preserve"> primers (Life Technologies): GAPDH: Hs02758991_g1; XBP1u: Hs02856596_m1; XBP1s: Hs03929085_g1; DGAT2: Hs01045913_m1; CD59: Hs00174141_m1; IRF4: Hs00180031_m1; ERN1: Hs00980095_m1; MITF: Hs01117294_m1; MYC: Hs01031255_m1; IKZF1: Hs00958474_m1; IKZF3: Hs05037772_s1; Cdc25A: Hs00947994_m1; E2F1: Hs00153451_m1; E2F2: Hs00918090_m1; CDK1: Hs00938777_m1; CDK2: Hs01548894_m1; CDK4: Hs00364847_m1; CDK6: Hs01026371_m1; CDKN1A: Hs00355782_m1; CCND2: Hs00153380_m1; CCNA2: Hs00996788_m1; RB1: Hs01078066_m1; CCNE1: Hs01026536_ m1; CCNE2: Hs00180319_m1; UHRF1: Hs01086727_m1; PRDM1: Hs00153357_m1; ATM: Hs00175892_m1, CCNB3: Hs00364460_m1; CCNB1: Hs99999188_m1.</w:t>
      </w:r>
    </w:p>
    <w:p w14:paraId="00000026" w14:textId="77777777" w:rsidR="00990BBD" w:rsidRDefault="00000000">
      <w:pPr>
        <w:spacing w:line="276" w:lineRule="auto"/>
        <w:jc w:val="both"/>
        <w:rPr>
          <w:b/>
        </w:rPr>
      </w:pPr>
      <w:r>
        <w:rPr>
          <w:b/>
        </w:rPr>
        <w:t xml:space="preserve"> </w:t>
      </w:r>
    </w:p>
    <w:p w14:paraId="1E7E6A20" w14:textId="77777777" w:rsidR="001301EC" w:rsidRDefault="001301EC">
      <w:pPr>
        <w:spacing w:line="276" w:lineRule="auto"/>
        <w:jc w:val="both"/>
        <w:rPr>
          <w:b/>
        </w:rPr>
      </w:pPr>
    </w:p>
    <w:p w14:paraId="690A831A" w14:textId="77777777" w:rsidR="001301EC" w:rsidRDefault="001301EC">
      <w:pPr>
        <w:spacing w:line="276" w:lineRule="auto"/>
        <w:jc w:val="both"/>
        <w:rPr>
          <w:b/>
        </w:rPr>
      </w:pPr>
    </w:p>
    <w:p w14:paraId="00000027" w14:textId="77777777" w:rsidR="00990BBD" w:rsidRDefault="00000000">
      <w:pPr>
        <w:spacing w:line="276" w:lineRule="auto"/>
        <w:jc w:val="both"/>
        <w:rPr>
          <w:b/>
        </w:rPr>
      </w:pPr>
      <w:r>
        <w:rPr>
          <w:b/>
        </w:rPr>
        <w:lastRenderedPageBreak/>
        <w:t>Immunoblot</w:t>
      </w:r>
    </w:p>
    <w:p w14:paraId="00000028" w14:textId="77777777" w:rsidR="00990BBD" w:rsidRDefault="00000000">
      <w:pPr>
        <w:spacing w:line="276" w:lineRule="auto"/>
        <w:jc w:val="both"/>
      </w:pPr>
      <w:r>
        <w:t xml:space="preserve">Cells were washed in ice-cold PBS and lysed in RIPA lysis buffer (20-188, Millipore) supplemented with </w:t>
      </w:r>
      <w:proofErr w:type="spellStart"/>
      <w:r>
        <w:t>cOmplete</w:t>
      </w:r>
      <w:proofErr w:type="spellEnd"/>
      <w:r>
        <w:t xml:space="preserve"> protease inhibitor cocktail (Roche) and </w:t>
      </w:r>
      <w:proofErr w:type="spellStart"/>
      <w:r>
        <w:t>PhosSTOP</w:t>
      </w:r>
      <w:proofErr w:type="spellEnd"/>
      <w:r>
        <w:t xml:space="preserve"> (Roche) tablets on ice for 30 mins. Clarified lysates (16,100 g for 10 min at 4 °C) were quantified by BCA protein assay (</w:t>
      </w:r>
      <w:proofErr w:type="spellStart"/>
      <w:r>
        <w:t>Thermo</w:t>
      </w:r>
      <w:proofErr w:type="spellEnd"/>
      <w:r>
        <w:t xml:space="preserve"> Fisher Scientific) and</w:t>
      </w:r>
      <w:r>
        <w:rPr>
          <w:b/>
        </w:rPr>
        <w:t xml:space="preserve"> </w:t>
      </w:r>
      <w:r>
        <w:t xml:space="preserve">normalized lysates were denatured with 3x </w:t>
      </w:r>
      <w:proofErr w:type="spellStart"/>
      <w:r>
        <w:t>NuPAGE</w:t>
      </w:r>
      <w:proofErr w:type="spellEnd"/>
      <w:r>
        <w:t xml:space="preserve"> LDS (or SDS where indicated) buffer supplemented with 0.4M Dithiothreitol (DTT, Invitrogen) at 95 °C for 5 min.</w:t>
      </w:r>
      <w:r>
        <w:rPr>
          <w:b/>
        </w:rPr>
        <w:t xml:space="preserve"> </w:t>
      </w:r>
      <w:proofErr w:type="spellStart"/>
      <w:r>
        <w:t>NuPAGE</w:t>
      </w:r>
      <w:proofErr w:type="spellEnd"/>
      <w:r>
        <w:t xml:space="preserve"> pre-cast gels with MOPS running </w:t>
      </w:r>
      <w:proofErr w:type="spellStart"/>
      <w:r>
        <w:t>biffer</w:t>
      </w:r>
      <w:proofErr w:type="spellEnd"/>
      <w:r>
        <w:t xml:space="preserve"> (or Tris-Glycine </w:t>
      </w:r>
      <w:proofErr w:type="spellStart"/>
      <w:r>
        <w:t>Wedgwell</w:t>
      </w:r>
      <w:proofErr w:type="spellEnd"/>
      <w:r>
        <w:t xml:space="preserve"> pre-cast gels with Tris-</w:t>
      </w:r>
      <w:proofErr w:type="spellStart"/>
      <w:r>
        <w:t>Glycin</w:t>
      </w:r>
      <w:proofErr w:type="spellEnd"/>
      <w:r>
        <w:t xml:space="preserve"> running buffer, where indicated) (Invitrogen) were used for SDS-PAGE electrophoresis and protein was electro-transferred to nitrocellulose membranes using the </w:t>
      </w:r>
      <w:proofErr w:type="spellStart"/>
      <w:r>
        <w:t>iBLOT</w:t>
      </w:r>
      <w:proofErr w:type="spellEnd"/>
      <w:r>
        <w:t xml:space="preserve"> dry blotting systems (Invitrogen). Membranes were then blocked in 5% non-fat milk solution for 45 minutes at RT and probed with the corresponding primary antibodies overnight at 4 °C. Following appropriate washing, blots were incubated with secondary (HRP-conjugated) antibodies (Jackson </w:t>
      </w:r>
      <w:proofErr w:type="spellStart"/>
      <w:r>
        <w:t>Immunoresearch</w:t>
      </w:r>
      <w:proofErr w:type="spellEnd"/>
      <w:r>
        <w:t xml:space="preserve"> Laboratories; 1:10000 dilution) for 1 hour at RT. HRP Chemiluminescence was measured in an Azure imaging system (Azure Biosystems) using </w:t>
      </w:r>
      <w:proofErr w:type="spellStart"/>
      <w:r>
        <w:t>SuperSignal</w:t>
      </w:r>
      <w:proofErr w:type="spellEnd"/>
      <w:r>
        <w:t xml:space="preserve"> West Dura Extended Duration Substrate or </w:t>
      </w:r>
      <w:proofErr w:type="spellStart"/>
      <w:r>
        <w:t>SuperSignal</w:t>
      </w:r>
      <w:proofErr w:type="spellEnd"/>
      <w:r>
        <w:t xml:space="preserve"> West Pico PLUS Chemiluminescent Substrate (</w:t>
      </w:r>
      <w:proofErr w:type="spellStart"/>
      <w:r>
        <w:t>Thermo</w:t>
      </w:r>
      <w:proofErr w:type="spellEnd"/>
      <w:r>
        <w:t xml:space="preserve"> Fisher Scientific).</w:t>
      </w:r>
    </w:p>
    <w:p w14:paraId="00000029" w14:textId="77777777" w:rsidR="00990BBD" w:rsidRDefault="00000000">
      <w:pPr>
        <w:spacing w:line="276" w:lineRule="auto"/>
        <w:jc w:val="both"/>
      </w:pPr>
      <w:r>
        <w:t xml:space="preserve"> </w:t>
      </w:r>
    </w:p>
    <w:p w14:paraId="0000002A" w14:textId="77777777" w:rsidR="00990BBD" w:rsidRDefault="00000000">
      <w:pPr>
        <w:spacing w:line="276" w:lineRule="auto"/>
        <w:jc w:val="both"/>
        <w:rPr>
          <w:b/>
        </w:rPr>
      </w:pPr>
      <w:r>
        <w:rPr>
          <w:b/>
        </w:rPr>
        <w:t>Densitometry</w:t>
      </w:r>
    </w:p>
    <w:p w14:paraId="0000002B" w14:textId="77777777" w:rsidR="00990BBD" w:rsidRDefault="00000000">
      <w:pPr>
        <w:spacing w:line="276" w:lineRule="auto"/>
        <w:jc w:val="both"/>
      </w:pPr>
      <w:r>
        <w:t>Semi-quantitative densitometric analysis on chemiluminescence images from immunoblot exposures was performed with Fiji software, measuring at least three independent experiments. Results represent mean values of a representative experiment. Half-life was calculated using GraphPad Prism software.</w:t>
      </w:r>
    </w:p>
    <w:p w14:paraId="0000002C" w14:textId="77777777" w:rsidR="00990BBD" w:rsidRDefault="00000000">
      <w:pPr>
        <w:spacing w:line="276" w:lineRule="auto"/>
        <w:jc w:val="both"/>
      </w:pPr>
      <w:r>
        <w:t xml:space="preserve"> </w:t>
      </w:r>
    </w:p>
    <w:p w14:paraId="0000002D" w14:textId="77777777" w:rsidR="00990BBD" w:rsidRDefault="00000000">
      <w:pPr>
        <w:jc w:val="both"/>
        <w:rPr>
          <w:rFonts w:ascii="Times New Roman" w:eastAsia="Times New Roman" w:hAnsi="Times New Roman" w:cs="Times New Roman"/>
        </w:rPr>
      </w:pPr>
      <w:r>
        <w:rPr>
          <w:b/>
          <w:color w:val="000000"/>
        </w:rPr>
        <w:t>Confluence</w:t>
      </w:r>
    </w:p>
    <w:p w14:paraId="0000002E" w14:textId="77777777" w:rsidR="00990BBD" w:rsidRDefault="00000000">
      <w:pPr>
        <w:jc w:val="both"/>
        <w:rPr>
          <w:rFonts w:ascii="Times New Roman" w:eastAsia="Times New Roman" w:hAnsi="Times New Roman" w:cs="Times New Roman"/>
        </w:rPr>
      </w:pPr>
      <w:r>
        <w:rPr>
          <w:color w:val="000000"/>
        </w:rPr>
        <w:t>3D proliferation assays were described previously</w:t>
      </w:r>
      <w:r>
        <w:rPr>
          <w:color w:val="000000"/>
          <w:sz w:val="14"/>
          <w:szCs w:val="14"/>
          <w:vertAlign w:val="superscript"/>
        </w:rPr>
        <w:t>12</w:t>
      </w:r>
      <w:r>
        <w:rPr>
          <w:color w:val="000000"/>
        </w:rPr>
        <w:t>. In brief, 5000 cells per well were plated in ULA 96-well plates (Corning) and single spheroids were formed by centrifugation (600g) for 5 min. Treatments were used at the indicated concentrations at the time of plating. Spheroids were imaged in an incubator of 37°C, 5% CO</w:t>
      </w:r>
      <w:r>
        <w:rPr>
          <w:color w:val="000000"/>
          <w:sz w:val="14"/>
          <w:szCs w:val="14"/>
          <w:vertAlign w:val="subscript"/>
        </w:rPr>
        <w:t>2</w:t>
      </w:r>
      <w:r>
        <w:rPr>
          <w:color w:val="000000"/>
        </w:rPr>
        <w:t xml:space="preserve">, and 95% humidity using an </w:t>
      </w:r>
      <w:proofErr w:type="spellStart"/>
      <w:r>
        <w:rPr>
          <w:color w:val="000000"/>
        </w:rPr>
        <w:t>IncuCyte</w:t>
      </w:r>
      <w:proofErr w:type="spellEnd"/>
      <w:r>
        <w:rPr>
          <w:color w:val="000000"/>
        </w:rPr>
        <w:t xml:space="preserve"> instrument (</w:t>
      </w:r>
      <w:proofErr w:type="spellStart"/>
      <w:r>
        <w:rPr>
          <w:color w:val="000000"/>
        </w:rPr>
        <w:t>EssenBioscience</w:t>
      </w:r>
      <w:proofErr w:type="spellEnd"/>
      <w:r>
        <w:rPr>
          <w:color w:val="000000"/>
        </w:rPr>
        <w:t>). Frames were captured at 4-h intervals using a 4x objective and confluence (%) or spheroid um</w:t>
      </w:r>
      <w:r>
        <w:rPr>
          <w:color w:val="000000"/>
          <w:sz w:val="14"/>
          <w:szCs w:val="14"/>
          <w:vertAlign w:val="superscript"/>
        </w:rPr>
        <w:t>2</w:t>
      </w:r>
      <w:r>
        <w:rPr>
          <w:color w:val="000000"/>
        </w:rPr>
        <w:t>/image were calculated on the instrument.</w:t>
      </w:r>
    </w:p>
    <w:p w14:paraId="0000002F" w14:textId="77777777" w:rsidR="00990BBD" w:rsidRDefault="00000000">
      <w:pPr>
        <w:jc w:val="both"/>
        <w:rPr>
          <w:rFonts w:ascii="Times New Roman" w:eastAsia="Times New Roman" w:hAnsi="Times New Roman" w:cs="Times New Roman"/>
        </w:rPr>
      </w:pPr>
      <w:r>
        <w:rPr>
          <w:b/>
          <w:color w:val="000000"/>
        </w:rPr>
        <w:t> </w:t>
      </w:r>
    </w:p>
    <w:p w14:paraId="00000030" w14:textId="77777777" w:rsidR="00990BBD" w:rsidRDefault="00000000">
      <w:pPr>
        <w:jc w:val="both"/>
        <w:rPr>
          <w:rFonts w:ascii="Times New Roman" w:eastAsia="Times New Roman" w:hAnsi="Times New Roman" w:cs="Times New Roman"/>
        </w:rPr>
      </w:pPr>
      <w:r>
        <w:rPr>
          <w:b/>
          <w:color w:val="000000"/>
        </w:rPr>
        <w:t>Apoptosis assays</w:t>
      </w:r>
    </w:p>
    <w:p w14:paraId="00000031" w14:textId="77777777" w:rsidR="00990BBD" w:rsidRDefault="00000000">
      <w:pPr>
        <w:jc w:val="both"/>
        <w:rPr>
          <w:rFonts w:ascii="Times New Roman" w:eastAsia="Times New Roman" w:hAnsi="Times New Roman" w:cs="Times New Roman"/>
        </w:rPr>
      </w:pPr>
      <w:proofErr w:type="spellStart"/>
      <w:r>
        <w:rPr>
          <w:color w:val="000000"/>
          <w:u w:val="single"/>
        </w:rPr>
        <w:t>AnnexinV</w:t>
      </w:r>
      <w:proofErr w:type="spellEnd"/>
      <w:r>
        <w:rPr>
          <w:color w:val="000000"/>
          <w:u w:val="single"/>
        </w:rPr>
        <w:t>/PI staining:</w:t>
      </w:r>
      <w:r>
        <w:rPr>
          <w:color w:val="000000"/>
        </w:rPr>
        <w:t xml:space="preserve"> Dead Cell Apoptosis kit (Invitrogen) was used according to </w:t>
      </w:r>
      <w:proofErr w:type="spellStart"/>
      <w:r>
        <w:rPr>
          <w:color w:val="000000"/>
        </w:rPr>
        <w:t>manifacturer’s</w:t>
      </w:r>
      <w:proofErr w:type="spellEnd"/>
      <w:r>
        <w:rPr>
          <w:color w:val="000000"/>
        </w:rPr>
        <w:t xml:space="preserve"> instructions. In brief, cells were stained with FITC Annexin V and PI according to manufacturer’s instructions and visualized on a </w:t>
      </w:r>
      <w:proofErr w:type="spellStart"/>
      <w:r>
        <w:rPr>
          <w:color w:val="000000"/>
        </w:rPr>
        <w:t>FACSymphony</w:t>
      </w:r>
      <w:proofErr w:type="spellEnd"/>
      <w:r>
        <w:rPr>
          <w:color w:val="000000"/>
        </w:rPr>
        <w:t xml:space="preserve"> analyzer (BD). Percentages of cells in early (Annexin V+PI-) or late (Annexin V+PI+) apoptosis were determined with </w:t>
      </w:r>
      <w:proofErr w:type="spellStart"/>
      <w:r>
        <w:rPr>
          <w:color w:val="000000"/>
        </w:rPr>
        <w:t>FlowJo</w:t>
      </w:r>
      <w:proofErr w:type="spellEnd"/>
      <w:r>
        <w:rPr>
          <w:color w:val="000000"/>
        </w:rPr>
        <w:t xml:space="preserve">. </w:t>
      </w:r>
      <w:proofErr w:type="spellStart"/>
      <w:r>
        <w:rPr>
          <w:color w:val="000000"/>
          <w:u w:val="single"/>
        </w:rPr>
        <w:t>Tunel</w:t>
      </w:r>
      <w:proofErr w:type="spellEnd"/>
      <w:r>
        <w:rPr>
          <w:color w:val="000000"/>
          <w:u w:val="single"/>
        </w:rPr>
        <w:t xml:space="preserve"> assay:</w:t>
      </w:r>
      <w:r>
        <w:rPr>
          <w:color w:val="000000"/>
        </w:rPr>
        <w:t xml:space="preserve"> DNA fractionation was measured using the In Situ Cell Death Detection Kit, Fluorescein (Roche). Cells were stained with LIVE/DEAD fixable dye (Life Technologies, 30 min at RT) and then fixed in 2% PFA solution. Following, cells were treated with TUNEL reaction mixture. Immediately after </w:t>
      </w:r>
      <w:r>
        <w:rPr>
          <w:color w:val="000000"/>
        </w:rPr>
        <w:lastRenderedPageBreak/>
        <w:t xml:space="preserve">labeling, the samples were analyzed on a </w:t>
      </w:r>
      <w:proofErr w:type="spellStart"/>
      <w:r>
        <w:rPr>
          <w:color w:val="000000"/>
        </w:rPr>
        <w:t>FACSymphony</w:t>
      </w:r>
      <w:proofErr w:type="spellEnd"/>
      <w:r>
        <w:rPr>
          <w:color w:val="000000"/>
        </w:rPr>
        <w:t xml:space="preserve"> analyzer (BD). After excluding dead cells, apoptotic cells were determined using </w:t>
      </w:r>
      <w:proofErr w:type="spellStart"/>
      <w:r>
        <w:rPr>
          <w:color w:val="000000"/>
        </w:rPr>
        <w:t>FlowJo</w:t>
      </w:r>
      <w:proofErr w:type="spellEnd"/>
      <w:r>
        <w:rPr>
          <w:color w:val="000000"/>
        </w:rPr>
        <w:t>.</w:t>
      </w:r>
    </w:p>
    <w:p w14:paraId="00000032" w14:textId="77777777" w:rsidR="00990BBD" w:rsidRDefault="00000000">
      <w:pPr>
        <w:jc w:val="both"/>
        <w:rPr>
          <w:rFonts w:ascii="Times New Roman" w:eastAsia="Times New Roman" w:hAnsi="Times New Roman" w:cs="Times New Roman"/>
        </w:rPr>
      </w:pPr>
      <w:r>
        <w:rPr>
          <w:color w:val="000000"/>
        </w:rPr>
        <w:t> </w:t>
      </w:r>
    </w:p>
    <w:p w14:paraId="00000033" w14:textId="77777777" w:rsidR="00990BBD" w:rsidRDefault="00000000">
      <w:pPr>
        <w:jc w:val="both"/>
        <w:rPr>
          <w:rFonts w:ascii="Times New Roman" w:eastAsia="Times New Roman" w:hAnsi="Times New Roman" w:cs="Times New Roman"/>
        </w:rPr>
      </w:pPr>
      <w:r>
        <w:rPr>
          <w:b/>
          <w:color w:val="000000"/>
        </w:rPr>
        <w:t>Nuclear Run-On</w:t>
      </w:r>
    </w:p>
    <w:p w14:paraId="00000034" w14:textId="77777777" w:rsidR="00990BBD" w:rsidRDefault="00000000">
      <w:pPr>
        <w:jc w:val="both"/>
        <w:rPr>
          <w:rFonts w:ascii="Times New Roman" w:eastAsia="Times New Roman" w:hAnsi="Times New Roman" w:cs="Times New Roman"/>
        </w:rPr>
      </w:pPr>
      <w:r>
        <w:rPr>
          <w:color w:val="000000"/>
        </w:rPr>
        <w:t>For the isolation of nascent RNA chains from AMO1 shIRE1 cl.1 cells Click-</w:t>
      </w:r>
      <w:proofErr w:type="spellStart"/>
      <w:r>
        <w:rPr>
          <w:color w:val="000000"/>
        </w:rPr>
        <w:t>iT</w:t>
      </w:r>
      <w:proofErr w:type="spellEnd"/>
      <w:r>
        <w:rPr>
          <w:color w:val="000000"/>
        </w:rPr>
        <w:t xml:space="preserve"> Nascent RNA Capture Kit (Life Technologies) was used. Cells were first incubated with 0.2ug/mL Doxycycline for the indicated durations and 1 hour before the end of the Dox incubation, the cells were pulsed with 0.5mM EU for 1h and total RNA was extracted using RNeasy Plus Mini kit (Qiagen). 1ug RNA input was biotinylated with a Click-it reaction according to manufacturer’s instructions and precipitated with Glycogen provided in the kit and </w:t>
      </w:r>
      <w:proofErr w:type="spellStart"/>
      <w:r>
        <w:rPr>
          <w:color w:val="000000"/>
        </w:rPr>
        <w:t>GlycoBlue</w:t>
      </w:r>
      <w:proofErr w:type="spellEnd"/>
      <w:r>
        <w:rPr>
          <w:color w:val="000000"/>
        </w:rPr>
        <w:t xml:space="preserve"> </w:t>
      </w:r>
      <w:proofErr w:type="spellStart"/>
      <w:r>
        <w:rPr>
          <w:color w:val="000000"/>
        </w:rPr>
        <w:t>Coprecipitant</w:t>
      </w:r>
      <w:proofErr w:type="spellEnd"/>
      <w:r>
        <w:rPr>
          <w:color w:val="000000"/>
        </w:rPr>
        <w:t xml:space="preserve"> (</w:t>
      </w:r>
      <w:proofErr w:type="spellStart"/>
      <w:r>
        <w:rPr>
          <w:color w:val="000000"/>
        </w:rPr>
        <w:t>Thermo</w:t>
      </w:r>
      <w:proofErr w:type="spellEnd"/>
      <w:r>
        <w:rPr>
          <w:color w:val="000000"/>
        </w:rPr>
        <w:t xml:space="preserve"> Fisher Scientific) to help visualization for 2.5 hours at -80 °C before treated with </w:t>
      </w:r>
      <w:proofErr w:type="spellStart"/>
      <w:r>
        <w:rPr>
          <w:color w:val="000000"/>
        </w:rPr>
        <w:t>DNAse</w:t>
      </w:r>
      <w:proofErr w:type="spellEnd"/>
      <w:r>
        <w:rPr>
          <w:color w:val="000000"/>
        </w:rPr>
        <w:t xml:space="preserve"> and captured on Dyna beads. Biotinylated (nascent) RNA was reverse transcribed using </w:t>
      </w:r>
      <w:proofErr w:type="spellStart"/>
      <w:r>
        <w:rPr>
          <w:color w:val="000000"/>
        </w:rPr>
        <w:t>SuperScript</w:t>
      </w:r>
      <w:proofErr w:type="spellEnd"/>
      <w:r>
        <w:rPr>
          <w:color w:val="000000"/>
        </w:rPr>
        <w:t>™ IV VILO™ Master Mix (</w:t>
      </w:r>
      <w:proofErr w:type="spellStart"/>
      <w:r>
        <w:rPr>
          <w:color w:val="000000"/>
        </w:rPr>
        <w:t>Thermo</w:t>
      </w:r>
      <w:proofErr w:type="spellEnd"/>
      <w:r>
        <w:rPr>
          <w:color w:val="000000"/>
        </w:rPr>
        <w:t xml:space="preserve"> Fisher Scientific) immediately. Following, quantification of cDNA was achieved by qPCR, using the TaqMan Fast Advanced Master Mix for qPCR (Thermo-Fisher Scientific) on a </w:t>
      </w:r>
      <w:proofErr w:type="spellStart"/>
      <w:r>
        <w:rPr>
          <w:color w:val="000000"/>
        </w:rPr>
        <w:t>ViiA</w:t>
      </w:r>
      <w:proofErr w:type="spellEnd"/>
      <w:r>
        <w:rPr>
          <w:color w:val="000000"/>
        </w:rPr>
        <w:t xml:space="preserve"> 7 Real-Time PCR System (Thermo-Fisher Scientific) based on Ct values relative to GAPDH internal control.</w:t>
      </w:r>
    </w:p>
    <w:p w14:paraId="00000035" w14:textId="77777777" w:rsidR="00990BBD" w:rsidRDefault="00990BBD">
      <w:pPr>
        <w:rPr>
          <w:rFonts w:ascii="Times New Roman" w:eastAsia="Times New Roman" w:hAnsi="Times New Roman" w:cs="Times New Roman"/>
        </w:rPr>
      </w:pPr>
    </w:p>
    <w:p w14:paraId="00000036" w14:textId="77777777" w:rsidR="00990BBD" w:rsidRDefault="00000000">
      <w:pPr>
        <w:jc w:val="both"/>
        <w:rPr>
          <w:rFonts w:ascii="Times New Roman" w:eastAsia="Times New Roman" w:hAnsi="Times New Roman" w:cs="Times New Roman"/>
        </w:rPr>
      </w:pPr>
      <w:r>
        <w:rPr>
          <w:b/>
          <w:color w:val="000000"/>
        </w:rPr>
        <w:t>Subcellular Fractionation</w:t>
      </w:r>
    </w:p>
    <w:p w14:paraId="00000037" w14:textId="77777777" w:rsidR="00990BBD" w:rsidRDefault="00000000">
      <w:pPr>
        <w:jc w:val="both"/>
        <w:rPr>
          <w:rFonts w:ascii="Times New Roman" w:eastAsia="Times New Roman" w:hAnsi="Times New Roman" w:cs="Times New Roman"/>
        </w:rPr>
      </w:pPr>
      <w:r>
        <w:rPr>
          <w:color w:val="000000"/>
        </w:rPr>
        <w:t>Subcellular Fractionations were done using the Subcellular Protein Fractionation Kit for Cultured Cells (</w:t>
      </w:r>
      <w:proofErr w:type="spellStart"/>
      <w:r>
        <w:rPr>
          <w:color w:val="000000"/>
        </w:rPr>
        <w:t>Thermo</w:t>
      </w:r>
      <w:proofErr w:type="spellEnd"/>
      <w:r>
        <w:rPr>
          <w:color w:val="000000"/>
        </w:rPr>
        <w:t xml:space="preserve"> Scientific). Cells were pelleted and washed in PBS. The pellets were sequentially lysed with different lysis buffers containing 1x Halt Protease Inhibitor (</w:t>
      </w:r>
      <w:proofErr w:type="spellStart"/>
      <w:r>
        <w:rPr>
          <w:color w:val="000000"/>
        </w:rPr>
        <w:t>Thermo</w:t>
      </w:r>
      <w:proofErr w:type="spellEnd"/>
      <w:r>
        <w:rPr>
          <w:color w:val="000000"/>
        </w:rPr>
        <w:t xml:space="preserve">). Each post-lysis supernatant was a different cellular fraction (i.e. Cytoplasmic, Membrane, Soluble nuclear, Chromatin-bound nuclear). Lysates were then denatured with </w:t>
      </w:r>
      <w:proofErr w:type="spellStart"/>
      <w:r>
        <w:rPr>
          <w:color w:val="000000"/>
        </w:rPr>
        <w:t>NuPAGE</w:t>
      </w:r>
      <w:proofErr w:type="spellEnd"/>
      <w:r>
        <w:rPr>
          <w:color w:val="000000"/>
        </w:rPr>
        <w:t xml:space="preserve"> LDS supplemented with Dithiothreitol (Invitrogen) at 95°C for 5min and immunoblots followed.</w:t>
      </w:r>
    </w:p>
    <w:p w14:paraId="00000038" w14:textId="77777777" w:rsidR="00990BBD" w:rsidRDefault="00000000">
      <w:pPr>
        <w:jc w:val="both"/>
        <w:rPr>
          <w:rFonts w:ascii="Times New Roman" w:eastAsia="Times New Roman" w:hAnsi="Times New Roman" w:cs="Times New Roman"/>
        </w:rPr>
      </w:pPr>
      <w:r>
        <w:rPr>
          <w:color w:val="000000"/>
        </w:rPr>
        <w:t> </w:t>
      </w:r>
    </w:p>
    <w:p w14:paraId="00000039" w14:textId="77777777" w:rsidR="00990BBD" w:rsidRDefault="00000000">
      <w:pPr>
        <w:jc w:val="both"/>
        <w:rPr>
          <w:rFonts w:ascii="Times New Roman" w:eastAsia="Times New Roman" w:hAnsi="Times New Roman" w:cs="Times New Roman"/>
        </w:rPr>
      </w:pPr>
      <w:r>
        <w:rPr>
          <w:b/>
          <w:color w:val="000000"/>
        </w:rPr>
        <w:t>Co-immunoprecipitations</w:t>
      </w:r>
    </w:p>
    <w:p w14:paraId="0000003A" w14:textId="77777777" w:rsidR="00990BBD" w:rsidRDefault="00000000">
      <w:pPr>
        <w:jc w:val="both"/>
        <w:rPr>
          <w:rFonts w:ascii="Times New Roman" w:eastAsia="Times New Roman" w:hAnsi="Times New Roman" w:cs="Times New Roman"/>
        </w:rPr>
      </w:pPr>
      <w:r>
        <w:rPr>
          <w:color w:val="000000"/>
        </w:rPr>
        <w:t xml:space="preserve">Cells were lysed for 30min on ice in NP-40 lysis buffer (25 mM HEPES, pH 7.4, 150mM NaCl, 1mM EDTA, 1% NP-40, 10% glycerol) containing </w:t>
      </w:r>
      <w:proofErr w:type="spellStart"/>
      <w:r>
        <w:rPr>
          <w:color w:val="000000"/>
        </w:rPr>
        <w:t>cOmplete</w:t>
      </w:r>
      <w:proofErr w:type="spellEnd"/>
      <w:r>
        <w:rPr>
          <w:color w:val="000000"/>
        </w:rPr>
        <w:t xml:space="preserve"> protease inhibitor cocktail and </w:t>
      </w:r>
      <w:proofErr w:type="spellStart"/>
      <w:r>
        <w:rPr>
          <w:color w:val="000000"/>
        </w:rPr>
        <w:t>PhosSTOP</w:t>
      </w:r>
      <w:proofErr w:type="spellEnd"/>
      <w:r>
        <w:rPr>
          <w:color w:val="000000"/>
        </w:rPr>
        <w:t xml:space="preserve"> tablets (Roche). Post-nuclear supernatants were pre-cleared with unconjugated magnetic beads (Thermo-Fisher Scientific) or agarose at 4°C for 60min with rotation, followed by capture on magnetic beads plus CDK2 antibody (1:100)</w:t>
      </w:r>
      <w:r>
        <w:rPr>
          <w:b/>
          <w:color w:val="000000"/>
        </w:rPr>
        <w:t xml:space="preserve"> </w:t>
      </w:r>
      <w:r>
        <w:rPr>
          <w:color w:val="000000"/>
        </w:rPr>
        <w:t>for 90min. Beads were washed 3–5 times, for 10min, at 4°C in the same NP-40 lysis buffer supplemented with NaCl to 300mM. Samples were eluted with 1.5 x SDS-PAGE sample buffer and incubated at 95°C for 5min before loading.</w:t>
      </w:r>
    </w:p>
    <w:p w14:paraId="0000003B" w14:textId="77777777" w:rsidR="00990BBD" w:rsidRDefault="00000000">
      <w:pPr>
        <w:jc w:val="both"/>
        <w:rPr>
          <w:rFonts w:ascii="Times New Roman" w:eastAsia="Times New Roman" w:hAnsi="Times New Roman" w:cs="Times New Roman"/>
        </w:rPr>
      </w:pPr>
      <w:r>
        <w:rPr>
          <w:b/>
          <w:color w:val="000000"/>
        </w:rPr>
        <w:t> </w:t>
      </w:r>
    </w:p>
    <w:p w14:paraId="0000003C" w14:textId="77777777" w:rsidR="00990BBD" w:rsidRDefault="00000000">
      <w:pPr>
        <w:jc w:val="both"/>
        <w:rPr>
          <w:rFonts w:ascii="Times New Roman" w:eastAsia="Times New Roman" w:hAnsi="Times New Roman" w:cs="Times New Roman"/>
        </w:rPr>
      </w:pPr>
      <w:r>
        <w:rPr>
          <w:b/>
          <w:color w:val="000000"/>
        </w:rPr>
        <w:t>Cell proliferation (CFSE)</w:t>
      </w:r>
    </w:p>
    <w:p w14:paraId="0000003D" w14:textId="77777777" w:rsidR="00990BBD" w:rsidRDefault="00000000">
      <w:pPr>
        <w:jc w:val="both"/>
        <w:rPr>
          <w:rFonts w:ascii="Times New Roman" w:eastAsia="Times New Roman" w:hAnsi="Times New Roman" w:cs="Times New Roman"/>
        </w:rPr>
      </w:pPr>
      <w:r>
        <w:rPr>
          <w:color w:val="000000"/>
        </w:rPr>
        <w:t xml:space="preserve">Cells were incubated with 5μM Cell Trace Violet (Thermo-Fisher Scientific). After a 20-minute incubation in a 37°C water-bath, Serum-Free RPMI 1640 was added to the cells and incubated for 5min to absorb unbound dye. Cells were pelleted and plated -/+ Dox (or 25uM Etoposide as a negative proliferation control) for 72h. Cells were, then, harvested and stained with LIVE/DEAD Fixable Dead Cell Stain Kit (Life Technologies), and analyzed immediately using a </w:t>
      </w:r>
      <w:proofErr w:type="spellStart"/>
      <w:r>
        <w:rPr>
          <w:color w:val="000000"/>
        </w:rPr>
        <w:t>FACSymphony</w:t>
      </w:r>
      <w:proofErr w:type="spellEnd"/>
      <w:r>
        <w:rPr>
          <w:color w:val="000000"/>
        </w:rPr>
        <w:t xml:space="preserve"> analyzer (BD).</w:t>
      </w:r>
    </w:p>
    <w:p w14:paraId="0000003E" w14:textId="77777777" w:rsidR="00990BBD" w:rsidRDefault="00000000">
      <w:pPr>
        <w:jc w:val="both"/>
        <w:rPr>
          <w:b/>
          <w:color w:val="000000"/>
        </w:rPr>
      </w:pPr>
      <w:r>
        <w:rPr>
          <w:b/>
          <w:color w:val="000000"/>
        </w:rPr>
        <w:t> </w:t>
      </w:r>
    </w:p>
    <w:p w14:paraId="67172DD3" w14:textId="77777777" w:rsidR="001301EC" w:rsidRDefault="001301EC">
      <w:pPr>
        <w:jc w:val="both"/>
        <w:rPr>
          <w:b/>
          <w:color w:val="000000"/>
        </w:rPr>
      </w:pPr>
    </w:p>
    <w:p w14:paraId="38BB6FD2" w14:textId="77777777" w:rsidR="001301EC" w:rsidRDefault="001301EC">
      <w:pPr>
        <w:jc w:val="both"/>
        <w:rPr>
          <w:rFonts w:ascii="Times New Roman" w:eastAsia="Times New Roman" w:hAnsi="Times New Roman" w:cs="Times New Roman"/>
        </w:rPr>
      </w:pPr>
    </w:p>
    <w:p w14:paraId="0000003F" w14:textId="77777777" w:rsidR="00990BBD" w:rsidRDefault="00000000">
      <w:pPr>
        <w:jc w:val="both"/>
        <w:rPr>
          <w:rFonts w:ascii="Times New Roman" w:eastAsia="Times New Roman" w:hAnsi="Times New Roman" w:cs="Times New Roman"/>
        </w:rPr>
      </w:pPr>
      <w:r>
        <w:rPr>
          <w:b/>
          <w:color w:val="000000"/>
        </w:rPr>
        <w:lastRenderedPageBreak/>
        <w:t>DNA replication</w:t>
      </w:r>
    </w:p>
    <w:p w14:paraId="0E4AD06C" w14:textId="1A9A5B4F" w:rsidR="006A552C" w:rsidRPr="001301EC" w:rsidRDefault="00000000">
      <w:pPr>
        <w:jc w:val="both"/>
        <w:rPr>
          <w:rFonts w:ascii="Times New Roman" w:eastAsia="Times New Roman" w:hAnsi="Times New Roman" w:cs="Times New Roman"/>
        </w:rPr>
      </w:pPr>
      <w:r>
        <w:rPr>
          <w:color w:val="000000"/>
        </w:rPr>
        <w:t xml:space="preserve">DNA replication was assessed by </w:t>
      </w:r>
      <w:proofErr w:type="spellStart"/>
      <w:r>
        <w:rPr>
          <w:color w:val="000000"/>
        </w:rPr>
        <w:t>BrdU</w:t>
      </w:r>
      <w:proofErr w:type="spellEnd"/>
      <w:r>
        <w:rPr>
          <w:color w:val="000000"/>
        </w:rPr>
        <w:t xml:space="preserve"> incorporation using the </w:t>
      </w:r>
      <w:proofErr w:type="spellStart"/>
      <w:r>
        <w:rPr>
          <w:color w:val="000000"/>
        </w:rPr>
        <w:t>eBioscience</w:t>
      </w:r>
      <w:proofErr w:type="spellEnd"/>
      <w:r>
        <w:rPr>
          <w:color w:val="000000"/>
        </w:rPr>
        <w:t xml:space="preserve"> </w:t>
      </w:r>
      <w:proofErr w:type="spellStart"/>
      <w:r>
        <w:rPr>
          <w:color w:val="000000"/>
        </w:rPr>
        <w:t>BrdU</w:t>
      </w:r>
      <w:proofErr w:type="spellEnd"/>
      <w:r>
        <w:rPr>
          <w:color w:val="000000"/>
        </w:rPr>
        <w:t xml:space="preserve"> Staining Kit for Flow Cytometry (Invitrogen). Cells were treated with Doxycycline or Etoposide (negative proliferation control) in triplicate. </w:t>
      </w:r>
      <w:proofErr w:type="spellStart"/>
      <w:r>
        <w:rPr>
          <w:color w:val="000000"/>
        </w:rPr>
        <w:t>BrdU</w:t>
      </w:r>
      <w:proofErr w:type="spellEnd"/>
      <w:r>
        <w:rPr>
          <w:color w:val="000000"/>
        </w:rPr>
        <w:t xml:space="preserve"> in a final concentration of 10uM was added and the cells were returned back inside the incubator for 45min. Cells were collected and stained with the Zombie Fixable Viability Kit (</w:t>
      </w:r>
      <w:proofErr w:type="spellStart"/>
      <w:r>
        <w:rPr>
          <w:color w:val="000000"/>
        </w:rPr>
        <w:t>Biolegend</w:t>
      </w:r>
      <w:proofErr w:type="spellEnd"/>
      <w:r>
        <w:rPr>
          <w:color w:val="000000"/>
        </w:rPr>
        <w:t xml:space="preserve">) before fixating and permeabilizing with </w:t>
      </w:r>
      <w:proofErr w:type="spellStart"/>
      <w:r>
        <w:rPr>
          <w:color w:val="000000"/>
        </w:rPr>
        <w:t>BrdU</w:t>
      </w:r>
      <w:proofErr w:type="spellEnd"/>
      <w:r>
        <w:rPr>
          <w:color w:val="000000"/>
        </w:rPr>
        <w:t xml:space="preserve"> staining working solution, followed by DNase I treatment. Finally, anti-</w:t>
      </w:r>
      <w:proofErr w:type="spellStart"/>
      <w:r>
        <w:rPr>
          <w:color w:val="000000"/>
        </w:rPr>
        <w:t>BrdU</w:t>
      </w:r>
      <w:proofErr w:type="spellEnd"/>
      <w:r>
        <w:rPr>
          <w:color w:val="000000"/>
        </w:rPr>
        <w:t xml:space="preserve"> antibody was added or IgG isotype control and the samples were analyzed using a </w:t>
      </w:r>
      <w:proofErr w:type="spellStart"/>
      <w:r>
        <w:rPr>
          <w:color w:val="000000"/>
        </w:rPr>
        <w:t>FACSymphony</w:t>
      </w:r>
      <w:proofErr w:type="spellEnd"/>
      <w:r>
        <w:rPr>
          <w:color w:val="000000"/>
        </w:rPr>
        <w:t xml:space="preserve"> analyzer (BD).</w:t>
      </w:r>
    </w:p>
    <w:p w14:paraId="6399351D" w14:textId="77777777" w:rsidR="006A552C" w:rsidRDefault="006A552C">
      <w:pPr>
        <w:jc w:val="both"/>
        <w:rPr>
          <w:rFonts w:ascii="Times New Roman" w:eastAsia="Times New Roman" w:hAnsi="Times New Roman" w:cs="Times New Roman"/>
        </w:rPr>
      </w:pPr>
    </w:p>
    <w:p w14:paraId="00000042" w14:textId="77777777" w:rsidR="00990BBD" w:rsidRDefault="00000000">
      <w:pPr>
        <w:jc w:val="both"/>
        <w:rPr>
          <w:rFonts w:ascii="Times New Roman" w:eastAsia="Times New Roman" w:hAnsi="Times New Roman" w:cs="Times New Roman"/>
        </w:rPr>
      </w:pPr>
      <w:r>
        <w:rPr>
          <w:b/>
          <w:color w:val="000000"/>
        </w:rPr>
        <w:t>G2/M cell cycle synchronization and sorting</w:t>
      </w:r>
    </w:p>
    <w:p w14:paraId="00000043" w14:textId="77777777" w:rsidR="00990BBD" w:rsidRDefault="00000000">
      <w:pPr>
        <w:jc w:val="both"/>
        <w:rPr>
          <w:rFonts w:ascii="Times New Roman" w:eastAsia="Times New Roman" w:hAnsi="Times New Roman" w:cs="Times New Roman"/>
        </w:rPr>
      </w:pPr>
      <w:r>
        <w:rPr>
          <w:color w:val="000000"/>
        </w:rPr>
        <w:t xml:space="preserve">Cells were treated with 9uM CDK1i (RO-3306) for 21h in order to block cell cycle (G2/M phase). Cells were then stained with live-cell DNA stain: </w:t>
      </w:r>
      <w:proofErr w:type="spellStart"/>
      <w:r>
        <w:rPr>
          <w:color w:val="000000"/>
        </w:rPr>
        <w:t>Vybrant</w:t>
      </w:r>
      <w:proofErr w:type="spellEnd"/>
      <w:r>
        <w:rPr>
          <w:color w:val="000000"/>
        </w:rPr>
        <w:t xml:space="preserve"> </w:t>
      </w:r>
      <w:proofErr w:type="spellStart"/>
      <w:r>
        <w:rPr>
          <w:color w:val="000000"/>
        </w:rPr>
        <w:t>DyeCycle</w:t>
      </w:r>
      <w:proofErr w:type="spellEnd"/>
      <w:r>
        <w:rPr>
          <w:color w:val="000000"/>
        </w:rPr>
        <w:t xml:space="preserve"> Violet Stain (</w:t>
      </w:r>
      <w:proofErr w:type="spellStart"/>
      <w:r>
        <w:rPr>
          <w:color w:val="000000"/>
        </w:rPr>
        <w:t>Thermo</w:t>
      </w:r>
      <w:proofErr w:type="spellEnd"/>
      <w:r>
        <w:rPr>
          <w:color w:val="000000"/>
        </w:rPr>
        <w:t xml:space="preserve"> Fisher Scientific), and sorted according to their DNA content on a BD Fusion/S6 sorter. G2/M cells were returned back to culture. Before the end of the incubation 50uM </w:t>
      </w:r>
      <w:proofErr w:type="spellStart"/>
      <w:r>
        <w:rPr>
          <w:color w:val="000000"/>
        </w:rPr>
        <w:t>EdU</w:t>
      </w:r>
      <w:proofErr w:type="spellEnd"/>
      <w:r>
        <w:rPr>
          <w:color w:val="000000"/>
        </w:rPr>
        <w:t xml:space="preserve"> (Click-</w:t>
      </w:r>
      <w:proofErr w:type="spellStart"/>
      <w:r>
        <w:rPr>
          <w:color w:val="000000"/>
        </w:rPr>
        <w:t>iT</w:t>
      </w:r>
      <w:proofErr w:type="spellEnd"/>
      <w:r>
        <w:rPr>
          <w:color w:val="000000"/>
        </w:rPr>
        <w:t xml:space="preserve"> </w:t>
      </w:r>
      <w:proofErr w:type="spellStart"/>
      <w:r>
        <w:rPr>
          <w:color w:val="000000"/>
        </w:rPr>
        <w:t>EdU</w:t>
      </w:r>
      <w:proofErr w:type="spellEnd"/>
      <w:r>
        <w:rPr>
          <w:color w:val="000000"/>
        </w:rPr>
        <w:t xml:space="preserve"> Flow Cytometry, Invitrogen) were added in the cultures for 40min. Cells were then collected and stained with LIVE/DEAD Fixable Dead Cell Stain Kit (Invitrogen) for 30min on ice before proceeding with fixation/permeabilization and Click-it </w:t>
      </w:r>
      <w:proofErr w:type="spellStart"/>
      <w:r>
        <w:rPr>
          <w:color w:val="000000"/>
        </w:rPr>
        <w:t>EdU</w:t>
      </w:r>
      <w:proofErr w:type="spellEnd"/>
      <w:r>
        <w:rPr>
          <w:color w:val="000000"/>
        </w:rPr>
        <w:t xml:space="preserve"> reaction. Finally, DNA content was stained in saponin perm/fix solution using Hoechst </w:t>
      </w:r>
      <w:proofErr w:type="gramStart"/>
      <w:r>
        <w:rPr>
          <w:color w:val="000000"/>
        </w:rPr>
        <w:t>ready</w:t>
      </w:r>
      <w:proofErr w:type="gramEnd"/>
      <w:r>
        <w:rPr>
          <w:color w:val="000000"/>
        </w:rPr>
        <w:t>-Flow (</w:t>
      </w:r>
      <w:proofErr w:type="spellStart"/>
      <w:r>
        <w:rPr>
          <w:color w:val="000000"/>
        </w:rPr>
        <w:t>Thermo</w:t>
      </w:r>
      <w:proofErr w:type="spellEnd"/>
      <w:r>
        <w:rPr>
          <w:color w:val="000000"/>
        </w:rPr>
        <w:t xml:space="preserve"> Scientific). The samples were then analyzed using a </w:t>
      </w:r>
      <w:proofErr w:type="spellStart"/>
      <w:r>
        <w:rPr>
          <w:color w:val="000000"/>
        </w:rPr>
        <w:t>FACSymphony</w:t>
      </w:r>
      <w:proofErr w:type="spellEnd"/>
      <w:r>
        <w:rPr>
          <w:color w:val="000000"/>
        </w:rPr>
        <w:t xml:space="preserve"> analyzer (BD) and, using </w:t>
      </w:r>
      <w:proofErr w:type="spellStart"/>
      <w:r>
        <w:rPr>
          <w:color w:val="000000"/>
        </w:rPr>
        <w:t>FLowJo</w:t>
      </w:r>
      <w:proofErr w:type="spellEnd"/>
      <w:r>
        <w:rPr>
          <w:color w:val="000000"/>
        </w:rPr>
        <w:t>, live cells were allocated into cell cycle phases.</w:t>
      </w:r>
    </w:p>
    <w:p w14:paraId="00000044" w14:textId="77777777" w:rsidR="00990BBD" w:rsidRDefault="00000000">
      <w:pPr>
        <w:jc w:val="both"/>
        <w:rPr>
          <w:rFonts w:ascii="Times New Roman" w:eastAsia="Times New Roman" w:hAnsi="Times New Roman" w:cs="Times New Roman"/>
        </w:rPr>
      </w:pPr>
      <w:r>
        <w:rPr>
          <w:b/>
          <w:color w:val="000000"/>
        </w:rPr>
        <w:t> </w:t>
      </w:r>
    </w:p>
    <w:p w14:paraId="00000045" w14:textId="77777777" w:rsidR="00990BBD" w:rsidRDefault="00000000">
      <w:pPr>
        <w:jc w:val="both"/>
        <w:rPr>
          <w:rFonts w:ascii="Times New Roman" w:eastAsia="Times New Roman" w:hAnsi="Times New Roman" w:cs="Times New Roman"/>
        </w:rPr>
      </w:pPr>
      <w:r>
        <w:rPr>
          <w:b/>
          <w:color w:val="000000"/>
        </w:rPr>
        <w:t>DNA methylation (5-mc ELISA)</w:t>
      </w:r>
    </w:p>
    <w:p w14:paraId="00000046" w14:textId="77777777" w:rsidR="00990BBD" w:rsidRDefault="00000000">
      <w:pPr>
        <w:spacing w:line="276" w:lineRule="auto"/>
        <w:jc w:val="both"/>
      </w:pPr>
      <w:r>
        <w:rPr>
          <w:color w:val="000000"/>
        </w:rPr>
        <w:t>Total DNA was extracted from 1 x 10</w:t>
      </w:r>
      <w:r>
        <w:rPr>
          <w:color w:val="000000"/>
          <w:sz w:val="14"/>
          <w:szCs w:val="14"/>
          <w:vertAlign w:val="superscript"/>
        </w:rPr>
        <w:t>6</w:t>
      </w:r>
      <w:r>
        <w:rPr>
          <w:color w:val="000000"/>
        </w:rPr>
        <w:t xml:space="preserve"> cells using the </w:t>
      </w:r>
      <w:proofErr w:type="spellStart"/>
      <w:r>
        <w:rPr>
          <w:color w:val="000000"/>
        </w:rPr>
        <w:t>AllPrep</w:t>
      </w:r>
      <w:proofErr w:type="spellEnd"/>
      <w:r>
        <w:rPr>
          <w:color w:val="000000"/>
        </w:rPr>
        <w:t xml:space="preserve"> DNA/RNA Mini Kit (Qiagen). The extracted RNA was used to verify by RT-qPCR the effectiveness of the annotated treatments. DNA was quantified using Nanodrop spectrophotometer (</w:t>
      </w:r>
      <w:proofErr w:type="spellStart"/>
      <w:r>
        <w:rPr>
          <w:color w:val="000000"/>
        </w:rPr>
        <w:t>Thermo</w:t>
      </w:r>
      <w:proofErr w:type="spellEnd"/>
      <w:r>
        <w:rPr>
          <w:color w:val="000000"/>
        </w:rPr>
        <w:t xml:space="preserve"> Fisher Scientific) and 100ng were analyzed by </w:t>
      </w:r>
      <w:proofErr w:type="spellStart"/>
      <w:r>
        <w:rPr>
          <w:color w:val="000000"/>
        </w:rPr>
        <w:t>MethylFlash</w:t>
      </w:r>
      <w:proofErr w:type="spellEnd"/>
      <w:r>
        <w:rPr>
          <w:color w:val="000000"/>
        </w:rPr>
        <w:t xml:space="preserve"> Global DNA methylation (5-mC) ELISA Easy kit (</w:t>
      </w:r>
      <w:proofErr w:type="spellStart"/>
      <w:r>
        <w:rPr>
          <w:color w:val="000000"/>
        </w:rPr>
        <w:t>Epigentek</w:t>
      </w:r>
      <w:proofErr w:type="spellEnd"/>
      <w:r>
        <w:rPr>
          <w:color w:val="000000"/>
        </w:rPr>
        <w:t xml:space="preserve">), following manufacturer’s protocol. Absorbance was read on a </w:t>
      </w:r>
      <w:proofErr w:type="spellStart"/>
      <w:r>
        <w:rPr>
          <w:color w:val="000000"/>
        </w:rPr>
        <w:t>SpectraMax</w:t>
      </w:r>
      <w:proofErr w:type="spellEnd"/>
      <w:r>
        <w:rPr>
          <w:color w:val="000000"/>
        </w:rPr>
        <w:t xml:space="preserve"> M2 Microplate Reader (Molecular Devices) at 450nm and total 5mc-DNA was calculated based on the absorbance of the 5mc-DNA standard curve. Due to the minimal amount of DNA methylations in AMO1 cell line (approximately 0.1%), the results are represented as a fold change percentage.</w:t>
      </w:r>
    </w:p>
    <w:p w14:paraId="00000047" w14:textId="77777777" w:rsidR="00990BBD" w:rsidRDefault="00990BBD">
      <w:pPr>
        <w:spacing w:line="276" w:lineRule="auto"/>
        <w:jc w:val="both"/>
      </w:pPr>
    </w:p>
    <w:p w14:paraId="00000048" w14:textId="77777777" w:rsidR="00990BBD" w:rsidRDefault="00000000">
      <w:pPr>
        <w:spacing w:line="276" w:lineRule="auto"/>
        <w:jc w:val="both"/>
        <w:rPr>
          <w:b/>
        </w:rPr>
      </w:pPr>
      <w:r>
        <w:rPr>
          <w:b/>
        </w:rPr>
        <w:t>Phospho-Proteomics</w:t>
      </w:r>
    </w:p>
    <w:p w14:paraId="00000049" w14:textId="77777777" w:rsidR="00990BBD" w:rsidRDefault="00000000">
      <w:pPr>
        <w:spacing w:line="276" w:lineRule="auto"/>
        <w:jc w:val="both"/>
        <w:rPr>
          <w:i/>
        </w:rPr>
      </w:pPr>
      <w:r>
        <w:rPr>
          <w:i/>
        </w:rPr>
        <w:t>Sample preparation</w:t>
      </w:r>
    </w:p>
    <w:p w14:paraId="0000004A" w14:textId="77777777" w:rsidR="00990BBD" w:rsidRDefault="00000000">
      <w:pPr>
        <w:spacing w:line="276" w:lineRule="auto"/>
        <w:jc w:val="both"/>
      </w:pPr>
      <w:r>
        <w:t xml:space="preserve">AMO1 shIRE1 Cl.1 cells were harvested and lysed in HEPES buffer (20mM, pH 8.0) containing 9M urea and phosphatase inhibitors (1mM sodium orthovanadate, 2.5 mM sodium pyrophosphate, and 1.0 mM ß-glycerophosphate).  Lysates from 4 conditions were generated for </w:t>
      </w:r>
      <w:proofErr w:type="spellStart"/>
      <w:r>
        <w:t>phosphoproteomic</w:t>
      </w:r>
      <w:proofErr w:type="spellEnd"/>
      <w:r>
        <w:t xml:space="preserve"> analysis. The treatment conditions were DMSO, 0.2ug/mL Doxycycline, IRE1 KI, and IRE1 RI2 for 24 h.</w:t>
      </w:r>
      <w:r>
        <w:rPr>
          <w:b/>
        </w:rPr>
        <w:t xml:space="preserve"> </w:t>
      </w:r>
      <w:r>
        <w:t>Each condition was performed in 4 biological replicates, for a total of 16 samples.  Lysates were sonicated followed by centrifugation at 20,000 g for 20 min at 15 ˚C.  Protein concentration was measured using Bradford assay (</w:t>
      </w:r>
      <w:proofErr w:type="spellStart"/>
      <w:r>
        <w:t>BioRad</w:t>
      </w:r>
      <w:proofErr w:type="spellEnd"/>
      <w:r>
        <w:t xml:space="preserve">, Hercules, CA).  Proteins were reduced with 5 mM dithiothreitol (DTT) at 37 ˚C for 1h followed by alkylation with 15 mM </w:t>
      </w:r>
      <w:r>
        <w:lastRenderedPageBreak/>
        <w:t xml:space="preserve">iodoacetamide (IAA) at room temperature (RT) for 20 min in the dark.  Samples were diluted to a final concentration of 2M urea prior to digestion with Lys-C (Wako, Japan) at an </w:t>
      </w:r>
      <w:proofErr w:type="spellStart"/>
      <w:r>
        <w:t>enzyme:substrate</w:t>
      </w:r>
      <w:proofErr w:type="spellEnd"/>
      <w:r>
        <w:t xml:space="preserve"> ratio (E:S) of 1:50 at 37˚C for 2h followed by trypsin (Promega, Madison, WI) digestion at an E:S ratio of 1:50 at 37˚C overnight.  The digest mixtures were acidified with 20% trifluoroacetic acid (TFA) prior to solid-phase extraction using C18 cartridge (100 mg absorbent) from Waters (Milford, MA).  Peptides were eluted with 3x 0.5 mL of 60% acetonitrile (ACN)/0.1% TFA followed by peptide concentration measurement using a quantitative colorimetric peptide assay kit (</w:t>
      </w:r>
      <w:proofErr w:type="spellStart"/>
      <w:r>
        <w:t>Thermo</w:t>
      </w:r>
      <w:proofErr w:type="spellEnd"/>
      <w:r>
        <w:t>, San Jose, CA).  Equal amounts from each condition (2 mg) were subjected to lyophilization overnight.</w:t>
      </w:r>
    </w:p>
    <w:p w14:paraId="0000004B" w14:textId="77777777" w:rsidR="00990BBD" w:rsidRDefault="00000000">
      <w:pPr>
        <w:spacing w:line="276" w:lineRule="auto"/>
        <w:jc w:val="both"/>
        <w:rPr>
          <w:i/>
        </w:rPr>
      </w:pPr>
      <w:r>
        <w:rPr>
          <w:i/>
        </w:rPr>
        <w:t xml:space="preserve">Chemical Labeling with </w:t>
      </w:r>
      <w:proofErr w:type="spellStart"/>
      <w:r>
        <w:rPr>
          <w:i/>
        </w:rPr>
        <w:t>TMTPro</w:t>
      </w:r>
      <w:proofErr w:type="spellEnd"/>
      <w:r>
        <w:rPr>
          <w:i/>
        </w:rPr>
        <w:t xml:space="preserve"> reagent</w:t>
      </w:r>
    </w:p>
    <w:p w14:paraId="0000004C" w14:textId="77777777" w:rsidR="00990BBD" w:rsidRDefault="00000000">
      <w:pPr>
        <w:spacing w:line="276" w:lineRule="auto"/>
        <w:jc w:val="both"/>
      </w:pPr>
      <w:r>
        <w:t>The dried peptide mixtures were reconstituted in HEPES (100 mM, pH 8.5) to a concentration of 1 mg/</w:t>
      </w:r>
      <w:proofErr w:type="spellStart"/>
      <w:r>
        <w:t>mL.</w:t>
      </w:r>
      <w:proofErr w:type="spellEnd"/>
      <w:r>
        <w:t xml:space="preserve">  </w:t>
      </w:r>
      <w:proofErr w:type="spellStart"/>
      <w:r>
        <w:t>TMTPro</w:t>
      </w:r>
      <w:proofErr w:type="spellEnd"/>
      <w:r>
        <w:t xml:space="preserve"> reagent, channels 126-134N, was added to each of the 16 samples at a 1:1 </w:t>
      </w:r>
      <w:proofErr w:type="spellStart"/>
      <w:r>
        <w:t>TMT:peptide</w:t>
      </w:r>
      <w:proofErr w:type="spellEnd"/>
      <w:r>
        <w:t xml:space="preserve"> ratio and a final concentration of ~17% ACN.  Labeling was performed at RT for 1.5 h.  A small portion (2 µL) from each condition was mixed, desalted, and analyzed to determine labeling efficiency.  The reaction was quenched with 100 µL of 5% hydroxylamine once labeling efficiency was determined to be at least 95%.  Samples were mixed followed by acidification using 20% TFA and lyophilized overnight.  The 16-plex TMT labeled peptide mixture was desalted using C18 cartridge (1 g absorbent) from Waters (Milford, MA).  Peptides were eluted with 3 x 4 mL of 60% ACN/0.1% TFA.  A small portion (500 µg) was lyophilized for proteome analysis so that during data analysis we can normalize phosphorylation level against protein level.  The rest of the sample was lyophilized overnight for </w:t>
      </w:r>
      <w:proofErr w:type="spellStart"/>
      <w:r>
        <w:t>phosphoproteomic</w:t>
      </w:r>
      <w:proofErr w:type="spellEnd"/>
      <w:r>
        <w:t xml:space="preserve"> analysis.</w:t>
      </w:r>
    </w:p>
    <w:p w14:paraId="0000004D" w14:textId="77777777" w:rsidR="00990BBD" w:rsidRDefault="00000000">
      <w:pPr>
        <w:spacing w:line="276" w:lineRule="auto"/>
        <w:jc w:val="both"/>
        <w:rPr>
          <w:i/>
        </w:rPr>
      </w:pPr>
      <w:r>
        <w:rPr>
          <w:i/>
        </w:rPr>
        <w:t>Global Proteome Analysis</w:t>
      </w:r>
    </w:p>
    <w:p w14:paraId="0000004E" w14:textId="77777777" w:rsidR="00990BBD" w:rsidRDefault="00000000">
      <w:pPr>
        <w:spacing w:line="276" w:lineRule="auto"/>
        <w:jc w:val="both"/>
      </w:pPr>
      <w:r>
        <w:t xml:space="preserve">The dried TMT labeled peptide mixture (500 µg) was subjected to high pH reverse phase fractionation on the Agilent 1100 HPLC system (Agilent Technologies, Santa Clara, CA).  Peptide mixture was reconstituted in 75 µL of solvent A (5% ACN/50 mM ammonium bicarbonate, pH 8.0) and separated on a </w:t>
      </w:r>
      <w:proofErr w:type="spellStart"/>
      <w:r>
        <w:t>Zorbax</w:t>
      </w:r>
      <w:proofErr w:type="spellEnd"/>
      <w:r>
        <w:t xml:space="preserve"> 300Extend-C18, 3.5 µm, 4.6 x 150 mm column (Agilent Technologies, Santa Clara, CA) at a flow rate of 0.5 mL/min.   A gradient from 15-45 % solvent B (90% ACN/50 mM ammonium bicarbonate, pH 8.0) was applied over 49 min with a total run time of 75 min.  Ninety-six fractions were collected at 0.63 min interval and every 25th fraction was combined into a set of 24 fractions.  Fractions were acidified with 20% TFA, dried and desalted with SDB tips (GL Sciences, Torrance, CA) prior to mass spectrometry analysis.</w:t>
      </w:r>
    </w:p>
    <w:p w14:paraId="0000004F" w14:textId="77777777" w:rsidR="00990BBD" w:rsidRDefault="00000000">
      <w:pPr>
        <w:spacing w:line="276" w:lineRule="auto"/>
        <w:jc w:val="both"/>
        <w:rPr>
          <w:i/>
        </w:rPr>
      </w:pPr>
      <w:proofErr w:type="spellStart"/>
      <w:r>
        <w:rPr>
          <w:i/>
        </w:rPr>
        <w:t>Phosphoproteomic</w:t>
      </w:r>
      <w:proofErr w:type="spellEnd"/>
      <w:r>
        <w:rPr>
          <w:i/>
        </w:rPr>
        <w:t xml:space="preserve"> Analysis</w:t>
      </w:r>
    </w:p>
    <w:p w14:paraId="00000050" w14:textId="77777777" w:rsidR="00990BBD" w:rsidRDefault="00000000">
      <w:pPr>
        <w:spacing w:line="276" w:lineRule="auto"/>
        <w:jc w:val="both"/>
      </w:pPr>
      <w:proofErr w:type="spellStart"/>
      <w:r>
        <w:t>Phosphopeptide</w:t>
      </w:r>
      <w:proofErr w:type="spellEnd"/>
      <w:r>
        <w:t xml:space="preserve"> enrichment was performed using 5 TiO2 cartridges (100 mg absorbent, GL Sciences, Torrance, CA) following manufacturer’s protocol.  The following buffers were prepared for this process, buffer A was a mixture of 2% TFA: ACN at 1:4 ratio, buffer B was a mixture of buffer </w:t>
      </w:r>
      <w:proofErr w:type="spellStart"/>
      <w:proofErr w:type="gramStart"/>
      <w:r>
        <w:t>A:lactic</w:t>
      </w:r>
      <w:proofErr w:type="spellEnd"/>
      <w:proofErr w:type="gramEnd"/>
      <w:r>
        <w:t xml:space="preserve"> acid at 3:1 ratio.  Lactic acid was from GL Sciences (Torrance, CA) at 85-92% concentration.  Briefly, the dried peptide mix was reconstituted buffer B to a concentration of ~ 3 mg/mL and loaded on the TiO2 cartridges that were previously wet and equilibrated with 200 </w:t>
      </w:r>
      <w:proofErr w:type="spellStart"/>
      <w:r>
        <w:lastRenderedPageBreak/>
        <w:t>uL</w:t>
      </w:r>
      <w:proofErr w:type="spellEnd"/>
      <w:r>
        <w:t xml:space="preserve"> of buffers A &amp; B respectively.  The flowthrough was collected and re-loaded onto the cartridges followed by 1 wash with buffer B, and 3 washes with buffer A, 200 µL/wash.  </w:t>
      </w:r>
      <w:proofErr w:type="spellStart"/>
      <w:r>
        <w:t>Phosphopeptides</w:t>
      </w:r>
      <w:proofErr w:type="spellEnd"/>
      <w:r>
        <w:t xml:space="preserve"> were eluted with 200 µL of 5% NH4OH and 200 µL of 60% ACN/H2O.  The equilibration, </w:t>
      </w:r>
      <w:proofErr w:type="spellStart"/>
      <w:r>
        <w:t>phosphopeptide</w:t>
      </w:r>
      <w:proofErr w:type="spellEnd"/>
      <w:r>
        <w:t xml:space="preserve"> binding and wash steps were performed in the centrifuge at 100g.  The eluents were combined, acidified with 20% TFA, and dried.  </w:t>
      </w:r>
      <w:proofErr w:type="spellStart"/>
      <w:r>
        <w:t>Phosphopeptides</w:t>
      </w:r>
      <w:proofErr w:type="spellEnd"/>
      <w:r>
        <w:t xml:space="preserve"> were desalted using SOLA HRP SPE cartridge (10 mg absorbent) from </w:t>
      </w:r>
      <w:proofErr w:type="spellStart"/>
      <w:r>
        <w:t>ThermoFisher</w:t>
      </w:r>
      <w:proofErr w:type="spellEnd"/>
      <w:r>
        <w:t xml:space="preserve"> (San Jose, CA) and dried to completion.  The dried </w:t>
      </w:r>
      <w:proofErr w:type="spellStart"/>
      <w:r>
        <w:t>phosphopeptide</w:t>
      </w:r>
      <w:proofErr w:type="spellEnd"/>
      <w:r>
        <w:t xml:space="preserve"> mixture was fractionated as described in global proteome section.  The gradient was from 5-35 % solvent B over 49 min.  The fractions from the 96 well plate </w:t>
      </w:r>
      <w:proofErr w:type="gramStart"/>
      <w:r>
        <w:t>were</w:t>
      </w:r>
      <w:proofErr w:type="gramEnd"/>
      <w:r>
        <w:t xml:space="preserve"> pooled such that all 8 fractions/column were pooled into 1 fraction for a set of 12 fractions.  Each fraction was acidified with 20% TFA and dried and desalted with SDB tips (GL Sciences, Torrance, CA).</w:t>
      </w:r>
    </w:p>
    <w:p w14:paraId="00000051" w14:textId="77777777" w:rsidR="00990BBD" w:rsidRDefault="00000000">
      <w:pPr>
        <w:spacing w:line="276" w:lineRule="auto"/>
        <w:jc w:val="both"/>
        <w:rPr>
          <w:i/>
        </w:rPr>
      </w:pPr>
      <w:r>
        <w:rPr>
          <w:i/>
        </w:rPr>
        <w:t>Mass spectrometry analysis</w:t>
      </w:r>
    </w:p>
    <w:p w14:paraId="00000052" w14:textId="77777777" w:rsidR="00990BBD" w:rsidRDefault="00000000">
      <w:pPr>
        <w:spacing w:line="276" w:lineRule="auto"/>
        <w:jc w:val="both"/>
      </w:pPr>
      <w:r>
        <w:t>Desalted peptides were reconstituted in 2% ACN/0.1% formic acid (FA)/water and loaded onto Aurora Series 25 cm x 75 µm I.D. column (</w:t>
      </w:r>
      <w:proofErr w:type="spellStart"/>
      <w:r>
        <w:t>IonOpticks</w:t>
      </w:r>
      <w:proofErr w:type="spellEnd"/>
      <w:r>
        <w:t xml:space="preserve">) using a </w:t>
      </w:r>
      <w:proofErr w:type="spellStart"/>
      <w:r>
        <w:t>a</w:t>
      </w:r>
      <w:proofErr w:type="spellEnd"/>
      <w:r>
        <w:t xml:space="preserve"> </w:t>
      </w:r>
      <w:proofErr w:type="spellStart"/>
      <w:r>
        <w:t>Dionex</w:t>
      </w:r>
      <w:proofErr w:type="spellEnd"/>
      <w:r>
        <w:t xml:space="preserve"> Ultimate 3000 RSLC nano </w:t>
      </w:r>
      <w:proofErr w:type="spellStart"/>
      <w:r>
        <w:t>Proflow</w:t>
      </w:r>
      <w:proofErr w:type="spellEnd"/>
      <w:r>
        <w:t xml:space="preserve"> system (</w:t>
      </w:r>
      <w:proofErr w:type="spellStart"/>
      <w:r>
        <w:t>ThermoFisher</w:t>
      </w:r>
      <w:proofErr w:type="spellEnd"/>
      <w:r>
        <w:t xml:space="preserve">).  Peptide separation was performed at 300 </w:t>
      </w:r>
      <w:proofErr w:type="spellStart"/>
      <w:r>
        <w:t>nL</w:t>
      </w:r>
      <w:proofErr w:type="spellEnd"/>
      <w:r>
        <w:t>/min with a 2-step linear gradient where solvent B (0.1% FA/2% water/ACN) was increased from 4% to 30% over 68 min then from 30% to 75% B over 4.9 min with a total analysis time of 95 min. Peptides were analyzed using an Orbitrap Eclipse instrument (</w:t>
      </w:r>
      <w:proofErr w:type="spellStart"/>
      <w:r>
        <w:t>ThermoFisher</w:t>
      </w:r>
      <w:proofErr w:type="spellEnd"/>
      <w:r>
        <w:t xml:space="preserve"> Scientific, San Jose, CA).  For global proteome analysis, a real-time search against a human database was employed using an in-house instrument API program called InSeqAPI.1,2,3 Protein-closeout was employed (3 distinct peptides/protein/run).  The following proteins IRF4, ERN1, XBP1, DGAT2, RB, CCND2, CDK2, UHRF1, CDN1A, CDN1B, SP1, PP2AA, PP2AB, PP2BA, PP2BB, PP2BC, 2AAA, 2AAB, P2R3A, PTPA, 2A5B, 2A5E, 2A5D, 2ABA, 2ABB, 2A5A, 2A5G, 2ABD, 2ABG, P2R3B, STRN, LCMT1, IGBP1, SPY2, STRN3, STRN4, RACK1, PPME1 were placed on the </w:t>
      </w:r>
      <w:proofErr w:type="spellStart"/>
      <w:r>
        <w:t>InSeqAPI</w:t>
      </w:r>
      <w:proofErr w:type="spellEnd"/>
      <w:r>
        <w:t xml:space="preserve"> inclusion list such that they were not subjected to protein closeout.  Precursor ions (MS1) were analyzed in the Orbitrap (250% normalized AGC target, 120,000 mass resolution, 50 </w:t>
      </w:r>
      <w:proofErr w:type="spellStart"/>
      <w:r>
        <w:t>ms</w:t>
      </w:r>
      <w:proofErr w:type="spellEnd"/>
      <w:r>
        <w:t xml:space="preserve"> maximum injection time) with 10 most abundant species were selected for MS2 fragmentation.  Each precursor was isolated at a mass width of 0.5 Th followed by fragmentation using collision-induced dissociation (CID at 30 NCE, 150% normalized AGC target, maximum ion time of 100ms), and fragment ions were detected in the ion trap. Synchronous precursor selection (SPS) MS3 scans were analyzed in the Orbitrap at 50,000 </w:t>
      </w:r>
      <w:proofErr w:type="gramStart"/>
      <w:r>
        <w:t>resolution</w:t>
      </w:r>
      <w:proofErr w:type="gramEnd"/>
      <w:r>
        <w:t xml:space="preserve"> with the top 8 most intense ions in the MS2 spectrum subjected to HCD fragmentation (45 NCE, AGC target = 3.0E5, maximum injection time of 400 </w:t>
      </w:r>
      <w:proofErr w:type="spellStart"/>
      <w:r>
        <w:t>ms</w:t>
      </w:r>
      <w:proofErr w:type="spellEnd"/>
      <w:r>
        <w:t xml:space="preserve">).  For </w:t>
      </w:r>
      <w:proofErr w:type="spellStart"/>
      <w:r>
        <w:t>phosphoproteomic</w:t>
      </w:r>
      <w:proofErr w:type="spellEnd"/>
      <w:r>
        <w:t xml:space="preserve"> analysis, data was acquired without </w:t>
      </w:r>
      <w:proofErr w:type="spellStart"/>
      <w:r>
        <w:t>InSeqAPI</w:t>
      </w:r>
      <w:proofErr w:type="spellEnd"/>
      <w:r>
        <w:t xml:space="preserve"> real time search, parameters for MS1 and MS2 scans were the same as above. Synchronous precursor selection MS3 scans were also analyzed in the Orbitrap at 30,000 mass resolution with the top 8 most intense ions in MS2 scan were selected for HCD fragmentation (40% NCE, 250% AGC target, maximum injection time of 300 </w:t>
      </w:r>
      <w:proofErr w:type="spellStart"/>
      <w:r>
        <w:t>ms</w:t>
      </w:r>
      <w:proofErr w:type="spellEnd"/>
      <w:r>
        <w:t xml:space="preserve">). The </w:t>
      </w:r>
      <w:proofErr w:type="spellStart"/>
      <w:r>
        <w:t>MassIVE</w:t>
      </w:r>
      <w:proofErr w:type="spellEnd"/>
      <w:r>
        <w:t xml:space="preserve"> repository with the identifier: MSV0000XXXXX (reviewer login = MSV0000XXXXX_reviewer &amp; password = XXXXX).</w:t>
      </w:r>
    </w:p>
    <w:p w14:paraId="00000053" w14:textId="77777777" w:rsidR="00990BBD" w:rsidRDefault="00000000">
      <w:pPr>
        <w:spacing w:line="276" w:lineRule="auto"/>
        <w:jc w:val="both"/>
        <w:rPr>
          <w:i/>
        </w:rPr>
      </w:pPr>
      <w:r>
        <w:rPr>
          <w:i/>
        </w:rPr>
        <w:lastRenderedPageBreak/>
        <w:t>Bioinformatics</w:t>
      </w:r>
    </w:p>
    <w:p w14:paraId="00000054" w14:textId="77777777" w:rsidR="00990BBD" w:rsidRDefault="00000000">
      <w:pPr>
        <w:spacing w:line="276" w:lineRule="auto"/>
        <w:jc w:val="both"/>
      </w:pPr>
      <w:r>
        <w:t>MS/MS data was searched using the Comet search algorithm against a concatenated forward-reverse target-decoy database (</w:t>
      </w:r>
      <w:proofErr w:type="spellStart"/>
      <w:r>
        <w:t>UniProtKBconcat</w:t>
      </w:r>
      <w:proofErr w:type="spellEnd"/>
      <w:r>
        <w:t xml:space="preserve">, downloaded Oct 2023) consisting of Homo sapiens proteins and common contaminant sequences.  Spectra were assigned using a precursor mass tolerance of 20 ppm and fragment ion settings for low resolution MS/MS with a fragment ion bin tolerance and bin offset of 1.0005 and 0.4, respectively.  Static modifications included carbamidomethyl cysteine (+57.0215 Da), TMT tag (+ 304.2071 Da) on both the N-termini of the peptides and lysine residues.  Variable modifications included oxidized methionine (+15.994 Da) and TMT tag on tyrosine residues (+304.2071 Da).  For </w:t>
      </w:r>
      <w:proofErr w:type="spellStart"/>
      <w:r>
        <w:t>phosphoproteomic</w:t>
      </w:r>
      <w:proofErr w:type="spellEnd"/>
      <w:r>
        <w:t xml:space="preserve"> analysis, additional variable modification was specified for serine (+79.9663 Da), threonine (+79.9663 Da), and tyrosine (+79.9663 Da). Trypsin specificity with up to 1 and 2 </w:t>
      </w:r>
      <w:proofErr w:type="spellStart"/>
      <w:r>
        <w:t>miscleavages</w:t>
      </w:r>
      <w:proofErr w:type="spellEnd"/>
      <w:r>
        <w:t xml:space="preserve"> was specified for proteome and </w:t>
      </w:r>
      <w:proofErr w:type="spellStart"/>
      <w:r>
        <w:t>phosphoproteomic</w:t>
      </w:r>
      <w:proofErr w:type="spellEnd"/>
      <w:r>
        <w:t xml:space="preserve"> analyses respectively.  Peptide spectral matches were filtered at 1% false discovery rate (FDR) for proteome analysis. For </w:t>
      </w:r>
      <w:proofErr w:type="spellStart"/>
      <w:r>
        <w:t>phosphoproteomics</w:t>
      </w:r>
      <w:proofErr w:type="spellEnd"/>
      <w:r>
        <w:t xml:space="preserve">, peptide spectral matches were filtered at 5% false discovery rate (FDR) followed by protein filtering at 2% FDR.  </w:t>
      </w:r>
      <w:proofErr w:type="spellStart"/>
      <w:r>
        <w:t>AScore</w:t>
      </w:r>
      <w:proofErr w:type="spellEnd"/>
      <w:r>
        <w:t xml:space="preserve"> algorithm was used for phosphorylation site localization4.  A subset of the data containing </w:t>
      </w:r>
      <w:proofErr w:type="spellStart"/>
      <w:r>
        <w:t>phosphopeptides</w:t>
      </w:r>
      <w:proofErr w:type="spellEnd"/>
      <w:r>
        <w:t xml:space="preserve"> was filtered for statistical analysis.  The TMT reporter ion quantification was performed using an in-house Mojave module5 by calculating the highest peak within 20 ppm of theoretical reporter mass windows and correcting for isotope purities.</w:t>
      </w:r>
    </w:p>
    <w:p w14:paraId="00000055" w14:textId="77777777" w:rsidR="00990BBD" w:rsidRDefault="00000000">
      <w:pPr>
        <w:spacing w:line="276" w:lineRule="auto"/>
        <w:jc w:val="both"/>
        <w:rPr>
          <w:i/>
        </w:rPr>
      </w:pPr>
      <w:r>
        <w:rPr>
          <w:i/>
        </w:rPr>
        <w:t>Statistical analysis of Mass Spectrometry data</w:t>
      </w:r>
    </w:p>
    <w:p w14:paraId="00000056" w14:textId="77777777" w:rsidR="00990BBD" w:rsidRDefault="00000000">
      <w:pPr>
        <w:spacing w:line="276" w:lineRule="auto"/>
        <w:jc w:val="both"/>
      </w:pPr>
      <w:r>
        <w:t xml:space="preserve">The R package </w:t>
      </w:r>
      <w:proofErr w:type="spellStart"/>
      <w:r>
        <w:t>MSstatsPTM</w:t>
      </w:r>
      <w:proofErr w:type="spellEnd"/>
      <w:r>
        <w:t xml:space="preserve"> v.1.2.46 &amp; 7 was used for preprocessing PSM-level quantification, performing global proteome profiling (GPP) data and PTM quantification for PTM data, and conducting differential abundance analysis.  Briefly, for both GPP and PTM data, the preprocessing phase filtered out TMT peaks in MS3 scans with a sum of less than 30,000 across all 16 channels.  Additionally, peptides shorter than seven residues were eliminated.  The abundance of each identified protein or PTM per sample was estimated using Tukey Median Polish summarization, imputing missing values below a censoring threshold of 28. The estimated log2-fold change for each protein or PTM, as well as its associated standard error, was calculated using a linear mixed-effect model. Subsequently, </w:t>
      </w:r>
      <w:proofErr w:type="spellStart"/>
      <w:r>
        <w:t>MSstatsPTM</w:t>
      </w:r>
      <w:proofErr w:type="spellEnd"/>
      <w:r>
        <w:t xml:space="preserve"> combined these estimated log2-fold changes and their standard errors for adjusting protein-level changes in PTM abundance. For testing the two-sided null hypothesis of no changes in abundance, model-based test statistics were compared to the </w:t>
      </w:r>
      <w:proofErr w:type="gramStart"/>
      <w:r>
        <w:t>Student</w:t>
      </w:r>
      <w:proofErr w:type="gramEnd"/>
      <w:r>
        <w:t xml:space="preserve"> t-test distribution with the degrees of freedom appropriate for each protein or PTM. The resulting P values were adjusted to control the False Discovery </w:t>
      </w:r>
      <w:proofErr w:type="gramStart"/>
      <w:r>
        <w:t>Rate(</w:t>
      </w:r>
      <w:proofErr w:type="gramEnd"/>
      <w:r>
        <w:t xml:space="preserve">FDR) with the method by </w:t>
      </w:r>
      <w:proofErr w:type="spellStart"/>
      <w:r>
        <w:t>Benjamini</w:t>
      </w:r>
      <w:proofErr w:type="spellEnd"/>
      <w:r>
        <w:t>-Hochberg.</w:t>
      </w:r>
    </w:p>
    <w:p w14:paraId="00000057" w14:textId="77777777" w:rsidR="00990BBD" w:rsidRDefault="00000000">
      <w:pPr>
        <w:spacing w:line="276" w:lineRule="auto"/>
        <w:jc w:val="both"/>
        <w:rPr>
          <w:b/>
        </w:rPr>
      </w:pPr>
      <w:r>
        <w:rPr>
          <w:b/>
        </w:rPr>
        <w:t xml:space="preserve"> </w:t>
      </w:r>
    </w:p>
    <w:p w14:paraId="00000058" w14:textId="77777777" w:rsidR="00990BBD" w:rsidRDefault="00000000">
      <w:pPr>
        <w:spacing w:line="276" w:lineRule="auto"/>
        <w:jc w:val="both"/>
        <w:rPr>
          <w:b/>
        </w:rPr>
      </w:pPr>
      <w:r>
        <w:rPr>
          <w:b/>
        </w:rPr>
        <w:t>RNA sequencing</w:t>
      </w:r>
    </w:p>
    <w:p w14:paraId="00000059" w14:textId="77777777" w:rsidR="00990BBD" w:rsidRDefault="00000000">
      <w:pPr>
        <w:spacing w:line="276" w:lineRule="auto"/>
        <w:jc w:val="both"/>
        <w:rPr>
          <w:b/>
        </w:rPr>
      </w:pPr>
      <w:r>
        <w:t>AMO1 shIRE1 RNA-seq and analysis has been described previously</w:t>
      </w:r>
      <w:r>
        <w:rPr>
          <w:vertAlign w:val="superscript"/>
        </w:rPr>
        <w:t>8</w:t>
      </w:r>
      <w:r>
        <w:t xml:space="preserve">. For Bulk RNA sequencing of AMO-1 shIRF4 cl.1 or </w:t>
      </w:r>
      <w:proofErr w:type="spellStart"/>
      <w:r>
        <w:t>shNTC</w:t>
      </w:r>
      <w:proofErr w:type="spellEnd"/>
      <w:r>
        <w:t xml:space="preserve"> (non-targeting control), cells were harvested in biologic triplicates</w:t>
      </w:r>
      <w:r>
        <w:rPr>
          <w:b/>
        </w:rPr>
        <w:t xml:space="preserve"> </w:t>
      </w:r>
      <w:r>
        <w:t xml:space="preserve">at 0, 8, 16, and 24 h post-Doxycycline treatment (0.2 ug/mL). RNA sequencing was performed as </w:t>
      </w:r>
      <w:r>
        <w:lastRenderedPageBreak/>
        <w:t>described before</w:t>
      </w:r>
      <w:r>
        <w:rPr>
          <w:vertAlign w:val="superscript"/>
        </w:rPr>
        <w:t>8</w:t>
      </w:r>
      <w:r>
        <w:t>: Total RNA was extracted using RNeasy Mini Kit (Qiagen) and quality of the RNA was determined by</w:t>
      </w:r>
      <w:r>
        <w:rPr>
          <w:b/>
        </w:rPr>
        <w:t xml:space="preserve"> </w:t>
      </w:r>
      <w:r>
        <w:t>a Fragment Analyzer (Advanced Analytical Technologies).</w:t>
      </w:r>
      <w:r>
        <w:rPr>
          <w:b/>
        </w:rPr>
        <w:t xml:space="preserve"> </w:t>
      </w:r>
      <w:r>
        <w:t xml:space="preserve">As input material, 0.1 </w:t>
      </w:r>
      <w:proofErr w:type="spellStart"/>
      <w:r>
        <w:t>μg</w:t>
      </w:r>
      <w:proofErr w:type="spellEnd"/>
      <w:r>
        <w:t xml:space="preserve"> of total RNA was used for library preparation using </w:t>
      </w:r>
      <w:proofErr w:type="spellStart"/>
      <w:r>
        <w:t>TruSeq</w:t>
      </w:r>
      <w:proofErr w:type="spellEnd"/>
      <w:r>
        <w:t xml:space="preserve"> Stranded Total RNA Library Prep Kit (Illumina). Size of the libraries was confirmed using 4200 </w:t>
      </w:r>
      <w:proofErr w:type="spellStart"/>
      <w:r>
        <w:t>TapeStation</w:t>
      </w:r>
      <w:proofErr w:type="spellEnd"/>
      <w:r>
        <w:t xml:space="preserve"> and High Sensitivity D1K screen tape (Agilent Technologies) and RNA concentration was determined by a qPCR-based method using Library quantification kit (KAPA). The libraries were multiplexed and then sequenced on Illumina HiSeq4000 (Illumina) to generate 30M of single-end 50 base-pair reads. Differentially expressed genes (DEGs) were determined by </w:t>
      </w:r>
      <w:proofErr w:type="spellStart"/>
      <w:r>
        <w:t>Partek</w:t>
      </w:r>
      <w:proofErr w:type="spellEnd"/>
      <w:r>
        <w:t xml:space="preserve">™ Flow™ Explore Spatial </w:t>
      </w:r>
      <w:proofErr w:type="spellStart"/>
      <w:r>
        <w:t>Multiomics</w:t>
      </w:r>
      <w:proofErr w:type="spellEnd"/>
      <w:r>
        <w:t xml:space="preserve"> Data using </w:t>
      </w:r>
      <w:proofErr w:type="spellStart"/>
      <w:r>
        <w:t>Partek</w:t>
      </w:r>
      <w:proofErr w:type="spellEnd"/>
      <w:r>
        <w:t>™ Flow™ software, v11.0. with gene differential filter analysis based on false discovery rate (FDR)&lt;0.05 and Log2 fold change (FC)&gt;1.2.</w:t>
      </w:r>
      <w:r>
        <w:rPr>
          <w:b/>
        </w:rPr>
        <w:t xml:space="preserve"> </w:t>
      </w:r>
      <w:r>
        <w:t>Following, Gene-set enrichment and leading-edge analysis was conducted with the GSEA_4.3.2 software, following provider’s instructions.</w:t>
      </w:r>
    </w:p>
    <w:p w14:paraId="0000005A" w14:textId="77777777" w:rsidR="00990BBD" w:rsidRDefault="00990BBD">
      <w:pPr>
        <w:spacing w:line="276" w:lineRule="auto"/>
        <w:jc w:val="both"/>
        <w:rPr>
          <w:b/>
        </w:rPr>
      </w:pPr>
    </w:p>
    <w:p w14:paraId="0000005B" w14:textId="77777777" w:rsidR="00990BBD" w:rsidRDefault="00000000">
      <w:pPr>
        <w:spacing w:line="276" w:lineRule="auto"/>
        <w:jc w:val="both"/>
        <w:rPr>
          <w:b/>
        </w:rPr>
      </w:pPr>
      <w:proofErr w:type="spellStart"/>
      <w:r>
        <w:rPr>
          <w:b/>
        </w:rPr>
        <w:t>ChIP</w:t>
      </w:r>
      <w:proofErr w:type="spellEnd"/>
      <w:r>
        <w:rPr>
          <w:b/>
        </w:rPr>
        <w:t>-sequencing</w:t>
      </w:r>
    </w:p>
    <w:p w14:paraId="0000005C" w14:textId="77777777" w:rsidR="00990BBD" w:rsidRDefault="00000000">
      <w:pPr>
        <w:spacing w:line="276" w:lineRule="auto"/>
        <w:jc w:val="both"/>
      </w:pPr>
      <w:proofErr w:type="spellStart"/>
      <w:r>
        <w:t>ChIP</w:t>
      </w:r>
      <w:proofErr w:type="spellEnd"/>
      <w:r>
        <w:t>-seq was performed as previously described with the following modifications</w:t>
      </w:r>
      <w:r>
        <w:rPr>
          <w:vertAlign w:val="superscript"/>
        </w:rPr>
        <w:t>9</w:t>
      </w:r>
      <w:r>
        <w:t>. AMO-1 cells (10 x 10</w:t>
      </w:r>
      <w:r>
        <w:rPr>
          <w:vertAlign w:val="superscript"/>
        </w:rPr>
        <w:t>6</w:t>
      </w:r>
      <w:r>
        <w:t xml:space="preserve">/condition) were double crosslinked by 50mM DSG (disuccinimidyl </w:t>
      </w:r>
      <w:proofErr w:type="spellStart"/>
      <w:r>
        <w:t>glutarate</w:t>
      </w:r>
      <w:proofErr w:type="spellEnd"/>
      <w:r>
        <w:t xml:space="preserve">, #C1104 - </w:t>
      </w:r>
      <w:proofErr w:type="spellStart"/>
      <w:r>
        <w:t>ProteoChem</w:t>
      </w:r>
      <w:proofErr w:type="spellEnd"/>
      <w:r>
        <w:t xml:space="preserve">) for 30-minutes followed by 10-minutes of 1% formaldehyde. Formaldehyde was quenched by the addition of glycine. Nuclei were isolated with </w:t>
      </w:r>
      <w:proofErr w:type="spellStart"/>
      <w:r>
        <w:t>ChIP</w:t>
      </w:r>
      <w:proofErr w:type="spellEnd"/>
      <w:r>
        <w:t xml:space="preserve"> lysis buffer (1% Triton x-100, 0.1% SDS, 150 mM NaCl, 1mM EDTA, and 20 mM Tris, pH 8.0). Nuclei were sheared with Covaris </w:t>
      </w:r>
      <w:proofErr w:type="spellStart"/>
      <w:r>
        <w:t>sonicator</w:t>
      </w:r>
      <w:proofErr w:type="spellEnd"/>
      <w:r>
        <w:t xml:space="preserve"> using the following setup: Fill level – 10, Duty Cycle – 15, PIP – 350, Cycles/Burst – 200, Time – 8-minutes). Sheared chromatin was immunoprecipitated overnight with the following antibodies: RNAPII-pS2 (Abcam – ab5095), IRF4 (Cell Signaling – 4964S). Antibody chromatin complexes were pulled down with Protein A magnetic beads and washed once in IP wash buffer I. (1% Triton, 0.1% SDS, 150 mM NaCl, 1 mM EDTA, 20 mM Tris, pH 8.0, and 0.1% </w:t>
      </w:r>
      <w:proofErr w:type="spellStart"/>
      <w:r>
        <w:t>NaDOC</w:t>
      </w:r>
      <w:proofErr w:type="spellEnd"/>
      <w:r>
        <w:t xml:space="preserve">), twice in IP wash buffer II. (1% Triton, 0.1% SDS, 500 mM NaCl, 1 mM EDTA, 20 mM Tris, pH 8.0, and 0.1% </w:t>
      </w:r>
      <w:proofErr w:type="spellStart"/>
      <w:r>
        <w:t>NaDOC</w:t>
      </w:r>
      <w:proofErr w:type="spellEnd"/>
      <w:r>
        <w:t xml:space="preserve">), once in IP wash buffer III. (0.25 M LiCl, 0.5% NP-40, 1mM EDTA, 20 mM Tris, pH 8.0, 0.5% </w:t>
      </w:r>
      <w:proofErr w:type="spellStart"/>
      <w:r>
        <w:t>NaDOC</w:t>
      </w:r>
      <w:proofErr w:type="spellEnd"/>
      <w:r>
        <w:t>) and once in TE buffer (10 mM EDTA and 200 mM Tris, pH 8.0). DNA was eluted from the beads by vigorous shaking for 20-minutes in elution buffer (100mM NaHCO</w:t>
      </w:r>
      <w:r>
        <w:rPr>
          <w:vertAlign w:val="subscript"/>
        </w:rPr>
        <w:t>3</w:t>
      </w:r>
      <w:r>
        <w:t xml:space="preserve">, 1% SDS). DNA was de-crosslinked overnight at 65C and purified with </w:t>
      </w:r>
      <w:proofErr w:type="spellStart"/>
      <w:r>
        <w:t>MinElute</w:t>
      </w:r>
      <w:proofErr w:type="spellEnd"/>
      <w:r>
        <w:t xml:space="preserve"> PCR purification kit (Qiagen). DNA was quantified by Qubit and 10 ng DNA was used for sequencing library construction with the Ovation Ultralow Library System V2 (Tecan) using 14 PCR cycles according to the manufacturer’s recommendations. Libraries were sequenced with Illumina </w:t>
      </w:r>
      <w:proofErr w:type="spellStart"/>
      <w:r>
        <w:t>Nextseq</w:t>
      </w:r>
      <w:proofErr w:type="spellEnd"/>
      <w:r>
        <w:t>, using paired-end 50bp read configuration.</w:t>
      </w:r>
    </w:p>
    <w:p w14:paraId="0000005D" w14:textId="77777777" w:rsidR="00990BBD" w:rsidRDefault="00990BBD">
      <w:pPr>
        <w:spacing w:line="276" w:lineRule="auto"/>
        <w:jc w:val="both"/>
      </w:pPr>
    </w:p>
    <w:p w14:paraId="0000005E" w14:textId="77777777" w:rsidR="00990BBD" w:rsidRDefault="00000000">
      <w:pPr>
        <w:spacing w:line="276" w:lineRule="auto"/>
        <w:jc w:val="both"/>
        <w:rPr>
          <w:b/>
        </w:rPr>
      </w:pPr>
      <w:r>
        <w:rPr>
          <w:b/>
        </w:rPr>
        <w:t>Cell cycle analysis (PI staining)</w:t>
      </w:r>
    </w:p>
    <w:p w14:paraId="00000060" w14:textId="03F32C7D" w:rsidR="00990BBD" w:rsidRPr="005E164C" w:rsidRDefault="00000000">
      <w:pPr>
        <w:spacing w:line="276" w:lineRule="auto"/>
        <w:jc w:val="both"/>
      </w:pPr>
      <w:r>
        <w:t>1 x 10</w:t>
      </w:r>
      <w:r>
        <w:rPr>
          <w:vertAlign w:val="superscript"/>
        </w:rPr>
        <w:t>6</w:t>
      </w:r>
      <w:r>
        <w:t xml:space="preserve"> cells were fixed in ice-cold 70% ethanol overnight at 4°C. After washing in PBS, samples were treated with 100μg/mL RNase (</w:t>
      </w:r>
      <w:proofErr w:type="spellStart"/>
      <w:r>
        <w:t>Zymo</w:t>
      </w:r>
      <w:proofErr w:type="spellEnd"/>
      <w:r>
        <w:t xml:space="preserve"> research) for 15mins, RT, followed by incubation with 50μg/mL PI for 20mins at RT. Samples were analyzed using a </w:t>
      </w:r>
      <w:proofErr w:type="spellStart"/>
      <w:r>
        <w:t>FACSymphony</w:t>
      </w:r>
      <w:proofErr w:type="spellEnd"/>
      <w:r>
        <w:t xml:space="preserve"> analyzer (BD) and </w:t>
      </w:r>
      <w:r>
        <w:lastRenderedPageBreak/>
        <w:t xml:space="preserve">data were collected in linear scale for better DNA content determination. Univariate modeling (either Watson pragmatic or Dean Jett fox) was used to create a fit to cell cycle data based on statistics in the DNA content dimension and was performed with the </w:t>
      </w:r>
      <w:proofErr w:type="spellStart"/>
      <w:r>
        <w:t>FlowJo</w:t>
      </w:r>
      <w:proofErr w:type="spellEnd"/>
      <w:r>
        <w:t xml:space="preserve"> 10.10.0 software “cell cycle” function, constraining the model to equal G2 and G1 CVs.</w:t>
      </w:r>
    </w:p>
    <w:p w14:paraId="66B3F7E4" w14:textId="77777777" w:rsidR="006A552C" w:rsidRDefault="006A552C">
      <w:pPr>
        <w:spacing w:line="276" w:lineRule="auto"/>
        <w:jc w:val="both"/>
        <w:rPr>
          <w:b/>
        </w:rPr>
      </w:pPr>
    </w:p>
    <w:p w14:paraId="00000062" w14:textId="77777777" w:rsidR="00990BBD" w:rsidRDefault="00000000">
      <w:pPr>
        <w:spacing w:line="276" w:lineRule="auto"/>
        <w:jc w:val="both"/>
        <w:rPr>
          <w:b/>
        </w:rPr>
      </w:pPr>
      <w:r>
        <w:rPr>
          <w:b/>
        </w:rPr>
        <w:t>Statistical analysis</w:t>
      </w:r>
    </w:p>
    <w:p w14:paraId="00000063" w14:textId="77777777" w:rsidR="00990BBD" w:rsidRDefault="00000000">
      <w:pPr>
        <w:spacing w:line="276" w:lineRule="auto"/>
        <w:jc w:val="both"/>
      </w:pPr>
      <w:r>
        <w:t>All values represent the mean ± standard error of at least three biological replicates. Statistical analysis of the results was performed by unpaired, two-tailed t-test or ANOVA followed by an appropriate post-hoc analysis, including Bonferroni correction to compensate for multiple comparisons. All statistical analyses were performed with GraphPad Prism 10 (GraphPad Software, Inc.). P-Values above 0.05 were considered as not significant.</w:t>
      </w:r>
    </w:p>
    <w:p w14:paraId="00000064" w14:textId="77777777" w:rsidR="00990BBD" w:rsidRDefault="00000000">
      <w:pPr>
        <w:spacing w:line="276" w:lineRule="auto"/>
        <w:jc w:val="both"/>
      </w:pPr>
      <w:r>
        <w:t xml:space="preserve"> </w:t>
      </w:r>
    </w:p>
    <w:p w14:paraId="00000065" w14:textId="77777777" w:rsidR="00990BBD" w:rsidRDefault="00000000">
      <w:pPr>
        <w:spacing w:line="276" w:lineRule="auto"/>
        <w:jc w:val="both"/>
        <w:rPr>
          <w:b/>
        </w:rPr>
      </w:pPr>
      <w:r>
        <w:rPr>
          <w:b/>
        </w:rPr>
        <w:t>Schematics</w:t>
      </w:r>
    </w:p>
    <w:p w14:paraId="3658BCEC" w14:textId="7C827C26" w:rsidR="006317D8" w:rsidRDefault="00000000" w:rsidP="001301EC">
      <w:pPr>
        <w:spacing w:line="276" w:lineRule="auto"/>
        <w:jc w:val="both"/>
      </w:pPr>
      <w:r>
        <w:t>All schematics were created with BioRender.com</w:t>
      </w:r>
    </w:p>
    <w:p w14:paraId="05548A52" w14:textId="77777777" w:rsidR="006317D8" w:rsidRDefault="006317D8" w:rsidP="006317D8">
      <w:pPr>
        <w:spacing w:line="276" w:lineRule="auto"/>
        <w:jc w:val="both"/>
      </w:pPr>
    </w:p>
    <w:p w14:paraId="174B2470" w14:textId="77777777" w:rsidR="006317D8" w:rsidRDefault="006317D8" w:rsidP="006317D8">
      <w:pPr>
        <w:rPr>
          <w:rFonts w:ascii="Times New Roman" w:eastAsia="Times New Roman" w:hAnsi="Times New Roman" w:cs="Times New Roman"/>
          <w:b/>
          <w:sz w:val="21"/>
          <w:szCs w:val="21"/>
        </w:rPr>
      </w:pPr>
      <w:r>
        <w:rPr>
          <w:rFonts w:ascii="Times New Roman" w:eastAsia="Times New Roman" w:hAnsi="Times New Roman" w:cs="Times New Roman"/>
          <w:b/>
          <w:sz w:val="21"/>
          <w:szCs w:val="21"/>
        </w:rPr>
        <w:t>SUPPLEMENTAL REFERENCES</w:t>
      </w:r>
    </w:p>
    <w:p w14:paraId="38C19C74" w14:textId="77777777" w:rsidR="006317D8" w:rsidRDefault="006317D8" w:rsidP="006317D8">
      <w:pPr>
        <w:rPr>
          <w:rFonts w:ascii="Times New Roman" w:eastAsia="Times New Roman" w:hAnsi="Times New Roman" w:cs="Times New Roman"/>
          <w:b/>
          <w:sz w:val="21"/>
          <w:szCs w:val="21"/>
        </w:rPr>
      </w:pPr>
    </w:p>
    <w:p w14:paraId="769BD7B8" w14:textId="77777777" w:rsidR="006317D8" w:rsidRDefault="006317D8" w:rsidP="006317D8">
      <w:pPr>
        <w:pBdr>
          <w:top w:val="nil"/>
          <w:left w:val="nil"/>
          <w:bottom w:val="nil"/>
          <w:right w:val="nil"/>
          <w:between w:val="nil"/>
        </w:pBd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1. Chang, T.-K. </w:t>
      </w:r>
      <w:r>
        <w:rPr>
          <w:rFonts w:ascii="Times New Roman" w:eastAsia="Times New Roman" w:hAnsi="Times New Roman" w:cs="Times New Roman"/>
          <w:i/>
          <w:color w:val="000000"/>
          <w:sz w:val="21"/>
          <w:szCs w:val="21"/>
        </w:rPr>
        <w:t>et al.</w:t>
      </w:r>
      <w:r>
        <w:rPr>
          <w:rFonts w:ascii="Times New Roman" w:eastAsia="Times New Roman" w:hAnsi="Times New Roman" w:cs="Times New Roman"/>
          <w:color w:val="000000"/>
          <w:sz w:val="21"/>
          <w:szCs w:val="21"/>
        </w:rPr>
        <w:t xml:space="preserve"> Coordination between Two Branches of the Unfolded Protein Response Determines Apoptotic Cell Fate. </w:t>
      </w:r>
      <w:r>
        <w:rPr>
          <w:rFonts w:ascii="Times New Roman" w:eastAsia="Times New Roman" w:hAnsi="Times New Roman" w:cs="Times New Roman"/>
          <w:i/>
          <w:color w:val="000000"/>
          <w:sz w:val="21"/>
          <w:szCs w:val="21"/>
        </w:rPr>
        <w:t>Mol. Cell</w:t>
      </w:r>
      <w:r>
        <w:rPr>
          <w:rFonts w:ascii="Times New Roman" w:eastAsia="Times New Roman" w:hAnsi="Times New Roman" w:cs="Times New Roman"/>
          <w:color w:val="000000"/>
          <w:sz w:val="21"/>
          <w:szCs w:val="21"/>
        </w:rPr>
        <w:t xml:space="preserve"> </w:t>
      </w:r>
      <w:r>
        <w:rPr>
          <w:rFonts w:ascii="Times New Roman" w:eastAsia="Times New Roman" w:hAnsi="Times New Roman" w:cs="Times New Roman"/>
          <w:b/>
          <w:color w:val="000000"/>
          <w:sz w:val="21"/>
          <w:szCs w:val="21"/>
        </w:rPr>
        <w:t>71</w:t>
      </w:r>
      <w:r>
        <w:rPr>
          <w:rFonts w:ascii="Times New Roman" w:eastAsia="Times New Roman" w:hAnsi="Times New Roman" w:cs="Times New Roman"/>
          <w:color w:val="000000"/>
          <w:sz w:val="21"/>
          <w:szCs w:val="21"/>
        </w:rPr>
        <w:t>, 629-636.e5 (2018).</w:t>
      </w:r>
    </w:p>
    <w:p w14:paraId="53AF95EB" w14:textId="77777777" w:rsidR="006317D8" w:rsidRDefault="006317D8" w:rsidP="006317D8">
      <w:pPr>
        <w:pBdr>
          <w:top w:val="nil"/>
          <w:left w:val="nil"/>
          <w:bottom w:val="nil"/>
          <w:right w:val="nil"/>
          <w:between w:val="nil"/>
        </w:pBd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2. </w:t>
      </w:r>
      <w:proofErr w:type="spellStart"/>
      <w:r>
        <w:rPr>
          <w:rFonts w:ascii="Times New Roman" w:eastAsia="Times New Roman" w:hAnsi="Times New Roman" w:cs="Times New Roman"/>
          <w:color w:val="000000"/>
          <w:sz w:val="21"/>
          <w:szCs w:val="21"/>
        </w:rPr>
        <w:t>Harnoss</w:t>
      </w:r>
      <w:proofErr w:type="spellEnd"/>
      <w:r>
        <w:rPr>
          <w:rFonts w:ascii="Times New Roman" w:eastAsia="Times New Roman" w:hAnsi="Times New Roman" w:cs="Times New Roman"/>
          <w:color w:val="000000"/>
          <w:sz w:val="21"/>
          <w:szCs w:val="21"/>
        </w:rPr>
        <w:t xml:space="preserve">, J. M. </w:t>
      </w:r>
      <w:r>
        <w:rPr>
          <w:rFonts w:ascii="Times New Roman" w:eastAsia="Times New Roman" w:hAnsi="Times New Roman" w:cs="Times New Roman"/>
          <w:i/>
          <w:color w:val="000000"/>
          <w:sz w:val="21"/>
          <w:szCs w:val="21"/>
        </w:rPr>
        <w:t>et al.</w:t>
      </w:r>
      <w:r>
        <w:rPr>
          <w:rFonts w:ascii="Times New Roman" w:eastAsia="Times New Roman" w:hAnsi="Times New Roman" w:cs="Times New Roman"/>
          <w:color w:val="000000"/>
          <w:sz w:val="21"/>
          <w:szCs w:val="21"/>
        </w:rPr>
        <w:t xml:space="preserve"> Disruption of IRE1α through its kinase domain attenuates multiple myeloma. </w:t>
      </w:r>
      <w:r>
        <w:rPr>
          <w:rFonts w:ascii="Times New Roman" w:eastAsia="Times New Roman" w:hAnsi="Times New Roman" w:cs="Times New Roman"/>
          <w:i/>
          <w:color w:val="000000"/>
          <w:sz w:val="21"/>
          <w:szCs w:val="21"/>
        </w:rPr>
        <w:t>Proc. Natl. Acad. Sci.</w:t>
      </w:r>
      <w:r>
        <w:rPr>
          <w:rFonts w:ascii="Times New Roman" w:eastAsia="Times New Roman" w:hAnsi="Times New Roman" w:cs="Times New Roman"/>
          <w:color w:val="000000"/>
          <w:sz w:val="21"/>
          <w:szCs w:val="21"/>
        </w:rPr>
        <w:t xml:space="preserve"> </w:t>
      </w:r>
      <w:r>
        <w:rPr>
          <w:rFonts w:ascii="Times New Roman" w:eastAsia="Times New Roman" w:hAnsi="Times New Roman" w:cs="Times New Roman"/>
          <w:b/>
          <w:color w:val="000000"/>
          <w:sz w:val="21"/>
          <w:szCs w:val="21"/>
        </w:rPr>
        <w:t>116</w:t>
      </w:r>
      <w:r>
        <w:rPr>
          <w:rFonts w:ascii="Times New Roman" w:eastAsia="Times New Roman" w:hAnsi="Times New Roman" w:cs="Times New Roman"/>
          <w:color w:val="000000"/>
          <w:sz w:val="21"/>
          <w:szCs w:val="21"/>
        </w:rPr>
        <w:t>, 16420–16429 (2019).</w:t>
      </w:r>
    </w:p>
    <w:p w14:paraId="12173DC1" w14:textId="77777777" w:rsidR="006317D8" w:rsidRDefault="006317D8" w:rsidP="006317D8">
      <w:pPr>
        <w:pBdr>
          <w:top w:val="nil"/>
          <w:left w:val="nil"/>
          <w:bottom w:val="nil"/>
          <w:right w:val="nil"/>
          <w:between w:val="nil"/>
        </w:pBd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3. </w:t>
      </w:r>
      <w:proofErr w:type="spellStart"/>
      <w:r>
        <w:rPr>
          <w:rFonts w:ascii="Times New Roman" w:eastAsia="Times New Roman" w:hAnsi="Times New Roman" w:cs="Times New Roman"/>
          <w:color w:val="000000"/>
          <w:sz w:val="21"/>
          <w:szCs w:val="21"/>
        </w:rPr>
        <w:t>Shemorry</w:t>
      </w:r>
      <w:proofErr w:type="spellEnd"/>
      <w:r>
        <w:rPr>
          <w:rFonts w:ascii="Times New Roman" w:eastAsia="Times New Roman" w:hAnsi="Times New Roman" w:cs="Times New Roman"/>
          <w:color w:val="000000"/>
          <w:sz w:val="21"/>
          <w:szCs w:val="21"/>
        </w:rPr>
        <w:t xml:space="preserve">, A. </w:t>
      </w:r>
      <w:r>
        <w:rPr>
          <w:rFonts w:ascii="Times New Roman" w:eastAsia="Times New Roman" w:hAnsi="Times New Roman" w:cs="Times New Roman"/>
          <w:i/>
          <w:color w:val="000000"/>
          <w:sz w:val="21"/>
          <w:szCs w:val="21"/>
        </w:rPr>
        <w:t>et al.</w:t>
      </w:r>
      <w:r>
        <w:rPr>
          <w:rFonts w:ascii="Times New Roman" w:eastAsia="Times New Roman" w:hAnsi="Times New Roman" w:cs="Times New Roman"/>
          <w:color w:val="000000"/>
          <w:sz w:val="21"/>
          <w:szCs w:val="21"/>
        </w:rPr>
        <w:t xml:space="preserve"> Caspase-mediated cleavage of IRE1 controls apoptotic cell commitment during endoplasmic reticulum stress. </w:t>
      </w:r>
      <w:proofErr w:type="spellStart"/>
      <w:r>
        <w:rPr>
          <w:rFonts w:ascii="Times New Roman" w:eastAsia="Times New Roman" w:hAnsi="Times New Roman" w:cs="Times New Roman"/>
          <w:i/>
          <w:color w:val="000000"/>
          <w:sz w:val="21"/>
          <w:szCs w:val="21"/>
        </w:rPr>
        <w:t>eLife</w:t>
      </w:r>
      <w:proofErr w:type="spellEnd"/>
      <w:r>
        <w:rPr>
          <w:rFonts w:ascii="Times New Roman" w:eastAsia="Times New Roman" w:hAnsi="Times New Roman" w:cs="Times New Roman"/>
          <w:color w:val="000000"/>
          <w:sz w:val="21"/>
          <w:szCs w:val="21"/>
        </w:rPr>
        <w:t xml:space="preserve"> </w:t>
      </w:r>
      <w:r>
        <w:rPr>
          <w:rFonts w:ascii="Times New Roman" w:eastAsia="Times New Roman" w:hAnsi="Times New Roman" w:cs="Times New Roman"/>
          <w:b/>
          <w:color w:val="000000"/>
          <w:sz w:val="21"/>
          <w:szCs w:val="21"/>
        </w:rPr>
        <w:t>8</w:t>
      </w:r>
      <w:r>
        <w:rPr>
          <w:rFonts w:ascii="Times New Roman" w:eastAsia="Times New Roman" w:hAnsi="Times New Roman" w:cs="Times New Roman"/>
          <w:color w:val="000000"/>
          <w:sz w:val="21"/>
          <w:szCs w:val="21"/>
        </w:rPr>
        <w:t>, e47084 (2019).</w:t>
      </w:r>
    </w:p>
    <w:p w14:paraId="20A8BF60" w14:textId="77777777" w:rsidR="006317D8" w:rsidRDefault="006317D8" w:rsidP="006317D8">
      <w:pPr>
        <w:pBdr>
          <w:top w:val="nil"/>
          <w:left w:val="nil"/>
          <w:bottom w:val="nil"/>
          <w:right w:val="nil"/>
          <w:between w:val="nil"/>
        </w:pBd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4. Beveridge, R. E. </w:t>
      </w:r>
      <w:r>
        <w:rPr>
          <w:rFonts w:ascii="Times New Roman" w:eastAsia="Times New Roman" w:hAnsi="Times New Roman" w:cs="Times New Roman"/>
          <w:i/>
          <w:color w:val="000000"/>
          <w:sz w:val="21"/>
          <w:szCs w:val="21"/>
        </w:rPr>
        <w:t>et al.</w:t>
      </w:r>
      <w:r>
        <w:rPr>
          <w:rFonts w:ascii="Times New Roman" w:eastAsia="Times New Roman" w:hAnsi="Times New Roman" w:cs="Times New Roman"/>
          <w:color w:val="000000"/>
          <w:sz w:val="21"/>
          <w:szCs w:val="21"/>
        </w:rPr>
        <w:t xml:space="preserve"> Identification of </w:t>
      </w:r>
      <w:proofErr w:type="spellStart"/>
      <w:r>
        <w:rPr>
          <w:rFonts w:ascii="Times New Roman" w:eastAsia="Times New Roman" w:hAnsi="Times New Roman" w:cs="Times New Roman"/>
          <w:color w:val="000000"/>
          <w:sz w:val="21"/>
          <w:szCs w:val="21"/>
        </w:rPr>
        <w:t>BRaf</w:t>
      </w:r>
      <w:proofErr w:type="spellEnd"/>
      <w:r>
        <w:rPr>
          <w:rFonts w:ascii="Times New Roman" w:eastAsia="Times New Roman" w:hAnsi="Times New Roman" w:cs="Times New Roman"/>
          <w:color w:val="000000"/>
          <w:sz w:val="21"/>
          <w:szCs w:val="21"/>
        </w:rPr>
        <w:t>-Sparing Amino-</w:t>
      </w:r>
      <w:proofErr w:type="spellStart"/>
      <w:r>
        <w:rPr>
          <w:rFonts w:ascii="Times New Roman" w:eastAsia="Times New Roman" w:hAnsi="Times New Roman" w:cs="Times New Roman"/>
          <w:color w:val="000000"/>
          <w:sz w:val="21"/>
          <w:szCs w:val="21"/>
        </w:rPr>
        <w:t>Thienopyrimidines</w:t>
      </w:r>
      <w:proofErr w:type="spellEnd"/>
      <w:r>
        <w:rPr>
          <w:rFonts w:ascii="Times New Roman" w:eastAsia="Times New Roman" w:hAnsi="Times New Roman" w:cs="Times New Roman"/>
          <w:color w:val="000000"/>
          <w:sz w:val="21"/>
          <w:szCs w:val="21"/>
        </w:rPr>
        <w:t xml:space="preserve"> with Potent IRE1α Inhibitory Activity. </w:t>
      </w:r>
      <w:r>
        <w:rPr>
          <w:rFonts w:ascii="Times New Roman" w:eastAsia="Times New Roman" w:hAnsi="Times New Roman" w:cs="Times New Roman"/>
          <w:i/>
          <w:color w:val="000000"/>
          <w:sz w:val="21"/>
          <w:szCs w:val="21"/>
        </w:rPr>
        <w:t>ACS Med. Chem. Lett.</w:t>
      </w:r>
      <w:r>
        <w:rPr>
          <w:rFonts w:ascii="Times New Roman" w:eastAsia="Times New Roman" w:hAnsi="Times New Roman" w:cs="Times New Roman"/>
          <w:color w:val="000000"/>
          <w:sz w:val="21"/>
          <w:szCs w:val="21"/>
        </w:rPr>
        <w:t xml:space="preserve"> </w:t>
      </w:r>
      <w:r>
        <w:rPr>
          <w:rFonts w:ascii="Times New Roman" w:eastAsia="Times New Roman" w:hAnsi="Times New Roman" w:cs="Times New Roman"/>
          <w:b/>
          <w:color w:val="000000"/>
          <w:sz w:val="21"/>
          <w:szCs w:val="21"/>
        </w:rPr>
        <w:t>11</w:t>
      </w:r>
      <w:r>
        <w:rPr>
          <w:rFonts w:ascii="Times New Roman" w:eastAsia="Times New Roman" w:hAnsi="Times New Roman" w:cs="Times New Roman"/>
          <w:color w:val="000000"/>
          <w:sz w:val="21"/>
          <w:szCs w:val="21"/>
        </w:rPr>
        <w:t>, 2389–2396 (2020).</w:t>
      </w:r>
    </w:p>
    <w:p w14:paraId="04C28A70" w14:textId="77777777" w:rsidR="006317D8" w:rsidRDefault="006317D8" w:rsidP="006317D8">
      <w:pPr>
        <w:pBdr>
          <w:top w:val="nil"/>
          <w:left w:val="nil"/>
          <w:bottom w:val="nil"/>
          <w:right w:val="nil"/>
          <w:between w:val="nil"/>
        </w:pBd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5. Cross, B. C. S. </w:t>
      </w:r>
      <w:r>
        <w:rPr>
          <w:rFonts w:ascii="Times New Roman" w:eastAsia="Times New Roman" w:hAnsi="Times New Roman" w:cs="Times New Roman"/>
          <w:i/>
          <w:color w:val="000000"/>
          <w:sz w:val="21"/>
          <w:szCs w:val="21"/>
        </w:rPr>
        <w:t>et al.</w:t>
      </w:r>
      <w:r>
        <w:rPr>
          <w:rFonts w:ascii="Times New Roman" w:eastAsia="Times New Roman" w:hAnsi="Times New Roman" w:cs="Times New Roman"/>
          <w:color w:val="000000"/>
          <w:sz w:val="21"/>
          <w:szCs w:val="21"/>
        </w:rPr>
        <w:t xml:space="preserve"> The molecular basis for selective inhibition of unconventional mRNA splicing by an IRE1-binding small molecule. </w:t>
      </w:r>
      <w:r>
        <w:rPr>
          <w:rFonts w:ascii="Times New Roman" w:eastAsia="Times New Roman" w:hAnsi="Times New Roman" w:cs="Times New Roman"/>
          <w:i/>
          <w:color w:val="000000"/>
          <w:sz w:val="21"/>
          <w:szCs w:val="21"/>
        </w:rPr>
        <w:t>Proc. Natl. Acad. Sci.</w:t>
      </w:r>
      <w:r>
        <w:rPr>
          <w:rFonts w:ascii="Times New Roman" w:eastAsia="Times New Roman" w:hAnsi="Times New Roman" w:cs="Times New Roman"/>
          <w:color w:val="000000"/>
          <w:sz w:val="21"/>
          <w:szCs w:val="21"/>
        </w:rPr>
        <w:t xml:space="preserve"> </w:t>
      </w:r>
      <w:r>
        <w:rPr>
          <w:rFonts w:ascii="Times New Roman" w:eastAsia="Times New Roman" w:hAnsi="Times New Roman" w:cs="Times New Roman"/>
          <w:b/>
          <w:color w:val="000000"/>
          <w:sz w:val="21"/>
          <w:szCs w:val="21"/>
        </w:rPr>
        <w:t>109</w:t>
      </w:r>
      <w:r>
        <w:rPr>
          <w:rFonts w:ascii="Times New Roman" w:eastAsia="Times New Roman" w:hAnsi="Times New Roman" w:cs="Times New Roman"/>
          <w:color w:val="000000"/>
          <w:sz w:val="21"/>
          <w:szCs w:val="21"/>
        </w:rPr>
        <w:t>, E869–E878 (2012).</w:t>
      </w:r>
    </w:p>
    <w:p w14:paraId="3645A5E2" w14:textId="77777777" w:rsidR="006317D8" w:rsidRDefault="006317D8" w:rsidP="006317D8">
      <w:pPr>
        <w:pBdr>
          <w:top w:val="nil"/>
          <w:left w:val="nil"/>
          <w:bottom w:val="nil"/>
          <w:right w:val="nil"/>
          <w:between w:val="nil"/>
        </w:pBd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6. </w:t>
      </w:r>
      <w:proofErr w:type="spellStart"/>
      <w:r>
        <w:rPr>
          <w:rFonts w:ascii="Times New Roman" w:eastAsia="Times New Roman" w:hAnsi="Times New Roman" w:cs="Times New Roman"/>
          <w:color w:val="000000"/>
          <w:sz w:val="21"/>
          <w:szCs w:val="21"/>
        </w:rPr>
        <w:t>Sanches</w:t>
      </w:r>
      <w:proofErr w:type="spellEnd"/>
      <w:r>
        <w:rPr>
          <w:rFonts w:ascii="Times New Roman" w:eastAsia="Times New Roman" w:hAnsi="Times New Roman" w:cs="Times New Roman"/>
          <w:color w:val="000000"/>
          <w:sz w:val="21"/>
          <w:szCs w:val="21"/>
        </w:rPr>
        <w:t xml:space="preserve">, M. </w:t>
      </w:r>
      <w:r>
        <w:rPr>
          <w:rFonts w:ascii="Times New Roman" w:eastAsia="Times New Roman" w:hAnsi="Times New Roman" w:cs="Times New Roman"/>
          <w:i/>
          <w:color w:val="000000"/>
          <w:sz w:val="21"/>
          <w:szCs w:val="21"/>
        </w:rPr>
        <w:t>et al.</w:t>
      </w:r>
      <w:r>
        <w:rPr>
          <w:rFonts w:ascii="Times New Roman" w:eastAsia="Times New Roman" w:hAnsi="Times New Roman" w:cs="Times New Roman"/>
          <w:color w:val="000000"/>
          <w:sz w:val="21"/>
          <w:szCs w:val="21"/>
        </w:rPr>
        <w:t xml:space="preserve"> Structure and mechanism of action of the hydroxy–aryl–aldehyde class of IRE1 endoribonuclease inhibitors. </w:t>
      </w:r>
      <w:r>
        <w:rPr>
          <w:rFonts w:ascii="Times New Roman" w:eastAsia="Times New Roman" w:hAnsi="Times New Roman" w:cs="Times New Roman"/>
          <w:i/>
          <w:color w:val="000000"/>
          <w:sz w:val="21"/>
          <w:szCs w:val="21"/>
        </w:rPr>
        <w:t xml:space="preserve">Nat. </w:t>
      </w:r>
      <w:proofErr w:type="spellStart"/>
      <w:r>
        <w:rPr>
          <w:rFonts w:ascii="Times New Roman" w:eastAsia="Times New Roman" w:hAnsi="Times New Roman" w:cs="Times New Roman"/>
          <w:i/>
          <w:color w:val="000000"/>
          <w:sz w:val="21"/>
          <w:szCs w:val="21"/>
        </w:rPr>
        <w:t>Commun</w:t>
      </w:r>
      <w:proofErr w:type="spellEnd"/>
      <w:r>
        <w:rPr>
          <w:rFonts w:ascii="Times New Roman" w:eastAsia="Times New Roman" w:hAnsi="Times New Roman" w:cs="Times New Roman"/>
          <w:i/>
          <w:color w:val="000000"/>
          <w:sz w:val="21"/>
          <w:szCs w:val="21"/>
        </w:rPr>
        <w:t>.</w:t>
      </w:r>
      <w:r>
        <w:rPr>
          <w:rFonts w:ascii="Times New Roman" w:eastAsia="Times New Roman" w:hAnsi="Times New Roman" w:cs="Times New Roman"/>
          <w:color w:val="000000"/>
          <w:sz w:val="21"/>
          <w:szCs w:val="21"/>
        </w:rPr>
        <w:t xml:space="preserve"> </w:t>
      </w:r>
      <w:r>
        <w:rPr>
          <w:rFonts w:ascii="Times New Roman" w:eastAsia="Times New Roman" w:hAnsi="Times New Roman" w:cs="Times New Roman"/>
          <w:b/>
          <w:color w:val="000000"/>
          <w:sz w:val="21"/>
          <w:szCs w:val="21"/>
        </w:rPr>
        <w:t>5</w:t>
      </w:r>
      <w:r>
        <w:rPr>
          <w:rFonts w:ascii="Times New Roman" w:eastAsia="Times New Roman" w:hAnsi="Times New Roman" w:cs="Times New Roman"/>
          <w:color w:val="000000"/>
          <w:sz w:val="21"/>
          <w:szCs w:val="21"/>
        </w:rPr>
        <w:t>, 4202 (2014).</w:t>
      </w:r>
    </w:p>
    <w:p w14:paraId="28F9959C" w14:textId="77777777" w:rsidR="006317D8" w:rsidRDefault="006317D8" w:rsidP="006317D8">
      <w:pPr>
        <w:pBdr>
          <w:top w:val="nil"/>
          <w:left w:val="nil"/>
          <w:bottom w:val="nil"/>
          <w:right w:val="nil"/>
          <w:between w:val="nil"/>
        </w:pBd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7. </w:t>
      </w:r>
      <w:proofErr w:type="spellStart"/>
      <w:r>
        <w:rPr>
          <w:rFonts w:ascii="Times New Roman" w:eastAsia="Times New Roman" w:hAnsi="Times New Roman" w:cs="Times New Roman"/>
          <w:color w:val="000000"/>
          <w:sz w:val="21"/>
          <w:szCs w:val="21"/>
        </w:rPr>
        <w:t>Sunada</w:t>
      </w:r>
      <w:proofErr w:type="spellEnd"/>
      <w:r>
        <w:rPr>
          <w:rFonts w:ascii="Times New Roman" w:eastAsia="Times New Roman" w:hAnsi="Times New Roman" w:cs="Times New Roman"/>
          <w:color w:val="000000"/>
          <w:sz w:val="21"/>
          <w:szCs w:val="21"/>
        </w:rPr>
        <w:t xml:space="preserve">, S., Saito, H., Zhang, D., Xu, Z. &amp; Miki, Y. CDK1 inhibitor controls G2/M phase transition and reverses DNA damage sensitivity. </w:t>
      </w:r>
      <w:proofErr w:type="spellStart"/>
      <w:r>
        <w:rPr>
          <w:rFonts w:ascii="Times New Roman" w:eastAsia="Times New Roman" w:hAnsi="Times New Roman" w:cs="Times New Roman"/>
          <w:i/>
          <w:color w:val="000000"/>
          <w:sz w:val="21"/>
          <w:szCs w:val="21"/>
        </w:rPr>
        <w:t>Biochem</w:t>
      </w:r>
      <w:proofErr w:type="spellEnd"/>
      <w:r>
        <w:rPr>
          <w:rFonts w:ascii="Times New Roman" w:eastAsia="Times New Roman" w:hAnsi="Times New Roman" w:cs="Times New Roman"/>
          <w:i/>
          <w:color w:val="000000"/>
          <w:sz w:val="21"/>
          <w:szCs w:val="21"/>
        </w:rPr>
        <w:t xml:space="preserve">. </w:t>
      </w:r>
      <w:proofErr w:type="spellStart"/>
      <w:r>
        <w:rPr>
          <w:rFonts w:ascii="Times New Roman" w:eastAsia="Times New Roman" w:hAnsi="Times New Roman" w:cs="Times New Roman"/>
          <w:i/>
          <w:color w:val="000000"/>
          <w:sz w:val="21"/>
          <w:szCs w:val="21"/>
        </w:rPr>
        <w:t>Biophys</w:t>
      </w:r>
      <w:proofErr w:type="spellEnd"/>
      <w:r>
        <w:rPr>
          <w:rFonts w:ascii="Times New Roman" w:eastAsia="Times New Roman" w:hAnsi="Times New Roman" w:cs="Times New Roman"/>
          <w:i/>
          <w:color w:val="000000"/>
          <w:sz w:val="21"/>
          <w:szCs w:val="21"/>
        </w:rPr>
        <w:t xml:space="preserve">. Res. </w:t>
      </w:r>
      <w:proofErr w:type="spellStart"/>
      <w:r>
        <w:rPr>
          <w:rFonts w:ascii="Times New Roman" w:eastAsia="Times New Roman" w:hAnsi="Times New Roman" w:cs="Times New Roman"/>
          <w:i/>
          <w:color w:val="000000"/>
          <w:sz w:val="21"/>
          <w:szCs w:val="21"/>
        </w:rPr>
        <w:t>Commun</w:t>
      </w:r>
      <w:proofErr w:type="spellEnd"/>
      <w:r>
        <w:rPr>
          <w:rFonts w:ascii="Times New Roman" w:eastAsia="Times New Roman" w:hAnsi="Times New Roman" w:cs="Times New Roman"/>
          <w:i/>
          <w:color w:val="000000"/>
          <w:sz w:val="21"/>
          <w:szCs w:val="21"/>
        </w:rPr>
        <w:t>.</w:t>
      </w:r>
      <w:r>
        <w:rPr>
          <w:rFonts w:ascii="Times New Roman" w:eastAsia="Times New Roman" w:hAnsi="Times New Roman" w:cs="Times New Roman"/>
          <w:color w:val="000000"/>
          <w:sz w:val="21"/>
          <w:szCs w:val="21"/>
        </w:rPr>
        <w:t xml:space="preserve"> </w:t>
      </w:r>
      <w:r>
        <w:rPr>
          <w:rFonts w:ascii="Times New Roman" w:eastAsia="Times New Roman" w:hAnsi="Times New Roman" w:cs="Times New Roman"/>
          <w:b/>
          <w:color w:val="000000"/>
          <w:sz w:val="21"/>
          <w:szCs w:val="21"/>
        </w:rPr>
        <w:t>550</w:t>
      </w:r>
      <w:r>
        <w:rPr>
          <w:rFonts w:ascii="Times New Roman" w:eastAsia="Times New Roman" w:hAnsi="Times New Roman" w:cs="Times New Roman"/>
          <w:color w:val="000000"/>
          <w:sz w:val="21"/>
          <w:szCs w:val="21"/>
        </w:rPr>
        <w:t>, 56–61 (2021).</w:t>
      </w:r>
    </w:p>
    <w:p w14:paraId="09ED5898" w14:textId="77777777" w:rsidR="006317D8" w:rsidRDefault="006317D8" w:rsidP="006317D8">
      <w:pPr>
        <w:pBdr>
          <w:top w:val="nil"/>
          <w:left w:val="nil"/>
          <w:bottom w:val="nil"/>
          <w:right w:val="nil"/>
          <w:between w:val="nil"/>
        </w:pBd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8. </w:t>
      </w:r>
      <w:proofErr w:type="spellStart"/>
      <w:r>
        <w:rPr>
          <w:rFonts w:ascii="Times New Roman" w:eastAsia="Times New Roman" w:hAnsi="Times New Roman" w:cs="Times New Roman"/>
          <w:color w:val="000000"/>
          <w:sz w:val="21"/>
          <w:szCs w:val="21"/>
        </w:rPr>
        <w:t>Zuazo-Gaztelu</w:t>
      </w:r>
      <w:proofErr w:type="spellEnd"/>
      <w:r>
        <w:rPr>
          <w:rFonts w:ascii="Times New Roman" w:eastAsia="Times New Roman" w:hAnsi="Times New Roman" w:cs="Times New Roman"/>
          <w:color w:val="000000"/>
          <w:sz w:val="21"/>
          <w:szCs w:val="21"/>
        </w:rPr>
        <w:t xml:space="preserve">, I. </w:t>
      </w:r>
      <w:r>
        <w:rPr>
          <w:rFonts w:ascii="Times New Roman" w:eastAsia="Times New Roman" w:hAnsi="Times New Roman" w:cs="Times New Roman"/>
          <w:i/>
          <w:color w:val="000000"/>
          <w:sz w:val="21"/>
          <w:szCs w:val="21"/>
        </w:rPr>
        <w:t>et al.</w:t>
      </w:r>
      <w:r>
        <w:rPr>
          <w:rFonts w:ascii="Times New Roman" w:eastAsia="Times New Roman" w:hAnsi="Times New Roman" w:cs="Times New Roman"/>
          <w:color w:val="000000"/>
          <w:sz w:val="21"/>
          <w:szCs w:val="21"/>
        </w:rPr>
        <w:t xml:space="preserve"> A nonenzymatic dependency on inositol-requiring enzyme 1 controls cancer cell cycle progression and tumor growth. </w:t>
      </w:r>
      <w:proofErr w:type="spellStart"/>
      <w:r>
        <w:rPr>
          <w:rFonts w:ascii="Times New Roman" w:eastAsia="Times New Roman" w:hAnsi="Times New Roman" w:cs="Times New Roman"/>
          <w:i/>
          <w:color w:val="000000"/>
          <w:sz w:val="21"/>
          <w:szCs w:val="21"/>
        </w:rPr>
        <w:t>bioRxiv</w:t>
      </w:r>
      <w:proofErr w:type="spellEnd"/>
      <w:r>
        <w:rPr>
          <w:rFonts w:ascii="Times New Roman" w:eastAsia="Times New Roman" w:hAnsi="Times New Roman" w:cs="Times New Roman"/>
          <w:color w:val="000000"/>
          <w:sz w:val="21"/>
          <w:szCs w:val="21"/>
        </w:rPr>
        <w:t xml:space="preserve"> 2023.11.22.567905 (2023) doi:10.1101/2023.11.22.567905.</w:t>
      </w:r>
    </w:p>
    <w:p w14:paraId="716C674D" w14:textId="77777777" w:rsidR="006317D8" w:rsidRDefault="006317D8" w:rsidP="006317D8">
      <w:pPr>
        <w:pBdr>
          <w:top w:val="nil"/>
          <w:left w:val="nil"/>
          <w:bottom w:val="nil"/>
          <w:right w:val="nil"/>
          <w:between w:val="nil"/>
        </w:pBd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9. Daniel, B., Balint, B. L., Nagy, Z. S. &amp; Nagy, L. Steroid Receptors, Methods and Protocols. </w:t>
      </w:r>
      <w:r>
        <w:rPr>
          <w:rFonts w:ascii="Times New Roman" w:eastAsia="Times New Roman" w:hAnsi="Times New Roman" w:cs="Times New Roman"/>
          <w:i/>
          <w:color w:val="000000"/>
          <w:sz w:val="21"/>
          <w:szCs w:val="21"/>
        </w:rPr>
        <w:t>Methods Mol. Biol.</w:t>
      </w:r>
      <w:r>
        <w:rPr>
          <w:rFonts w:ascii="Times New Roman" w:eastAsia="Times New Roman" w:hAnsi="Times New Roman" w:cs="Times New Roman"/>
          <w:color w:val="000000"/>
          <w:sz w:val="21"/>
          <w:szCs w:val="21"/>
        </w:rPr>
        <w:t xml:space="preserve"> </w:t>
      </w:r>
      <w:r>
        <w:rPr>
          <w:rFonts w:ascii="Times New Roman" w:eastAsia="Times New Roman" w:hAnsi="Times New Roman" w:cs="Times New Roman"/>
          <w:b/>
          <w:color w:val="000000"/>
          <w:sz w:val="21"/>
          <w:szCs w:val="21"/>
        </w:rPr>
        <w:t>1204</w:t>
      </w:r>
      <w:r>
        <w:rPr>
          <w:rFonts w:ascii="Times New Roman" w:eastAsia="Times New Roman" w:hAnsi="Times New Roman" w:cs="Times New Roman"/>
          <w:color w:val="000000"/>
          <w:sz w:val="21"/>
          <w:szCs w:val="21"/>
        </w:rPr>
        <w:t>, 15–24 (2014).</w:t>
      </w:r>
    </w:p>
    <w:p w14:paraId="66C3FBFE" w14:textId="77777777" w:rsidR="006317D8" w:rsidRDefault="006317D8" w:rsidP="006317D8">
      <w:pPr>
        <w:pBdr>
          <w:top w:val="nil"/>
          <w:left w:val="nil"/>
          <w:bottom w:val="nil"/>
          <w:right w:val="nil"/>
          <w:between w:val="nil"/>
        </w:pBdr>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w:t>
      </w:r>
    </w:p>
    <w:p w14:paraId="5BA06169" w14:textId="77777777" w:rsidR="006317D8" w:rsidRDefault="006317D8">
      <w:pPr>
        <w:spacing w:line="276" w:lineRule="auto"/>
        <w:jc w:val="both"/>
      </w:pPr>
    </w:p>
    <w:p w14:paraId="00000083" w14:textId="49456826" w:rsidR="00990BBD" w:rsidRPr="005E164C" w:rsidRDefault="005E164C">
      <w:pPr>
        <w:spacing w:line="276" w:lineRule="auto"/>
        <w:jc w:val="both"/>
        <w:rPr>
          <w:b/>
          <w:bCs/>
        </w:rPr>
      </w:pPr>
      <w:r w:rsidRPr="005E164C">
        <w:rPr>
          <w:b/>
          <w:bCs/>
        </w:rPr>
        <w:t>SUPPLEMENTAL TABLES</w:t>
      </w:r>
    </w:p>
    <w:p w14:paraId="3F586399" w14:textId="24A3E26D" w:rsidR="00415A01" w:rsidRPr="00415A01" w:rsidRDefault="00415A01">
      <w:pPr>
        <w:spacing w:line="276" w:lineRule="auto"/>
        <w:jc w:val="both"/>
      </w:pPr>
      <w:r w:rsidRPr="00415A01">
        <w:rPr>
          <w:b/>
          <w:bCs/>
        </w:rPr>
        <w:t>Supplemental Table 1:</w:t>
      </w:r>
      <w:r w:rsidRPr="00415A01">
        <w:t xml:space="preserve"> </w:t>
      </w:r>
      <w:r w:rsidRPr="00415A01">
        <w:rPr>
          <w:b/>
          <w:bCs/>
        </w:rPr>
        <w:t>MM essential genes shared by IRE1-dependent MM cell lines</w:t>
      </w:r>
      <w:r>
        <w:rPr>
          <w:b/>
          <w:bCs/>
        </w:rPr>
        <w:t xml:space="preserve">. </w:t>
      </w:r>
      <w:r>
        <w:t xml:space="preserve">This table shows only the genes that are essential (corrected gene effect </w:t>
      </w:r>
      <w:r>
        <w:sym w:font="Symbol" w:char="F0A3"/>
      </w:r>
      <w:r>
        <w:t xml:space="preserve"> 0.25) for at least 4 MM lines.</w:t>
      </w:r>
    </w:p>
    <w:p w14:paraId="5DD7B524" w14:textId="77777777" w:rsidR="00415A01" w:rsidRDefault="00415A01">
      <w:pPr>
        <w:spacing w:line="276" w:lineRule="auto"/>
        <w:jc w:val="both"/>
      </w:pPr>
    </w:p>
    <w:p w14:paraId="253C54F4" w14:textId="40F558A6" w:rsidR="005E164C" w:rsidRDefault="00415A01" w:rsidP="001301EC">
      <w:pPr>
        <w:spacing w:line="276" w:lineRule="auto"/>
        <w:jc w:val="both"/>
      </w:pPr>
      <w:r w:rsidRPr="00415A01">
        <w:rPr>
          <w:b/>
          <w:bCs/>
        </w:rPr>
        <w:t>Suppleme</w:t>
      </w:r>
      <w:r w:rsidR="00152116">
        <w:rPr>
          <w:b/>
          <w:bCs/>
        </w:rPr>
        <w:t>n</w:t>
      </w:r>
      <w:r w:rsidRPr="00415A01">
        <w:rPr>
          <w:b/>
          <w:bCs/>
        </w:rPr>
        <w:t>tal table 2:</w:t>
      </w:r>
      <w:r w:rsidRPr="00415A01">
        <w:t xml:space="preserve"> </w:t>
      </w:r>
      <w:r w:rsidRPr="00415A01">
        <w:rPr>
          <w:b/>
          <w:bCs/>
        </w:rPr>
        <w:t>Leading Edge analyses and overlap.</w:t>
      </w:r>
      <w:r>
        <w:t xml:space="preserve"> Here are pro</w:t>
      </w:r>
      <w:r w:rsidR="006317D8">
        <w:t>v</w:t>
      </w:r>
      <w:r>
        <w:t>ided all the leading-edge genes identified during the GSEA analyses. These lists were used to find overlapping sets.</w:t>
      </w:r>
    </w:p>
    <w:sectPr w:rsidR="005E164C">
      <w:footerReference w:type="default" r:id="rId14"/>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3E4207" w14:textId="77777777" w:rsidR="005A310F" w:rsidRDefault="005A310F">
      <w:r>
        <w:separator/>
      </w:r>
    </w:p>
  </w:endnote>
  <w:endnote w:type="continuationSeparator" w:id="0">
    <w:p w14:paraId="31DC0AD9" w14:textId="77777777" w:rsidR="005A310F" w:rsidRDefault="005A31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D3" w14:textId="07469D8C" w:rsidR="00990BBD" w:rsidRDefault="00000000">
    <w:pPr>
      <w:jc w:val="right"/>
    </w:pPr>
    <w:r>
      <w:fldChar w:fldCharType="begin"/>
    </w:r>
    <w:r>
      <w:instrText>PAGE</w:instrText>
    </w:r>
    <w:r>
      <w:fldChar w:fldCharType="separate"/>
    </w:r>
    <w:r w:rsidR="005E164C">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7678D9" w14:textId="77777777" w:rsidR="005A310F" w:rsidRDefault="005A310F">
      <w:r>
        <w:separator/>
      </w:r>
    </w:p>
  </w:footnote>
  <w:footnote w:type="continuationSeparator" w:id="0">
    <w:p w14:paraId="5079D2EC" w14:textId="77777777" w:rsidR="005A310F" w:rsidRDefault="005A310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0BBD"/>
    <w:rsid w:val="000F3722"/>
    <w:rsid w:val="00121ED4"/>
    <w:rsid w:val="001301EC"/>
    <w:rsid w:val="00152116"/>
    <w:rsid w:val="00366444"/>
    <w:rsid w:val="00415A01"/>
    <w:rsid w:val="004E57C1"/>
    <w:rsid w:val="005A300C"/>
    <w:rsid w:val="005A310F"/>
    <w:rsid w:val="005E164C"/>
    <w:rsid w:val="006317D8"/>
    <w:rsid w:val="0067358E"/>
    <w:rsid w:val="00681AD5"/>
    <w:rsid w:val="006A552C"/>
    <w:rsid w:val="007F626A"/>
    <w:rsid w:val="00990BBD"/>
    <w:rsid w:val="00F23551"/>
    <w:rsid w:val="00F348FD"/>
    <w:rsid w:val="00F961D5"/>
    <w:rsid w:val="00FB5828"/>
    <w:rsid w:val="00FF44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227605"/>
  <w15:docId w15:val="{82E3E202-D0B1-AD43-839A-04859D5B93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2B6D"/>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Bibliography1">
    <w:name w:val="Bibliography1"/>
    <w:basedOn w:val="Normal"/>
    <w:rsid w:val="003B661E"/>
    <w:pPr>
      <w:spacing w:before="100" w:beforeAutospacing="1" w:after="100" w:afterAutospacing="1"/>
    </w:pPr>
    <w:rPr>
      <w:rFonts w:ascii="Times New Roman" w:eastAsiaTheme="minorEastAsia" w:hAnsi="Times New Roman" w:cs="Times New Roman"/>
    </w:rPr>
  </w:style>
  <w:style w:type="paragraph" w:customStyle="1" w:styleId="msonormal0">
    <w:name w:val="msonormal"/>
    <w:basedOn w:val="Normal"/>
    <w:rsid w:val="00242569"/>
    <w:pPr>
      <w:spacing w:before="100" w:beforeAutospacing="1" w:after="100" w:afterAutospacing="1"/>
    </w:pPr>
    <w:rPr>
      <w:rFonts w:ascii="Times New Roman" w:eastAsiaTheme="minorEastAsia" w:hAnsi="Times New Roman" w:cs="Times New Roman"/>
    </w:rPr>
  </w:style>
  <w:style w:type="paragraph" w:styleId="NormalWeb">
    <w:name w:val="Normal (Web)"/>
    <w:basedOn w:val="Normal"/>
    <w:uiPriority w:val="99"/>
    <w:semiHidden/>
    <w:unhideWhenUsed/>
    <w:rsid w:val="00DA3D8F"/>
    <w:pPr>
      <w:spacing w:before="100" w:beforeAutospacing="1" w:after="100" w:afterAutospacing="1"/>
    </w:pPr>
    <w:rPr>
      <w:rFonts w:ascii="Times New Roman" w:eastAsia="Times New Roman" w:hAnsi="Times New Roman" w:cs="Times New Roman"/>
    </w:rPr>
  </w:style>
  <w:style w:type="character" w:customStyle="1" w:styleId="apple-tab-span">
    <w:name w:val="apple-tab-span"/>
    <w:basedOn w:val="DefaultParagraphFont"/>
    <w:rsid w:val="00B62E7B"/>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7193640">
      <w:bodyDiv w:val="1"/>
      <w:marLeft w:val="0"/>
      <w:marRight w:val="0"/>
      <w:marTop w:val="0"/>
      <w:marBottom w:val="0"/>
      <w:divBdr>
        <w:top w:val="none" w:sz="0" w:space="0" w:color="auto"/>
        <w:left w:val="none" w:sz="0" w:space="0" w:color="auto"/>
        <w:bottom w:val="none" w:sz="0" w:space="0" w:color="auto"/>
        <w:right w:val="none" w:sz="0" w:space="0" w:color="auto"/>
      </w:divBdr>
    </w:div>
    <w:div w:id="779760497">
      <w:bodyDiv w:val="1"/>
      <w:marLeft w:val="0"/>
      <w:marRight w:val="0"/>
      <w:marTop w:val="0"/>
      <w:marBottom w:val="0"/>
      <w:divBdr>
        <w:top w:val="none" w:sz="0" w:space="0" w:color="auto"/>
        <w:left w:val="none" w:sz="0" w:space="0" w:color="auto"/>
        <w:bottom w:val="none" w:sz="0" w:space="0" w:color="auto"/>
        <w:right w:val="none" w:sz="0" w:space="0" w:color="auto"/>
      </w:divBdr>
    </w:div>
    <w:div w:id="1131754712">
      <w:bodyDiv w:val="1"/>
      <w:marLeft w:val="0"/>
      <w:marRight w:val="0"/>
      <w:marTop w:val="0"/>
      <w:marBottom w:val="0"/>
      <w:divBdr>
        <w:top w:val="none" w:sz="0" w:space="0" w:color="auto"/>
        <w:left w:val="none" w:sz="0" w:space="0" w:color="auto"/>
        <w:bottom w:val="none" w:sz="0" w:space="0" w:color="auto"/>
        <w:right w:val="none" w:sz="0" w:space="0" w:color="auto"/>
      </w:divBdr>
    </w:div>
    <w:div w:id="1397362509">
      <w:bodyDiv w:val="1"/>
      <w:marLeft w:val="0"/>
      <w:marRight w:val="0"/>
      <w:marTop w:val="0"/>
      <w:marBottom w:val="0"/>
      <w:divBdr>
        <w:top w:val="none" w:sz="0" w:space="0" w:color="auto"/>
        <w:left w:val="none" w:sz="0" w:space="0" w:color="auto"/>
        <w:bottom w:val="none" w:sz="0" w:space="0" w:color="auto"/>
        <w:right w:val="none" w:sz="0" w:space="0" w:color="auto"/>
      </w:divBdr>
    </w:div>
    <w:div w:id="1766732551">
      <w:bodyDiv w:val="1"/>
      <w:marLeft w:val="0"/>
      <w:marRight w:val="0"/>
      <w:marTop w:val="0"/>
      <w:marBottom w:val="0"/>
      <w:divBdr>
        <w:top w:val="none" w:sz="0" w:space="0" w:color="auto"/>
        <w:left w:val="none" w:sz="0" w:space="0" w:color="auto"/>
        <w:bottom w:val="none" w:sz="0" w:space="0" w:color="auto"/>
        <w:right w:val="none" w:sz="0" w:space="0" w:color="auto"/>
      </w:divBdr>
    </w:div>
    <w:div w:id="203607505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aa@gene.com" TargetMode="External"/><Relationship Id="rId13" Type="http://schemas.openxmlformats.org/officeDocument/2006/relationships/hyperlink" Target="https://www.cellosaurus.org/CVCL_L363"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cellosaurus.org/CVCL_2993"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ellosaurus.org/CVCL_2993"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cellosaurus.org/CVCL_1806" TargetMode="External"/><Relationship Id="rId4" Type="http://schemas.openxmlformats.org/officeDocument/2006/relationships/settings" Target="settings.xml"/><Relationship Id="rId9" Type="http://schemas.openxmlformats.org/officeDocument/2006/relationships/hyperlink" Target="https://doi.org/10.25452/figshare.plus.24667905.v2"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A0BF1C2-0DF5-6440-86C5-0A1C45033086}">
  <we:reference id="wa104380917" version="1.0.1.0" store="en-US" storeType="OMEX"/>
  <we:alternateReferences>
    <we:reference id="wa104380917" version="1.0.1.0" store="WA104380917"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2Ls+i5L57uTRNL2W8JXVk5TLvow==">CgMxLjA4AHIhMU5UWTIzTTU0RWFoS041R1lsZGJvQ1poN3J6RGVpRGN5</go:docsCustomData>
</go:gDocsCustomXmlDataStorage>
</file>

<file path=customXml/itemProps1.xml><?xml version="1.0" encoding="utf-8"?>
<ds:datastoreItem xmlns:ds="http://schemas.openxmlformats.org/officeDocument/2006/customXml" ds:itemID="{51EE4A1D-0762-084F-9193-3276AB23ABD9}">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4821</Words>
  <Characters>27483</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Microsoft Office User</cp:lastModifiedBy>
  <cp:revision>2</cp:revision>
  <cp:lastPrinted>2024-04-02T19:16:00Z</cp:lastPrinted>
  <dcterms:created xsi:type="dcterms:W3CDTF">2024-05-28T21:54:00Z</dcterms:created>
  <dcterms:modified xsi:type="dcterms:W3CDTF">2024-05-28T21:54:00Z</dcterms:modified>
</cp:coreProperties>
</file>