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D8EA8" w14:textId="6B712523" w:rsidR="00B905F1" w:rsidRPr="00676C29" w:rsidRDefault="00D31818">
      <w:pPr>
        <w:rPr>
          <w:b/>
          <w:bCs/>
          <w:sz w:val="24"/>
          <w:szCs w:val="24"/>
          <w:lang w:val="en-US"/>
        </w:rPr>
      </w:pPr>
      <w:r w:rsidRPr="00676C29">
        <w:rPr>
          <w:b/>
          <w:bCs/>
          <w:sz w:val="24"/>
          <w:szCs w:val="24"/>
          <w:lang w:val="en-US"/>
        </w:rPr>
        <w:t>Supplementa</w:t>
      </w:r>
      <w:r w:rsidR="0030137A">
        <w:rPr>
          <w:b/>
          <w:bCs/>
          <w:sz w:val="24"/>
          <w:szCs w:val="24"/>
          <w:lang w:val="en-US"/>
        </w:rPr>
        <w:t>ry</w:t>
      </w:r>
      <w:r w:rsidRPr="00676C29">
        <w:rPr>
          <w:b/>
          <w:bCs/>
          <w:sz w:val="24"/>
          <w:szCs w:val="24"/>
          <w:lang w:val="en-US"/>
        </w:rPr>
        <w:t xml:space="preserve"> Methods</w:t>
      </w:r>
    </w:p>
    <w:p w14:paraId="00AE5EBF" w14:textId="3C757617" w:rsidR="00D31818" w:rsidRPr="00676C29" w:rsidRDefault="00D31818">
      <w:pPr>
        <w:rPr>
          <w:lang w:val="en-US"/>
        </w:rPr>
      </w:pPr>
    </w:p>
    <w:p w14:paraId="702566A2" w14:textId="77777777" w:rsidR="00D141FA" w:rsidRDefault="00D141FA" w:rsidP="00D141FA">
      <w:pPr>
        <w:spacing w:line="360" w:lineRule="auto"/>
        <w:jc w:val="both"/>
        <w:rPr>
          <w:rFonts w:cstheme="minorHAnsi"/>
          <w:b/>
          <w:lang w:val="en-US"/>
        </w:rPr>
      </w:pPr>
      <w:r w:rsidRPr="00D040B3">
        <w:rPr>
          <w:rFonts w:cstheme="minorHAnsi"/>
          <w:b/>
          <w:lang w:val="en-US"/>
        </w:rPr>
        <w:t>Immunoblotting</w:t>
      </w:r>
      <w:r>
        <w:rPr>
          <w:rFonts w:cstheme="minorHAnsi"/>
          <w:b/>
          <w:lang w:val="en-US"/>
        </w:rPr>
        <w:t xml:space="preserve"> and antibodies</w:t>
      </w:r>
    </w:p>
    <w:p w14:paraId="65DF538E" w14:textId="77777777" w:rsidR="00D141FA" w:rsidRPr="00722837" w:rsidRDefault="00D141FA" w:rsidP="00D141FA">
      <w:pPr>
        <w:spacing w:line="360" w:lineRule="auto"/>
        <w:jc w:val="both"/>
        <w:rPr>
          <w:rFonts w:cstheme="minorHAnsi"/>
          <w:lang w:val="en-GB"/>
        </w:rPr>
      </w:pPr>
      <w:r>
        <w:rPr>
          <w:rFonts w:cstheme="minorHAnsi"/>
          <w:lang w:val="en-US"/>
        </w:rPr>
        <w:t xml:space="preserve">Cell lysates were prepared after drug treatment for 24h with RIPA-lysis buffer </w:t>
      </w:r>
      <w:r w:rsidRPr="009068CC">
        <w:rPr>
          <w:rFonts w:cstheme="minorHAnsi"/>
          <w:lang w:val="en-US"/>
        </w:rPr>
        <w:t>(</w:t>
      </w:r>
      <w:r w:rsidRPr="00FE1DA9">
        <w:rPr>
          <w:lang w:val="it-IT"/>
        </w:rPr>
        <w:t xml:space="preserve">RIPA </w:t>
      </w:r>
      <w:proofErr w:type="spellStart"/>
      <w:r w:rsidRPr="00FE1DA9">
        <w:rPr>
          <w:lang w:val="it-IT"/>
        </w:rPr>
        <w:t>Lysis</w:t>
      </w:r>
      <w:proofErr w:type="spellEnd"/>
      <w:r w:rsidRPr="00FE1DA9">
        <w:rPr>
          <w:lang w:val="it-IT"/>
        </w:rPr>
        <w:t xml:space="preserve"> Buffer, 10X</w:t>
      </w:r>
      <w:r w:rsidRPr="00ED3726">
        <w:rPr>
          <w:rFonts w:cstheme="minorHAnsi"/>
          <w:lang w:val="en-US"/>
        </w:rPr>
        <w:t xml:space="preserve"> Millipore #20-188, </w:t>
      </w:r>
      <w:r>
        <w:rPr>
          <w:lang w:val="it-IT"/>
        </w:rPr>
        <w:t>complete™, m</w:t>
      </w:r>
      <w:r w:rsidRPr="00FE1DA9">
        <w:rPr>
          <w:lang w:val="it-IT"/>
        </w:rPr>
        <w:t>ini, EDTA-fr</w:t>
      </w:r>
      <w:r>
        <w:rPr>
          <w:lang w:val="it-IT"/>
        </w:rPr>
        <w:t>ee</w:t>
      </w:r>
      <w:r w:rsidRPr="00FE1DA9">
        <w:rPr>
          <w:lang w:val="it-IT"/>
        </w:rPr>
        <w:t xml:space="preserve"> </w:t>
      </w:r>
      <w:proofErr w:type="spellStart"/>
      <w:r>
        <w:rPr>
          <w:lang w:val="it-IT"/>
        </w:rPr>
        <w:t>protease</w:t>
      </w:r>
      <w:proofErr w:type="spellEnd"/>
      <w:r>
        <w:rPr>
          <w:lang w:val="it-IT"/>
        </w:rPr>
        <w:t xml:space="preserve"> </w:t>
      </w:r>
      <w:proofErr w:type="spellStart"/>
      <w:r>
        <w:rPr>
          <w:lang w:val="it-IT"/>
        </w:rPr>
        <w:t>inhibitor</w:t>
      </w:r>
      <w:proofErr w:type="spellEnd"/>
      <w:r>
        <w:rPr>
          <w:lang w:val="it-IT"/>
        </w:rPr>
        <w:t xml:space="preserve"> c</w:t>
      </w:r>
      <w:r w:rsidRPr="00FE1DA9">
        <w:rPr>
          <w:lang w:val="it-IT"/>
        </w:rPr>
        <w:t>ocktail</w:t>
      </w:r>
      <w:r w:rsidRPr="00ED3726">
        <w:rPr>
          <w:rFonts w:cstheme="minorHAnsi"/>
          <w:lang w:val="en-US"/>
        </w:rPr>
        <w:t xml:space="preserve"> Roche #11836170001, </w:t>
      </w:r>
      <w:proofErr w:type="spellStart"/>
      <w:r w:rsidRPr="00FE1DA9">
        <w:rPr>
          <w:lang w:val="it-IT"/>
        </w:rPr>
        <w:t>PhosSTOP</w:t>
      </w:r>
      <w:proofErr w:type="spellEnd"/>
      <w:r w:rsidRPr="00FE1DA9">
        <w:rPr>
          <w:lang w:val="it-IT"/>
        </w:rPr>
        <w:t>™</w:t>
      </w:r>
      <w:r>
        <w:rPr>
          <w:lang w:val="it-IT"/>
        </w:rPr>
        <w:t xml:space="preserve"> </w:t>
      </w:r>
      <w:r w:rsidRPr="00ED3726">
        <w:rPr>
          <w:rFonts w:cstheme="minorHAnsi"/>
          <w:lang w:val="en-US"/>
        </w:rPr>
        <w:t>Roche #04906837001, Milli-Q-water)</w:t>
      </w:r>
      <w:r>
        <w:rPr>
          <w:rFonts w:cstheme="minorHAnsi"/>
          <w:lang w:val="en-US"/>
        </w:rPr>
        <w:t xml:space="preserve"> and analyzed by SDS-PAGE following standard procedures. The antibodies used in this study were: </w:t>
      </w:r>
      <w:proofErr w:type="spellStart"/>
      <w:r>
        <w:rPr>
          <w:rFonts w:cstheme="minorHAnsi"/>
          <w:lang w:val="en-US"/>
        </w:rPr>
        <w:t>Bcl-xL</w:t>
      </w:r>
      <w:proofErr w:type="spellEnd"/>
      <w:r>
        <w:rPr>
          <w:rFonts w:cstheme="minorHAnsi"/>
          <w:lang w:val="en-US"/>
        </w:rPr>
        <w:t xml:space="preserve"> (H-5) (sc</w:t>
      </w:r>
      <w:r w:rsidRPr="00111DC1">
        <w:rPr>
          <w:rFonts w:cstheme="minorHAnsi"/>
          <w:lang w:val="en-US"/>
        </w:rPr>
        <w:t>8392</w:t>
      </w:r>
      <w:r>
        <w:rPr>
          <w:rFonts w:cstheme="minorHAnsi"/>
          <w:lang w:val="en-US"/>
        </w:rPr>
        <w:t>, Santa Cruz), pTyr15-CDC2 (</w:t>
      </w:r>
      <w:r w:rsidRPr="00722837">
        <w:rPr>
          <w:rFonts w:cstheme="minorHAnsi"/>
          <w:lang w:val="en-GB"/>
        </w:rPr>
        <w:t>10A11</w:t>
      </w:r>
      <w:r>
        <w:rPr>
          <w:rFonts w:cstheme="minorHAnsi"/>
          <w:lang w:val="en-GB"/>
        </w:rPr>
        <w:t>)</w:t>
      </w:r>
      <w:r>
        <w:rPr>
          <w:rFonts w:cstheme="minorHAnsi"/>
          <w:lang w:val="en-US"/>
        </w:rPr>
        <w:t xml:space="preserve"> (#</w:t>
      </w:r>
      <w:r w:rsidRPr="00111DC1">
        <w:rPr>
          <w:rFonts w:cstheme="minorHAnsi"/>
          <w:lang w:val="en-US"/>
        </w:rPr>
        <w:t>4539</w:t>
      </w:r>
      <w:r>
        <w:rPr>
          <w:rFonts w:cstheme="minorHAnsi"/>
          <w:lang w:val="en-US"/>
        </w:rPr>
        <w:t>, Cell Signaling), CDC2 (</w:t>
      </w:r>
      <w:r w:rsidRPr="00722837">
        <w:rPr>
          <w:rFonts w:cstheme="minorHAnsi"/>
          <w:lang w:val="en-GB"/>
        </w:rPr>
        <w:t>POH1</w:t>
      </w:r>
      <w:r>
        <w:rPr>
          <w:rFonts w:cstheme="minorHAnsi"/>
          <w:lang w:val="en-GB"/>
        </w:rPr>
        <w:t xml:space="preserve">) </w:t>
      </w:r>
      <w:r>
        <w:rPr>
          <w:rFonts w:cstheme="minorHAnsi"/>
          <w:lang w:val="en-US"/>
        </w:rPr>
        <w:t>(#9116, Cell Signaling), pSer345-Chk1 (</w:t>
      </w:r>
      <w:r w:rsidRPr="00722837">
        <w:rPr>
          <w:rFonts w:cstheme="minorHAnsi"/>
          <w:lang w:val="en-GB"/>
        </w:rPr>
        <w:t>133D3</w:t>
      </w:r>
      <w:r>
        <w:rPr>
          <w:rFonts w:cstheme="minorHAnsi"/>
          <w:lang w:val="en-GB"/>
        </w:rPr>
        <w:t>)</w:t>
      </w:r>
      <w:r>
        <w:rPr>
          <w:rFonts w:cstheme="minorHAnsi"/>
          <w:lang w:val="en-US"/>
        </w:rPr>
        <w:t xml:space="preserve"> (</w:t>
      </w:r>
      <w:r w:rsidRPr="00111DC1">
        <w:rPr>
          <w:rFonts w:cstheme="minorHAnsi"/>
          <w:lang w:val="en-US"/>
        </w:rPr>
        <w:t>#2348</w:t>
      </w:r>
      <w:r>
        <w:rPr>
          <w:rFonts w:cstheme="minorHAnsi"/>
          <w:lang w:val="en-US"/>
        </w:rPr>
        <w:t>, Cell Signaling), MCL-1 (22) (sc12756, Santa Cruz), pSer343-NBS1 (</w:t>
      </w:r>
      <w:r w:rsidRPr="00111DC1">
        <w:rPr>
          <w:rFonts w:cstheme="minorHAnsi"/>
          <w:lang w:val="en-US"/>
        </w:rPr>
        <w:t>#3001</w:t>
      </w:r>
      <w:r>
        <w:rPr>
          <w:rFonts w:cstheme="minorHAnsi"/>
          <w:lang w:val="en-US"/>
        </w:rPr>
        <w:t>, Cell Signaling), pThr210-PLK1 (</w:t>
      </w:r>
      <w:r w:rsidRPr="007534C0">
        <w:rPr>
          <w:rFonts w:cstheme="minorHAnsi"/>
          <w:lang w:val="en-US"/>
        </w:rPr>
        <w:t>#5472</w:t>
      </w:r>
      <w:r>
        <w:rPr>
          <w:rFonts w:cstheme="minorHAnsi"/>
          <w:lang w:val="en-US"/>
        </w:rPr>
        <w:t>, Cell Signaling), PLK1 (</w:t>
      </w:r>
      <w:r w:rsidRPr="00722837">
        <w:rPr>
          <w:rFonts w:cstheme="minorHAnsi"/>
          <w:lang w:val="en-US"/>
        </w:rPr>
        <w:t>208G4</w:t>
      </w:r>
      <w:r>
        <w:rPr>
          <w:rFonts w:cstheme="minorHAnsi"/>
          <w:lang w:val="en-US"/>
        </w:rPr>
        <w:t>)</w:t>
      </w:r>
      <w:r w:rsidRPr="00722837">
        <w:rPr>
          <w:rFonts w:cstheme="minorHAnsi"/>
          <w:lang w:val="en-US"/>
        </w:rPr>
        <w:t xml:space="preserve"> </w:t>
      </w:r>
      <w:r>
        <w:rPr>
          <w:rFonts w:cstheme="minorHAnsi"/>
          <w:lang w:val="en-US"/>
        </w:rPr>
        <w:t>(</w:t>
      </w:r>
      <w:r w:rsidRPr="00D65CF3">
        <w:rPr>
          <w:rFonts w:cstheme="minorHAnsi"/>
          <w:lang w:val="en-US"/>
        </w:rPr>
        <w:t>#4513</w:t>
      </w:r>
      <w:r>
        <w:rPr>
          <w:rFonts w:cstheme="minorHAnsi"/>
          <w:lang w:val="en-US"/>
        </w:rPr>
        <w:t>, Cell Signaling), P21 (12D1) (#</w:t>
      </w:r>
      <w:r w:rsidRPr="007534C0">
        <w:rPr>
          <w:rFonts w:cstheme="minorHAnsi"/>
          <w:lang w:val="en-US"/>
        </w:rPr>
        <w:t>2947</w:t>
      </w:r>
      <w:r>
        <w:rPr>
          <w:rFonts w:cstheme="minorHAnsi"/>
          <w:lang w:val="en-US"/>
        </w:rPr>
        <w:t>, Cell Signaling), RAD51 (</w:t>
      </w:r>
      <w:r w:rsidRPr="00722837">
        <w:rPr>
          <w:rFonts w:cstheme="minorHAnsi"/>
          <w:lang w:val="en-US"/>
        </w:rPr>
        <w:t>D4B10</w:t>
      </w:r>
      <w:r>
        <w:rPr>
          <w:rFonts w:cstheme="minorHAnsi"/>
          <w:lang w:val="en-US"/>
        </w:rPr>
        <w:t>)</w:t>
      </w:r>
      <w:r w:rsidRPr="00722837">
        <w:rPr>
          <w:rFonts w:cstheme="minorHAnsi"/>
          <w:lang w:val="en-US"/>
        </w:rPr>
        <w:t xml:space="preserve"> </w:t>
      </w:r>
      <w:r>
        <w:rPr>
          <w:rFonts w:cstheme="minorHAnsi"/>
          <w:lang w:val="en-US"/>
        </w:rPr>
        <w:t>(</w:t>
      </w:r>
      <w:r w:rsidRPr="007534C0">
        <w:rPr>
          <w:rFonts w:cstheme="minorHAnsi"/>
          <w:lang w:val="en-US"/>
        </w:rPr>
        <w:t>#8875</w:t>
      </w:r>
      <w:r>
        <w:rPr>
          <w:rFonts w:cstheme="minorHAnsi"/>
          <w:lang w:val="en-US"/>
        </w:rPr>
        <w:t>, Cell Signaling), pSer33-RPA32/2 (</w:t>
      </w:r>
      <w:r w:rsidRPr="00722837">
        <w:rPr>
          <w:rFonts w:cstheme="minorHAnsi"/>
          <w:lang w:val="en-US"/>
        </w:rPr>
        <w:t>E9N1T</w:t>
      </w:r>
      <w:r>
        <w:rPr>
          <w:rFonts w:cstheme="minorHAnsi"/>
          <w:lang w:val="en-US"/>
        </w:rPr>
        <w:t>) (#</w:t>
      </w:r>
      <w:r w:rsidRPr="007534C0">
        <w:rPr>
          <w:rFonts w:cstheme="minorHAnsi"/>
          <w:lang w:val="en-US"/>
        </w:rPr>
        <w:t>10148</w:t>
      </w:r>
      <w:r>
        <w:rPr>
          <w:rFonts w:cstheme="minorHAnsi"/>
          <w:lang w:val="en-US"/>
        </w:rPr>
        <w:t>, Cell Signaling), RPA32/2 (</w:t>
      </w:r>
      <w:r w:rsidRPr="00722837">
        <w:rPr>
          <w:rFonts w:cstheme="minorHAnsi"/>
          <w:lang w:val="en-US"/>
        </w:rPr>
        <w:t>E8X5P</w:t>
      </w:r>
      <w:r>
        <w:rPr>
          <w:rFonts w:cstheme="minorHAnsi"/>
          <w:lang w:val="en-US"/>
        </w:rPr>
        <w:t>) (</w:t>
      </w:r>
      <w:r w:rsidRPr="00D65CF3">
        <w:rPr>
          <w:rFonts w:cstheme="minorHAnsi"/>
          <w:lang w:val="en-US"/>
        </w:rPr>
        <w:t>#35869</w:t>
      </w:r>
      <w:r>
        <w:rPr>
          <w:rFonts w:cstheme="minorHAnsi"/>
          <w:lang w:val="en-US"/>
        </w:rPr>
        <w:t>, Cell Signaling), pSer807/811-Rb (</w:t>
      </w:r>
      <w:r w:rsidRPr="00722837">
        <w:rPr>
          <w:rFonts w:cstheme="minorHAnsi"/>
          <w:lang w:val="en-US"/>
        </w:rPr>
        <w:t>D20B12</w:t>
      </w:r>
      <w:r>
        <w:rPr>
          <w:rFonts w:cstheme="minorHAnsi"/>
          <w:lang w:val="en-US"/>
        </w:rPr>
        <w:t>)</w:t>
      </w:r>
      <w:r w:rsidRPr="00722837">
        <w:rPr>
          <w:rFonts w:cstheme="minorHAnsi"/>
          <w:lang w:val="en-US"/>
        </w:rPr>
        <w:t xml:space="preserve"> </w:t>
      </w:r>
      <w:r>
        <w:rPr>
          <w:rFonts w:cstheme="minorHAnsi"/>
          <w:lang w:val="en-US"/>
        </w:rPr>
        <w:t>(#</w:t>
      </w:r>
      <w:r w:rsidRPr="007534C0">
        <w:rPr>
          <w:rFonts w:cstheme="minorHAnsi"/>
          <w:lang w:val="en-US"/>
        </w:rPr>
        <w:t>8516</w:t>
      </w:r>
      <w:r>
        <w:rPr>
          <w:rFonts w:cstheme="minorHAnsi"/>
          <w:lang w:val="en-US"/>
        </w:rPr>
        <w:t>, Cell Signaling), RRM2 (</w:t>
      </w:r>
      <w:r w:rsidRPr="002F3E04">
        <w:rPr>
          <w:rFonts w:cstheme="minorHAnsi"/>
          <w:lang w:val="en-US"/>
        </w:rPr>
        <w:t>E7Y9J</w:t>
      </w:r>
      <w:r>
        <w:rPr>
          <w:rFonts w:cstheme="minorHAnsi"/>
          <w:lang w:val="en-US"/>
        </w:rPr>
        <w:t>) (#</w:t>
      </w:r>
      <w:r w:rsidRPr="002F3E04">
        <w:rPr>
          <w:rFonts w:cstheme="minorHAnsi"/>
          <w:lang w:val="en-US"/>
        </w:rPr>
        <w:t>65939</w:t>
      </w:r>
      <w:r>
        <w:rPr>
          <w:rFonts w:cstheme="minorHAnsi"/>
          <w:lang w:val="en-US"/>
        </w:rPr>
        <w:t>, Cell Signaling),</w:t>
      </w:r>
      <w:r w:rsidRPr="007534C0">
        <w:rPr>
          <w:rFonts w:cstheme="minorHAnsi"/>
          <w:lang w:val="en-US"/>
        </w:rPr>
        <w:t xml:space="preserve"> </w:t>
      </w:r>
      <w:r>
        <w:rPr>
          <w:rFonts w:cstheme="minorHAnsi"/>
          <w:lang w:val="en-US"/>
        </w:rPr>
        <w:t>SOCS3 (</w:t>
      </w:r>
      <w:r w:rsidRPr="00722837">
        <w:rPr>
          <w:rFonts w:cstheme="minorHAnsi"/>
          <w:lang w:val="en-US"/>
        </w:rPr>
        <w:t>D6E1T</w:t>
      </w:r>
      <w:r>
        <w:rPr>
          <w:rFonts w:cstheme="minorHAnsi"/>
          <w:lang w:val="en-US"/>
        </w:rPr>
        <w:t>) (#</w:t>
      </w:r>
      <w:r w:rsidRPr="007534C0">
        <w:rPr>
          <w:rFonts w:cstheme="minorHAnsi"/>
          <w:lang w:val="en-US"/>
        </w:rPr>
        <w:t>52113</w:t>
      </w:r>
      <w:r>
        <w:rPr>
          <w:rFonts w:cstheme="minorHAnsi"/>
          <w:lang w:val="en-US"/>
        </w:rPr>
        <w:t>, Cell Signaling), pTyr705-STAT3 (</w:t>
      </w:r>
      <w:r w:rsidRPr="00722837">
        <w:rPr>
          <w:rFonts w:cstheme="minorHAnsi"/>
          <w:lang w:val="en-US"/>
        </w:rPr>
        <w:t>9E12</w:t>
      </w:r>
      <w:r>
        <w:rPr>
          <w:rFonts w:cstheme="minorHAnsi"/>
          <w:lang w:val="en-US"/>
        </w:rPr>
        <w:t>) (sc</w:t>
      </w:r>
      <w:r w:rsidRPr="007534C0">
        <w:rPr>
          <w:rFonts w:cstheme="minorHAnsi"/>
          <w:lang w:val="en-US"/>
        </w:rPr>
        <w:t>81523</w:t>
      </w:r>
      <w:r>
        <w:rPr>
          <w:rFonts w:cstheme="minorHAnsi"/>
          <w:lang w:val="en-US"/>
        </w:rPr>
        <w:t>, Santa Cruz), pTyr694/699-STAT5 (</w:t>
      </w:r>
      <w:r w:rsidRPr="00722837">
        <w:rPr>
          <w:rFonts w:cstheme="minorHAnsi"/>
          <w:lang w:val="en-US"/>
        </w:rPr>
        <w:t>5G4</w:t>
      </w:r>
      <w:r>
        <w:rPr>
          <w:rFonts w:cstheme="minorHAnsi"/>
          <w:lang w:val="en-US"/>
        </w:rPr>
        <w:t>) (sc</w:t>
      </w:r>
      <w:r w:rsidRPr="007534C0">
        <w:rPr>
          <w:rFonts w:cstheme="minorHAnsi"/>
          <w:lang w:val="en-US"/>
        </w:rPr>
        <w:t>81524</w:t>
      </w:r>
      <w:r>
        <w:rPr>
          <w:rFonts w:cstheme="minorHAnsi"/>
          <w:lang w:val="en-US"/>
        </w:rPr>
        <w:t>, Santa Cruz), pSer642-WEE1 (</w:t>
      </w:r>
      <w:r w:rsidRPr="00722837">
        <w:rPr>
          <w:rFonts w:cstheme="minorHAnsi"/>
          <w:lang w:val="en-US"/>
        </w:rPr>
        <w:t>D47G5</w:t>
      </w:r>
      <w:r>
        <w:rPr>
          <w:rFonts w:cstheme="minorHAnsi"/>
          <w:lang w:val="en-US"/>
        </w:rPr>
        <w:t>) (</w:t>
      </w:r>
      <w:r w:rsidRPr="007534C0">
        <w:rPr>
          <w:rFonts w:cstheme="minorHAnsi"/>
          <w:lang w:val="en-US"/>
        </w:rPr>
        <w:t>#4910</w:t>
      </w:r>
      <w:r>
        <w:rPr>
          <w:rFonts w:cstheme="minorHAnsi"/>
          <w:lang w:val="en-US"/>
        </w:rPr>
        <w:t>, Cell Signaling), WEE1 (</w:t>
      </w:r>
      <w:r w:rsidRPr="007534C0">
        <w:rPr>
          <w:rFonts w:cstheme="minorHAnsi"/>
          <w:lang w:val="en-US"/>
        </w:rPr>
        <w:t>#4936</w:t>
      </w:r>
      <w:r>
        <w:rPr>
          <w:rFonts w:cstheme="minorHAnsi"/>
          <w:lang w:val="en-US"/>
        </w:rPr>
        <w:t>, Cell Signaling), pSer139-γH2AX (</w:t>
      </w:r>
      <w:r w:rsidRPr="00722837">
        <w:rPr>
          <w:rFonts w:cstheme="minorHAnsi"/>
          <w:lang w:val="en-US"/>
        </w:rPr>
        <w:t>20E3</w:t>
      </w:r>
      <w:r>
        <w:rPr>
          <w:rFonts w:cstheme="minorHAnsi"/>
          <w:lang w:val="en-US"/>
        </w:rPr>
        <w:t>) (</w:t>
      </w:r>
      <w:r w:rsidRPr="007534C0">
        <w:rPr>
          <w:rFonts w:cstheme="minorHAnsi"/>
          <w:lang w:val="en-US"/>
        </w:rPr>
        <w:t>#9718</w:t>
      </w:r>
      <w:r>
        <w:rPr>
          <w:rFonts w:cstheme="minorHAnsi"/>
          <w:lang w:val="en-US"/>
        </w:rPr>
        <w:t>, Cell Signaling), anti-rabbit IgG-HRP (sc</w:t>
      </w:r>
      <w:r w:rsidRPr="00D65CF3">
        <w:rPr>
          <w:rFonts w:cstheme="minorHAnsi"/>
          <w:lang w:val="en-US"/>
        </w:rPr>
        <w:t>2357</w:t>
      </w:r>
      <w:r>
        <w:rPr>
          <w:rFonts w:cstheme="minorHAnsi"/>
          <w:lang w:val="en-US"/>
        </w:rPr>
        <w:t>, Santa Cruz) and anti-mouse IgG-HRP (</w:t>
      </w:r>
      <w:r w:rsidRPr="00D65CF3">
        <w:rPr>
          <w:rFonts w:cstheme="minorHAnsi"/>
          <w:lang w:val="en-US"/>
        </w:rPr>
        <w:t>#7076</w:t>
      </w:r>
      <w:r>
        <w:rPr>
          <w:rFonts w:cstheme="minorHAnsi"/>
          <w:lang w:val="en-US"/>
        </w:rPr>
        <w:t>, Cell Signaling).</w:t>
      </w:r>
    </w:p>
    <w:p w14:paraId="5D74AA8E" w14:textId="43976ED2" w:rsidR="00D141FA" w:rsidRDefault="00D141FA" w:rsidP="00D141FA">
      <w:pPr>
        <w:spacing w:line="360" w:lineRule="auto"/>
        <w:jc w:val="both"/>
        <w:rPr>
          <w:rFonts w:cstheme="minorHAnsi"/>
          <w:b/>
          <w:lang w:val="en-US"/>
        </w:rPr>
      </w:pPr>
      <w:r>
        <w:rPr>
          <w:rFonts w:cstheme="minorHAnsi"/>
          <w:b/>
          <w:lang w:val="en-US"/>
        </w:rPr>
        <w:t>Flow Cytometry based assays</w:t>
      </w:r>
    </w:p>
    <w:p w14:paraId="5FBFE7FE" w14:textId="77777777" w:rsidR="00D141FA" w:rsidRDefault="00D141FA" w:rsidP="00D141FA">
      <w:pPr>
        <w:spacing w:after="0" w:line="360" w:lineRule="auto"/>
        <w:jc w:val="both"/>
        <w:rPr>
          <w:rFonts w:cstheme="minorHAnsi"/>
          <w:lang w:val="en-US"/>
        </w:rPr>
      </w:pPr>
      <w:r>
        <w:rPr>
          <w:rFonts w:cstheme="minorHAnsi"/>
          <w:lang w:val="en-US"/>
        </w:rPr>
        <w:t xml:space="preserve">For all flow cytometry analyses cells were treated with the corresponding drugs for 24h followed by a washing step with PBS. </w:t>
      </w:r>
    </w:p>
    <w:p w14:paraId="61E639EA" w14:textId="77777777" w:rsidR="00D141FA" w:rsidRDefault="00D141FA" w:rsidP="00D141FA">
      <w:pPr>
        <w:pStyle w:val="Listenabsatz"/>
        <w:numPr>
          <w:ilvl w:val="0"/>
          <w:numId w:val="1"/>
        </w:numPr>
        <w:spacing w:line="360" w:lineRule="auto"/>
        <w:jc w:val="both"/>
        <w:rPr>
          <w:rFonts w:cstheme="minorHAnsi"/>
          <w:lang w:val="en-US"/>
        </w:rPr>
      </w:pPr>
      <w:r w:rsidRPr="00D141FA">
        <w:rPr>
          <w:rFonts w:cstheme="minorHAnsi"/>
          <w:b/>
          <w:lang w:val="en-US"/>
        </w:rPr>
        <w:t xml:space="preserve">MPM2 staining </w:t>
      </w:r>
      <w:r w:rsidRPr="00D141FA">
        <w:rPr>
          <w:rFonts w:cstheme="minorHAnsi"/>
          <w:b/>
          <w:lang w:val="en-GB"/>
        </w:rPr>
        <w:t>–</w:t>
      </w:r>
      <w:r w:rsidRPr="00D141FA">
        <w:rPr>
          <w:rFonts w:cstheme="minorHAnsi"/>
          <w:lang w:val="en-GB"/>
        </w:rPr>
        <w:t xml:space="preserve"> </w:t>
      </w:r>
      <w:r w:rsidRPr="00D141FA">
        <w:rPr>
          <w:rFonts w:cstheme="minorHAnsi"/>
          <w:lang w:val="en-US"/>
        </w:rPr>
        <w:t xml:space="preserve">Ice-cold 70% EtOH was added to the cells while </w:t>
      </w:r>
      <w:proofErr w:type="spellStart"/>
      <w:r w:rsidRPr="00D141FA">
        <w:rPr>
          <w:rFonts w:cstheme="minorHAnsi"/>
          <w:lang w:val="en-US"/>
        </w:rPr>
        <w:t>vortexing</w:t>
      </w:r>
      <w:proofErr w:type="spellEnd"/>
      <w:r w:rsidRPr="00D141FA">
        <w:rPr>
          <w:rFonts w:cstheme="minorHAnsi"/>
          <w:lang w:val="en-US"/>
        </w:rPr>
        <w:t xml:space="preserve"> and fixation took place at 4°C overnight or on ice for at least 2h. After fixation cells were washed with wash solution (0.05% Triton-X-100 in PBS) and stained with an MPM-2 antibody staining solution (0.2% Triton-X-100, 2% FCS in PBS plus MPM-2 antibody</w:t>
      </w:r>
      <w:r w:rsidRPr="00D141FA">
        <w:rPr>
          <w:lang w:val="en-GB"/>
        </w:rPr>
        <w:t xml:space="preserve"> </w:t>
      </w:r>
      <w:r w:rsidRPr="00D141FA">
        <w:rPr>
          <w:rFonts w:cstheme="minorHAnsi"/>
          <w:lang w:val="en-US"/>
        </w:rPr>
        <w:t>#05-368 Merck Millipore, diluted 1:1600) for 2h on ice. Afterwards cells were washed twice and stained with an anti-mouse-Alexa-488 staining solution (A-11029, Invitrogen, diluted 1:2000) for at least 1h on ice in the dark. After washing with wash solution and PBS cells were resuspended in RNase (APA3832.0250 AppliChem) dissolved in PBS (1mg/ml) for 30 min at room temperature. Finally, cells were stained with PI (1:100) and analyzed by flow cytometry.</w:t>
      </w:r>
    </w:p>
    <w:p w14:paraId="36D2B3A9" w14:textId="77777777" w:rsidR="00D141FA" w:rsidRPr="00D141FA" w:rsidRDefault="00D141FA" w:rsidP="00D141FA">
      <w:pPr>
        <w:pStyle w:val="Listenabsatz"/>
        <w:numPr>
          <w:ilvl w:val="0"/>
          <w:numId w:val="1"/>
        </w:numPr>
        <w:spacing w:line="360" w:lineRule="auto"/>
        <w:jc w:val="both"/>
        <w:rPr>
          <w:rFonts w:cstheme="minorHAnsi"/>
          <w:lang w:val="en-US"/>
        </w:rPr>
      </w:pPr>
      <w:r w:rsidRPr="00D141FA">
        <w:rPr>
          <w:rFonts w:cstheme="minorHAnsi"/>
          <w:b/>
          <w:lang w:val="en-US"/>
        </w:rPr>
        <w:t xml:space="preserve">γH2AX staining </w:t>
      </w:r>
      <w:r w:rsidRPr="00D141FA">
        <w:rPr>
          <w:rFonts w:cstheme="minorHAnsi"/>
          <w:b/>
          <w:lang w:val="en-GB"/>
        </w:rPr>
        <w:t>–</w:t>
      </w:r>
      <w:r w:rsidRPr="00D141FA">
        <w:rPr>
          <w:rFonts w:cstheme="minorHAnsi"/>
          <w:lang w:val="en-GB"/>
        </w:rPr>
        <w:t xml:space="preserve"> </w:t>
      </w:r>
      <w:r w:rsidRPr="00D141FA">
        <w:rPr>
          <w:rFonts w:cstheme="minorHAnsi"/>
          <w:lang w:val="en-US"/>
        </w:rPr>
        <w:t xml:space="preserve">Cells were incubated with a MEB (150mM Mannitol, 10mM HEPES-KOH pH 7.5, 150mM </w:t>
      </w:r>
      <w:proofErr w:type="spellStart"/>
      <w:r w:rsidRPr="00D141FA">
        <w:rPr>
          <w:rFonts w:cstheme="minorHAnsi"/>
          <w:lang w:val="en-US"/>
        </w:rPr>
        <w:t>KCl</w:t>
      </w:r>
      <w:proofErr w:type="spellEnd"/>
      <w:r w:rsidRPr="00D141FA">
        <w:rPr>
          <w:rFonts w:cstheme="minorHAnsi"/>
          <w:lang w:val="en-US"/>
        </w:rPr>
        <w:t xml:space="preserve">, </w:t>
      </w:r>
      <w:r w:rsidRPr="00D141FA">
        <w:rPr>
          <w:rFonts w:ascii="Arial" w:eastAsia="Times New Roman" w:hAnsi="Arial" w:cs="Arial"/>
          <w:sz w:val="20"/>
          <w:szCs w:val="20"/>
          <w:lang w:val="en-GB"/>
        </w:rPr>
        <w:t>1mM EGTA</w:t>
      </w:r>
      <w:r w:rsidRPr="00D141FA">
        <w:rPr>
          <w:rFonts w:cstheme="minorHAnsi"/>
          <w:lang w:val="en-US"/>
        </w:rPr>
        <w:t>, 1mM EDTA, 0.1% BSA,</w:t>
      </w:r>
      <w:r w:rsidRPr="00D141FA">
        <w:rPr>
          <w:lang w:val="en-GB"/>
        </w:rPr>
        <w:t xml:space="preserve"> </w:t>
      </w:r>
      <w:r w:rsidRPr="00D141FA">
        <w:rPr>
          <w:rFonts w:cstheme="minorHAnsi"/>
          <w:lang w:val="en-US"/>
        </w:rPr>
        <w:t xml:space="preserve">5mM Succinate) plus digitonin mixture (diluted 1:5000) for 20min. </w:t>
      </w:r>
      <w:r w:rsidRPr="00D141FA">
        <w:rPr>
          <w:lang w:val="en-GB"/>
        </w:rPr>
        <w:t>4% paraformaldehyde</w:t>
      </w:r>
      <w:r w:rsidRPr="00D141FA">
        <w:rPr>
          <w:rFonts w:cstheme="minorHAnsi"/>
          <w:lang w:val="en-US"/>
        </w:rPr>
        <w:t xml:space="preserve"> (PFA) was added to the cells for 10min for cell fixation, followed by adding </w:t>
      </w:r>
      <w:r w:rsidRPr="00D141FA">
        <w:rPr>
          <w:lang w:val="en-GB"/>
        </w:rPr>
        <w:t xml:space="preserve">neutralization buffer N2 (1.7 M Tris-Base; 1.25 M </w:t>
      </w:r>
      <w:proofErr w:type="spellStart"/>
      <w:r w:rsidRPr="00D141FA">
        <w:rPr>
          <w:lang w:val="en-GB"/>
        </w:rPr>
        <w:t>Glycin</w:t>
      </w:r>
      <w:proofErr w:type="spellEnd"/>
      <w:r w:rsidRPr="00D141FA">
        <w:rPr>
          <w:lang w:val="en-GB"/>
        </w:rPr>
        <w:t xml:space="preserve">; pH 9,.) for 5min. Cells were stained with a staining solution containing </w:t>
      </w:r>
      <w:proofErr w:type="spellStart"/>
      <w:r w:rsidRPr="00D141FA">
        <w:rPr>
          <w:lang w:val="en-GB"/>
        </w:rPr>
        <w:t>PharmingenStain</w:t>
      </w:r>
      <w:proofErr w:type="spellEnd"/>
      <w:r w:rsidRPr="00D141FA">
        <w:rPr>
          <w:lang w:val="en-GB"/>
        </w:rPr>
        <w:t xml:space="preserve"> Buffer </w:t>
      </w:r>
      <w:r w:rsidRPr="00D141FA">
        <w:rPr>
          <w:lang w:val="en-GB"/>
        </w:rPr>
        <w:lastRenderedPageBreak/>
        <w:t xml:space="preserve">(BSA) (BD Bioscience) plus Hoechst33342 (14533, Sigma-Aldrich) and PE/Cyanine7 anti-H2AX </w:t>
      </w:r>
      <w:proofErr w:type="spellStart"/>
      <w:r w:rsidRPr="00D141FA">
        <w:rPr>
          <w:lang w:val="en-GB"/>
        </w:rPr>
        <w:t>phospho</w:t>
      </w:r>
      <w:proofErr w:type="spellEnd"/>
      <w:r w:rsidRPr="00D141FA">
        <w:rPr>
          <w:lang w:val="en-GB"/>
        </w:rPr>
        <w:t xml:space="preserve"> (Ser139) antibody (613429, </w:t>
      </w:r>
      <w:proofErr w:type="spellStart"/>
      <w:r w:rsidRPr="00D141FA">
        <w:rPr>
          <w:lang w:val="en-GB"/>
        </w:rPr>
        <w:t>BioLegend</w:t>
      </w:r>
      <w:proofErr w:type="spellEnd"/>
      <w:r w:rsidRPr="00D141FA">
        <w:rPr>
          <w:lang w:val="en-GB"/>
        </w:rPr>
        <w:t>) over night at 4°C.</w:t>
      </w:r>
    </w:p>
    <w:p w14:paraId="7EEFA0C8" w14:textId="77777777" w:rsidR="00D141FA" w:rsidRPr="00D141FA" w:rsidRDefault="00D141FA" w:rsidP="00D141FA">
      <w:pPr>
        <w:pStyle w:val="Listenabsatz"/>
        <w:numPr>
          <w:ilvl w:val="0"/>
          <w:numId w:val="1"/>
        </w:numPr>
        <w:spacing w:line="360" w:lineRule="auto"/>
        <w:jc w:val="both"/>
        <w:rPr>
          <w:rFonts w:cstheme="minorHAnsi"/>
          <w:lang w:val="en-US"/>
        </w:rPr>
      </w:pPr>
      <w:r w:rsidRPr="00D141FA">
        <w:rPr>
          <w:rFonts w:cstheme="minorHAnsi"/>
          <w:b/>
          <w:lang w:val="en-GB"/>
        </w:rPr>
        <w:t>Hoechst/PI staining –</w:t>
      </w:r>
      <w:r w:rsidRPr="00D141FA">
        <w:rPr>
          <w:rFonts w:cstheme="minorHAnsi"/>
          <w:lang w:val="en-GB"/>
        </w:rPr>
        <w:t xml:space="preserve"> Hoechst33342 was 1:100 diluted in cell culture medium and added to the cells for 1h at 37°C. After incubation PI was added at a 1:100 dilution and cells were immediately analysed.</w:t>
      </w:r>
    </w:p>
    <w:p w14:paraId="70F12731" w14:textId="43A07D31" w:rsidR="00D141FA" w:rsidRPr="00D141FA" w:rsidRDefault="00D141FA" w:rsidP="00D141FA">
      <w:pPr>
        <w:pStyle w:val="Listenabsatz"/>
        <w:numPr>
          <w:ilvl w:val="0"/>
          <w:numId w:val="1"/>
        </w:numPr>
        <w:spacing w:line="360" w:lineRule="auto"/>
        <w:jc w:val="both"/>
        <w:rPr>
          <w:rFonts w:cstheme="minorHAnsi"/>
          <w:lang w:val="en-US"/>
        </w:rPr>
      </w:pPr>
      <w:proofErr w:type="spellStart"/>
      <w:r w:rsidRPr="00D141FA">
        <w:rPr>
          <w:rFonts w:cstheme="minorHAnsi"/>
          <w:b/>
          <w:lang w:val="en-US"/>
        </w:rPr>
        <w:t>EdU</w:t>
      </w:r>
      <w:proofErr w:type="spellEnd"/>
      <w:r w:rsidRPr="00D141FA">
        <w:rPr>
          <w:rFonts w:cstheme="minorHAnsi"/>
          <w:b/>
          <w:lang w:val="en-US"/>
        </w:rPr>
        <w:t xml:space="preserve"> staining – </w:t>
      </w:r>
      <w:r w:rsidRPr="00D141FA">
        <w:rPr>
          <w:rFonts w:cstheme="minorHAnsi"/>
          <w:lang w:val="en-US"/>
        </w:rPr>
        <w:t xml:space="preserve">For </w:t>
      </w:r>
      <w:proofErr w:type="spellStart"/>
      <w:r w:rsidRPr="00D141FA">
        <w:rPr>
          <w:rFonts w:cstheme="minorHAnsi"/>
          <w:lang w:val="en-US"/>
        </w:rPr>
        <w:t>EdU</w:t>
      </w:r>
      <w:proofErr w:type="spellEnd"/>
      <w:r w:rsidRPr="00D141FA">
        <w:rPr>
          <w:rFonts w:cstheme="minorHAnsi"/>
          <w:lang w:val="en-US"/>
        </w:rPr>
        <w:t xml:space="preserve"> staining we used the Click-</w:t>
      </w:r>
      <w:proofErr w:type="spellStart"/>
      <w:r w:rsidRPr="00D141FA">
        <w:rPr>
          <w:rFonts w:cstheme="minorHAnsi"/>
          <w:lang w:val="en-US"/>
        </w:rPr>
        <w:t>iT</w:t>
      </w:r>
      <w:proofErr w:type="spellEnd"/>
      <w:r w:rsidRPr="00D141FA">
        <w:rPr>
          <w:rFonts w:cstheme="minorHAnsi"/>
          <w:lang w:val="en-US"/>
        </w:rPr>
        <w:t xml:space="preserve">® </w:t>
      </w:r>
      <w:proofErr w:type="spellStart"/>
      <w:r w:rsidRPr="00D141FA">
        <w:rPr>
          <w:rFonts w:cstheme="minorHAnsi"/>
          <w:lang w:val="en-US"/>
        </w:rPr>
        <w:t>EdU</w:t>
      </w:r>
      <w:proofErr w:type="spellEnd"/>
      <w:r w:rsidRPr="00D141FA">
        <w:rPr>
          <w:rFonts w:cstheme="minorHAnsi"/>
          <w:lang w:val="en-US"/>
        </w:rPr>
        <w:t xml:space="preserve"> Alexa Fluor™ 647 Flow Cytometry Assay Kit from Thermo Fisher Scientific. After drug washout cells were incubated for 2h at 37°C with 10mM </w:t>
      </w:r>
      <w:proofErr w:type="spellStart"/>
      <w:r w:rsidRPr="00D141FA">
        <w:rPr>
          <w:rFonts w:cstheme="minorHAnsi"/>
          <w:lang w:val="en-US"/>
        </w:rPr>
        <w:t>EdU</w:t>
      </w:r>
      <w:proofErr w:type="spellEnd"/>
      <w:r w:rsidRPr="00D141FA">
        <w:rPr>
          <w:rFonts w:cstheme="minorHAnsi"/>
          <w:lang w:val="en-US"/>
        </w:rPr>
        <w:t xml:space="preserve"> in cell culture medium. Cell fixation, permeabilization, the Click-</w:t>
      </w:r>
      <w:proofErr w:type="spellStart"/>
      <w:r w:rsidRPr="00D141FA">
        <w:rPr>
          <w:rFonts w:cstheme="minorHAnsi"/>
          <w:lang w:val="en-US"/>
        </w:rPr>
        <w:t>iT</w:t>
      </w:r>
      <w:proofErr w:type="spellEnd"/>
      <w:r w:rsidRPr="00D141FA">
        <w:rPr>
          <w:rFonts w:cstheme="minorHAnsi"/>
          <w:lang w:val="en-US"/>
        </w:rPr>
        <w:t>® reaction and DNA content staining with PI (diluted 1:100) were performed following the manufacturer's instructions.</w:t>
      </w:r>
    </w:p>
    <w:p w14:paraId="7624118D" w14:textId="77777777" w:rsidR="00D141FA" w:rsidRDefault="00D141FA" w:rsidP="00D141FA">
      <w:pPr>
        <w:spacing w:line="360" w:lineRule="auto"/>
        <w:jc w:val="both"/>
        <w:rPr>
          <w:rFonts w:cstheme="minorHAnsi"/>
          <w:b/>
          <w:lang w:val="en-US"/>
        </w:rPr>
      </w:pPr>
      <w:r>
        <w:rPr>
          <w:rFonts w:cstheme="minorHAnsi"/>
          <w:b/>
          <w:lang w:val="en-US"/>
        </w:rPr>
        <w:t xml:space="preserve">Dynamic </w:t>
      </w:r>
      <w:r w:rsidRPr="00230784">
        <w:rPr>
          <w:rFonts w:cstheme="minorHAnsi"/>
          <w:b/>
          <w:lang w:val="en-US"/>
        </w:rPr>
        <w:t>BH3-Profiling</w:t>
      </w:r>
      <w:r>
        <w:rPr>
          <w:rFonts w:cstheme="minorHAnsi"/>
          <w:b/>
          <w:lang w:val="en-US"/>
        </w:rPr>
        <w:t xml:space="preserve"> </w:t>
      </w:r>
    </w:p>
    <w:p w14:paraId="45EB9763" w14:textId="37FDAED2" w:rsidR="00D141FA" w:rsidRPr="00D141FA" w:rsidRDefault="00D141FA" w:rsidP="00D141FA">
      <w:pPr>
        <w:spacing w:line="360" w:lineRule="auto"/>
        <w:jc w:val="both"/>
        <w:rPr>
          <w:rFonts w:cstheme="minorHAnsi"/>
          <w:b/>
          <w:lang w:val="en-US"/>
        </w:rPr>
      </w:pPr>
      <w:r>
        <w:rPr>
          <w:lang w:val="en-GB"/>
        </w:rPr>
        <w:t>BH3 profiling followed previously published protocols.</w:t>
      </w:r>
      <w:r>
        <w:rPr>
          <w:lang w:val="en-GB"/>
        </w:rPr>
        <w:fldChar w:fldCharType="begin"/>
      </w:r>
      <w:r>
        <w:rPr>
          <w:lang w:val="en-GB"/>
        </w:rPr>
        <w:instrText xml:space="preserve"> ADDIN ZOTERO_ITEM CSL_CITATION {"citationID":"CAgKTDQv","properties":{"formattedCitation":"\\super 1,2\\nosupersub{}","plainCitation":"1,2","noteIndex":0},"citationItems":[{"id":"2HPYCKI3/KBJq8j92","uris":["http://zotero.org/users/11542216/items/344RRKLL"],"itemData":{"id":113,"type":"article-journal","abstract":"Abstract\n            Dysregulation of the mitochondrial pathway of apoptosis, controlled by the BCL-2 family of proteins, leads to disease states including cancer. Rapid analysis of a cell’s dependency on the BCL-2 family of proteins is hindered by the complex interactions of more than a dozen proteins. Transcript or even protein levels are therefore generally insufficient to predict a cell’s response to perturbations like chemotherapy. Previously, we developed the JC-1 BH3 method to provide a same day functional assay to assess a cell’s propensity to undergo apoptosis and demonstrated its utility in predicting response to chemotherapy. We have now improved upon these methods to create a robust assay amenable to high throughput platforms using cytochrome c retention in formaldehyde fixed cells to remove the time sensitivity of JC-1 potential measurements. BH3 profiling by intracellular staining (iBH3) is suitable for 96- and 384-well formats, and can be used to directly screen candidate BH3-mimetic compounds for activity. When used as the final component of dynamic BH3 profiling (DBP), which uses a drug pretreatment prior to iBH3 to assess the change in profile due to treatment, it can predict the response of cells to chemotherapy days before they show signs of death.","container-title":"Biological Chemistry","DOI":"10.1515/hsz-2016-0107","ISSN":"1437-4315, 1431-6730","issue":"7","language":"en","page":"671-678","source":"DOI.org (Crossref)","title":"iBH3: simple, fixable BH3 profiling to determine apoptotic priming in primary tissue by flow cytometry","title-short":"iBH3","volume":"397","author":[{"family":"Ryan","given":"Jeremy"},{"family":"Montero","given":"Joan"},{"family":"Rocco","given":"James"},{"family":"Letai","given":"Anthony"}],"issued":{"date-parts":[["2016",7,1]]}}},{"id":"2HPYCKI3/fkuvYaMi","uris":["http://zotero.org/users/11542216/items/6KUR4ZR7"],"itemData":{"id":114,"type":"article-journal","container-title":"Molecular &amp; Cellular Oncology","DOI":"10.1080/23723556.2015.1040144","ISSN":"2372-3556","issue":"3","journalAbbreviation":"Molecular &amp; Cellular Oncology","language":"en","page":"e1040144","source":"DOI.org (Crossref)","title":"Dynamic BH3 profiling-poking cancer cells with a stick","volume":"3","author":[{"family":"Montero","given":"Joan"},{"family":"Letai","given":"Anthony"}],"issued":{"date-parts":[["2016",5,3]]}}}],"schema":"https://github.com/citation-style-language/schema/raw/master/csl-citation.json"} </w:instrText>
      </w:r>
      <w:r>
        <w:rPr>
          <w:lang w:val="en-GB"/>
        </w:rPr>
        <w:fldChar w:fldCharType="separate"/>
      </w:r>
      <w:r w:rsidRPr="00D141FA">
        <w:rPr>
          <w:rFonts w:ascii="Calibri" w:hAnsi="Calibri" w:cs="Calibri"/>
          <w:szCs w:val="24"/>
          <w:vertAlign w:val="superscript"/>
          <w:lang w:val="en-US"/>
        </w:rPr>
        <w:t>1,2</w:t>
      </w:r>
      <w:r>
        <w:rPr>
          <w:lang w:val="en-GB"/>
        </w:rPr>
        <w:fldChar w:fldCharType="end"/>
      </w:r>
      <w:r>
        <w:rPr>
          <w:lang w:val="en-GB"/>
        </w:rPr>
        <w:t xml:space="preserve"> After incubation for 24h with the desired drug, cells were washed with warm PBS, </w:t>
      </w:r>
      <w:r w:rsidRPr="00230784">
        <w:rPr>
          <w:lang w:val="en-GB"/>
        </w:rPr>
        <w:t xml:space="preserve">permeabilized with 0.002% digitonin and treated with synthetic peptides. Peptides used were BIM </w:t>
      </w:r>
      <w:r>
        <w:rPr>
          <w:lang w:val="en-GB"/>
        </w:rPr>
        <w:t>(</w:t>
      </w:r>
      <w:r w:rsidRPr="00065B93">
        <w:rPr>
          <w:lang w:val="en-GB"/>
        </w:rPr>
        <w:t>0.</w:t>
      </w:r>
      <w:r>
        <w:rPr>
          <w:lang w:val="en-GB"/>
        </w:rPr>
        <w:t>01µM, 0.1µM, functionality of BAX/BAK)</w:t>
      </w:r>
      <w:r w:rsidRPr="00230784">
        <w:rPr>
          <w:lang w:val="en-GB"/>
        </w:rPr>
        <w:t>, BAD</w:t>
      </w:r>
      <w:r>
        <w:rPr>
          <w:lang w:val="en-GB"/>
        </w:rPr>
        <w:t xml:space="preserve"> (10</w:t>
      </w:r>
      <w:r w:rsidRPr="00230784">
        <w:rPr>
          <w:lang w:val="en-GB"/>
        </w:rPr>
        <w:t>µM</w:t>
      </w:r>
      <w:r>
        <w:rPr>
          <w:lang w:val="en-GB"/>
        </w:rPr>
        <w:t xml:space="preserve">, antagonizes Bcl-2, </w:t>
      </w:r>
      <w:proofErr w:type="spellStart"/>
      <w:r>
        <w:rPr>
          <w:lang w:val="en-GB"/>
        </w:rPr>
        <w:t>Bcl-xL</w:t>
      </w:r>
      <w:proofErr w:type="spellEnd"/>
      <w:r>
        <w:rPr>
          <w:lang w:val="en-GB"/>
        </w:rPr>
        <w:t xml:space="preserve"> and </w:t>
      </w:r>
      <w:proofErr w:type="spellStart"/>
      <w:r>
        <w:rPr>
          <w:lang w:val="en-GB"/>
        </w:rPr>
        <w:t>Bcl</w:t>
      </w:r>
      <w:proofErr w:type="spellEnd"/>
      <w:r>
        <w:rPr>
          <w:lang w:val="en-GB"/>
        </w:rPr>
        <w:t xml:space="preserve">-w), </w:t>
      </w:r>
      <w:r w:rsidRPr="00230784">
        <w:rPr>
          <w:lang w:val="en-GB"/>
        </w:rPr>
        <w:t>HRK</w:t>
      </w:r>
      <w:r>
        <w:rPr>
          <w:lang w:val="en-GB"/>
        </w:rPr>
        <w:t xml:space="preserve"> (1µM,</w:t>
      </w:r>
      <w:r w:rsidRPr="00230784">
        <w:rPr>
          <w:lang w:val="en-GB"/>
        </w:rPr>
        <w:t xml:space="preserve"> </w:t>
      </w:r>
      <w:r>
        <w:rPr>
          <w:lang w:val="en-GB"/>
        </w:rPr>
        <w:t>10</w:t>
      </w:r>
      <w:r w:rsidRPr="00230784">
        <w:rPr>
          <w:lang w:val="en-GB"/>
        </w:rPr>
        <w:t>µM</w:t>
      </w:r>
      <w:r>
        <w:rPr>
          <w:lang w:val="en-GB"/>
        </w:rPr>
        <w:t xml:space="preserve">, antagonizes </w:t>
      </w:r>
      <w:proofErr w:type="spellStart"/>
      <w:r>
        <w:rPr>
          <w:lang w:val="en-GB"/>
        </w:rPr>
        <w:t>Bcl-xL</w:t>
      </w:r>
      <w:proofErr w:type="spellEnd"/>
      <w:r>
        <w:rPr>
          <w:lang w:val="en-GB"/>
        </w:rPr>
        <w:t xml:space="preserve">), </w:t>
      </w:r>
      <w:r w:rsidRPr="00230784">
        <w:rPr>
          <w:lang w:val="en-GB"/>
        </w:rPr>
        <w:t>MS1</w:t>
      </w:r>
      <w:r>
        <w:rPr>
          <w:lang w:val="en-GB"/>
        </w:rPr>
        <w:t xml:space="preserve"> (</w:t>
      </w:r>
      <w:r w:rsidRPr="00065B93">
        <w:rPr>
          <w:lang w:val="en-GB"/>
        </w:rPr>
        <w:t>10</w:t>
      </w:r>
      <w:r w:rsidRPr="00230784">
        <w:rPr>
          <w:lang w:val="en-GB"/>
        </w:rPr>
        <w:t>µM</w:t>
      </w:r>
      <w:r>
        <w:rPr>
          <w:lang w:val="en-GB"/>
        </w:rPr>
        <w:t>,</w:t>
      </w:r>
      <w:r w:rsidRPr="000C1868">
        <w:rPr>
          <w:lang w:val="en-GB"/>
        </w:rPr>
        <w:t xml:space="preserve"> </w:t>
      </w:r>
      <w:r>
        <w:rPr>
          <w:lang w:val="en-GB"/>
        </w:rPr>
        <w:t xml:space="preserve">antagonizes Mcl-1) and FS1 </w:t>
      </w:r>
      <w:r w:rsidRPr="00065B93">
        <w:rPr>
          <w:lang w:val="en-GB"/>
        </w:rPr>
        <w:t>(10µM</w:t>
      </w:r>
      <w:r>
        <w:rPr>
          <w:lang w:val="en-GB"/>
        </w:rPr>
        <w:t xml:space="preserve">, antagonizes </w:t>
      </w:r>
      <w:r w:rsidRPr="000C1868">
        <w:rPr>
          <w:rFonts w:ascii="Calibri" w:hAnsi="Calibri" w:cs="Calibri"/>
          <w:lang w:val="en-GB"/>
        </w:rPr>
        <w:t>Bfl1</w:t>
      </w:r>
      <w:r>
        <w:rPr>
          <w:lang w:val="en-GB"/>
        </w:rPr>
        <w:t>).</w:t>
      </w:r>
      <w:r w:rsidRPr="00230784">
        <w:rPr>
          <w:lang w:val="en-GB"/>
        </w:rPr>
        <w:t xml:space="preserve"> </w:t>
      </w:r>
      <w:r>
        <w:rPr>
          <w:lang w:val="en-GB"/>
        </w:rPr>
        <w:t xml:space="preserve">As a negative control </w:t>
      </w:r>
      <w:r w:rsidRPr="00230784">
        <w:rPr>
          <w:lang w:val="en-GB"/>
        </w:rPr>
        <w:t>dimethyl sulfoxide</w:t>
      </w:r>
      <w:r>
        <w:rPr>
          <w:lang w:val="en-GB"/>
        </w:rPr>
        <w:t xml:space="preserve"> (DMSO) and as a positive control the pore-forming peptide </w:t>
      </w:r>
      <w:proofErr w:type="spellStart"/>
      <w:r w:rsidRPr="00230784">
        <w:rPr>
          <w:lang w:val="en-GB"/>
        </w:rPr>
        <w:t>alamethicin</w:t>
      </w:r>
      <w:proofErr w:type="spellEnd"/>
      <w:r w:rsidRPr="00230784">
        <w:rPr>
          <w:lang w:val="en-GB"/>
        </w:rPr>
        <w:t xml:space="preserve"> </w:t>
      </w:r>
      <w:r>
        <w:rPr>
          <w:lang w:val="en-GB"/>
        </w:rPr>
        <w:t>were applied</w:t>
      </w:r>
      <w:r w:rsidRPr="00230784">
        <w:rPr>
          <w:lang w:val="en-GB"/>
        </w:rPr>
        <w:t xml:space="preserve">. </w:t>
      </w:r>
      <w:proofErr w:type="spellStart"/>
      <w:r>
        <w:rPr>
          <w:lang w:val="en-GB"/>
        </w:rPr>
        <w:t>Peptid</w:t>
      </w:r>
      <w:proofErr w:type="spellEnd"/>
      <w:r>
        <w:rPr>
          <w:lang w:val="en-GB"/>
        </w:rPr>
        <w:t xml:space="preserve"> exposure of the cells took place for 1h at 25°C and was terminated by fixation of the cells with PFA. Fixation was ended after 10 minutes</w:t>
      </w:r>
      <w:r w:rsidRPr="00230784">
        <w:rPr>
          <w:lang w:val="en-GB"/>
        </w:rPr>
        <w:t xml:space="preserve"> </w:t>
      </w:r>
      <w:r>
        <w:rPr>
          <w:lang w:val="en-GB"/>
        </w:rPr>
        <w:t xml:space="preserve">by adding N2 buffer, followed by staining with Hoechst33342 (14533, </w:t>
      </w:r>
      <w:r w:rsidRPr="000A13E2">
        <w:rPr>
          <w:lang w:val="en-GB"/>
        </w:rPr>
        <w:t>Sigma-Aldrich</w:t>
      </w:r>
      <w:r>
        <w:rPr>
          <w:lang w:val="en-GB"/>
        </w:rPr>
        <w:t xml:space="preserve">) and </w:t>
      </w:r>
      <w:r w:rsidRPr="000A13E2">
        <w:rPr>
          <w:lang w:val="en-GB"/>
        </w:rPr>
        <w:t>Alex</w:t>
      </w:r>
      <w:r>
        <w:rPr>
          <w:lang w:val="en-GB"/>
        </w:rPr>
        <w:t>a Fluor® 647 anti-Cytochrome c a</w:t>
      </w:r>
      <w:r w:rsidRPr="000A13E2">
        <w:rPr>
          <w:lang w:val="en-GB"/>
        </w:rPr>
        <w:t>ntibody</w:t>
      </w:r>
      <w:r>
        <w:rPr>
          <w:lang w:val="en-GB"/>
        </w:rPr>
        <w:t xml:space="preserve"> (612310, </w:t>
      </w:r>
      <w:proofErr w:type="spellStart"/>
      <w:r>
        <w:rPr>
          <w:lang w:val="en-GB"/>
        </w:rPr>
        <w:t>BioLegend</w:t>
      </w:r>
      <w:proofErr w:type="spellEnd"/>
      <w:r>
        <w:rPr>
          <w:lang w:val="en-GB"/>
        </w:rPr>
        <w:t>) at a dilution of 1:40 and 1:400 in intracellular staining buffer (PBS, Tween</w:t>
      </w:r>
      <w:r>
        <w:rPr>
          <w:rFonts w:cstheme="minorHAnsi"/>
          <w:lang w:val="en-GB"/>
        </w:rPr>
        <w:t>®</w:t>
      </w:r>
      <w:r>
        <w:rPr>
          <w:lang w:val="en-GB"/>
        </w:rPr>
        <w:t>20, BSA), respectively. Relative cytochrome c release was measured by flow cytometry.</w:t>
      </w:r>
    </w:p>
    <w:p w14:paraId="40A454E1" w14:textId="77777777" w:rsidR="00D31818" w:rsidRDefault="00D31818" w:rsidP="00D31818">
      <w:pPr>
        <w:spacing w:line="360" w:lineRule="auto"/>
        <w:jc w:val="both"/>
        <w:rPr>
          <w:rFonts w:cstheme="minorHAnsi"/>
          <w:b/>
          <w:lang w:val="en-US"/>
        </w:rPr>
      </w:pPr>
      <w:r w:rsidRPr="005E1471">
        <w:rPr>
          <w:rFonts w:cstheme="minorHAnsi"/>
          <w:b/>
          <w:lang w:val="en-US"/>
        </w:rPr>
        <w:t>RNA-sequencing</w:t>
      </w:r>
    </w:p>
    <w:p w14:paraId="7B58FF8C" w14:textId="53D01E9C" w:rsidR="00D31818" w:rsidRDefault="00D31818" w:rsidP="00D31818">
      <w:pPr>
        <w:spacing w:line="360" w:lineRule="auto"/>
        <w:jc w:val="both"/>
        <w:rPr>
          <w:rFonts w:cstheme="minorHAnsi"/>
          <w:lang w:val="en-US"/>
        </w:rPr>
      </w:pPr>
      <w:r w:rsidRPr="00430FD7">
        <w:rPr>
          <w:rFonts w:cstheme="minorHAnsi"/>
          <w:lang w:val="en-US"/>
        </w:rPr>
        <w:t xml:space="preserve">After </w:t>
      </w:r>
      <w:r>
        <w:rPr>
          <w:rFonts w:cstheme="minorHAnsi"/>
          <w:lang w:val="en-US"/>
        </w:rPr>
        <w:t xml:space="preserve">treatment of cells with 5µM ruxolitinib for 24h, RNA was extracted using the RNeasy Mini Kit (Qiagen) following the manufacturer’s </w:t>
      </w:r>
      <w:r w:rsidRPr="00586A8D">
        <w:rPr>
          <w:rFonts w:cstheme="minorHAnsi"/>
          <w:lang w:val="en-US"/>
        </w:rPr>
        <w:t>instructions</w:t>
      </w:r>
      <w:r>
        <w:rPr>
          <w:rFonts w:cstheme="minorHAnsi"/>
          <w:lang w:val="en-US"/>
        </w:rPr>
        <w:t xml:space="preserve">. </w:t>
      </w:r>
      <w:r w:rsidRPr="005E1471">
        <w:rPr>
          <w:rFonts w:cstheme="minorHAnsi"/>
          <w:lang w:val="en-US"/>
        </w:rPr>
        <w:t xml:space="preserve">Sequence images were transformed with Illumina software </w:t>
      </w:r>
      <w:proofErr w:type="spellStart"/>
      <w:r w:rsidRPr="005E1471">
        <w:rPr>
          <w:rFonts w:cstheme="minorHAnsi"/>
          <w:lang w:val="en-US"/>
        </w:rPr>
        <w:t>BaseCaller</w:t>
      </w:r>
      <w:proofErr w:type="spellEnd"/>
      <w:r w:rsidRPr="005E1471">
        <w:rPr>
          <w:rFonts w:cstheme="minorHAnsi"/>
          <w:lang w:val="en-US"/>
        </w:rPr>
        <w:t xml:space="preserve"> to BCL files, which was demultiplexed to </w:t>
      </w:r>
      <w:proofErr w:type="spellStart"/>
      <w:r w:rsidRPr="005E1471">
        <w:rPr>
          <w:rFonts w:cstheme="minorHAnsi"/>
          <w:lang w:val="en-US"/>
        </w:rPr>
        <w:t>fastq</w:t>
      </w:r>
      <w:proofErr w:type="spellEnd"/>
      <w:r w:rsidRPr="005E1471">
        <w:rPr>
          <w:rFonts w:cstheme="minorHAnsi"/>
          <w:lang w:val="en-US"/>
        </w:rPr>
        <w:t xml:space="preserve"> files with bcl2fastq v2.20. The sequencing quality was asserted using FastQC</w:t>
      </w:r>
      <w:r>
        <w:rPr>
          <w:rFonts w:cstheme="minorHAnsi"/>
          <w:lang w:val="en-US"/>
        </w:rPr>
        <w:t>.</w:t>
      </w:r>
      <w:r>
        <w:rPr>
          <w:rFonts w:cstheme="minorHAnsi"/>
          <w:lang w:val="en-US"/>
        </w:rPr>
        <w:fldChar w:fldCharType="begin"/>
      </w:r>
      <w:r w:rsidR="00D141FA">
        <w:rPr>
          <w:rFonts w:cstheme="minorHAnsi"/>
          <w:lang w:val="en-US"/>
        </w:rPr>
        <w:instrText xml:space="preserve"> ADDIN ZOTERO_ITEM CSL_CITATION {"citationID":"e42Vlu85","properties":{"formattedCitation":"\\super 3\\nosupersub{}","plainCitation":"3","noteIndex":0},"citationItems":[{"id":"2HPYCKI3/J3LPlbXz","uris":["http://zotero.org/users/11542216/items/T38AU4CT"],"itemData":{"id":106,"type":"software","title":"FastQC A Quality Control tool for High Throughput Sequence Data","URL":"http://www.bioinformatics.babraham.ac.uk/projects/fastqc/","author":[{"family":"Andrews","given":"S"}],"issued":{"date-parts":[["2014"]]}}}],"schema":"https://github.com/citation-style-language/schema/raw/master/csl-citation.json"} </w:instrText>
      </w:r>
      <w:r>
        <w:rPr>
          <w:rFonts w:cstheme="minorHAnsi"/>
          <w:lang w:val="en-US"/>
        </w:rPr>
        <w:fldChar w:fldCharType="separate"/>
      </w:r>
      <w:r w:rsidR="00D141FA" w:rsidRPr="00D141FA">
        <w:rPr>
          <w:rFonts w:ascii="Calibri" w:hAnsi="Calibri" w:cs="Calibri"/>
          <w:szCs w:val="24"/>
          <w:vertAlign w:val="superscript"/>
          <w:lang w:val="en-US"/>
        </w:rPr>
        <w:t>3</w:t>
      </w:r>
      <w:r>
        <w:rPr>
          <w:rFonts w:cstheme="minorHAnsi"/>
          <w:lang w:val="en-US"/>
        </w:rPr>
        <w:fldChar w:fldCharType="end"/>
      </w:r>
      <w:r>
        <w:rPr>
          <w:rFonts w:cstheme="minorHAnsi"/>
          <w:lang w:val="en-US"/>
        </w:rPr>
        <w:t xml:space="preserve"> </w:t>
      </w:r>
      <w:r w:rsidRPr="005E1471">
        <w:rPr>
          <w:rFonts w:cstheme="minorHAnsi"/>
          <w:lang w:val="en-US"/>
        </w:rPr>
        <w:t>Sequences were aligned to the reference genome Homo sapiens (GRCh38.p13, https://www.ensembl.org/Homo_sapiens/Info/Index) using the RNA-Seq alignment tool</w:t>
      </w:r>
      <w:r>
        <w:rPr>
          <w:rFonts w:cstheme="minorHAnsi"/>
          <w:lang w:val="en-US"/>
        </w:rPr>
        <w:t xml:space="preserve"> (</w:t>
      </w:r>
      <w:r w:rsidRPr="005E1471">
        <w:rPr>
          <w:rFonts w:cstheme="minorHAnsi"/>
          <w:lang w:val="en-US"/>
        </w:rPr>
        <w:t>version 2.7.8a</w:t>
      </w:r>
      <w:r>
        <w:rPr>
          <w:rFonts w:cstheme="minorHAnsi"/>
          <w:lang w:val="en-US"/>
        </w:rPr>
        <w:t xml:space="preserve">) </w:t>
      </w:r>
      <w:r w:rsidRPr="005E1471">
        <w:rPr>
          <w:rFonts w:cstheme="minorHAnsi"/>
          <w:lang w:val="en-US"/>
        </w:rPr>
        <w:t>allowing for 2 mismatches within 50 bases. Subsequently, read counting was</w:t>
      </w:r>
      <w:r>
        <w:rPr>
          <w:rFonts w:cstheme="minorHAnsi"/>
          <w:lang w:val="en-US"/>
        </w:rPr>
        <w:t xml:space="preserve"> performed using featureCounts.</w:t>
      </w:r>
      <w:r>
        <w:rPr>
          <w:rFonts w:cstheme="minorHAnsi"/>
          <w:lang w:val="en-US"/>
        </w:rPr>
        <w:fldChar w:fldCharType="begin"/>
      </w:r>
      <w:r w:rsidR="00D141FA">
        <w:rPr>
          <w:rFonts w:cstheme="minorHAnsi"/>
          <w:lang w:val="en-US"/>
        </w:rPr>
        <w:instrText xml:space="preserve"> ADDIN ZOTERO_ITEM CSL_CITATION {"citationID":"pKOAfWH9","properties":{"formattedCitation":"\\super 4,5\\nosupersub{}","plainCitation":"4,5","noteIndex":0},"citationItems":[{"id":"2HPYCKI3/xsYaM17C","uris":["http://zotero.org/users/11542216/items/8UATMRRE"],"itemData":{"id":107,"type":"article-journal","abstract":"Abstract\n            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biases.\n            Results: To align our large (&amp;gt;80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&amp;gt;50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strategy.\n            Availability and implementation: STAR is implemented as a standalone C++ code. STAR is free open source software distributed under GPLv3 license and can be downloaded from http://code.google.com/p/rna-star/.\n            Contact:  dobin@cshl.edu.","container-title":"Bioinformatics","DOI":"10.1093/bioinformatics/bts635","ISSN":"1367-4811, 1367-4803","issue":"1","language":"en","page":"15-21","source":"DOI.org (Crossref)","title":"STAR: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R."}],"issued":{"date-parts":[["2013",1,1]]}}},{"id":"2HPYCKI3/frZAAqOD","uris":["http://zotero.org/users/11542216/items/QFMINUX6"],"itemData":{"id":"Chu1QWyQ/dk0GMZ3G","type":"article-journal","container-title":"Genome Biology","DOI":"10.1186/s13059-014-0550-8","ISSN":"1474-760X","issue":"12","journalAbbreviation":"Genome Biol","language":"en","page":"550","source":"DOI.org (Crossref)","title":"Moderated estimation of fold change and dispersion for RNA-seq data with DESeq2","volume":"15","author":[{"family":"Love","given":"Michael I"},{"family":"Huber","given":"Wolfgang"},{"family":"Anders","given":"Simon"}],"issued":{"date-parts":[["2014",12]]}}}],"schema":"https://github.com/citation-style-language/schema/raw/master/csl-citation.json"} </w:instrText>
      </w:r>
      <w:r>
        <w:rPr>
          <w:rFonts w:cstheme="minorHAnsi"/>
          <w:lang w:val="en-US"/>
        </w:rPr>
        <w:fldChar w:fldCharType="separate"/>
      </w:r>
      <w:r w:rsidR="00D141FA" w:rsidRPr="00D141FA">
        <w:rPr>
          <w:rFonts w:ascii="Calibri" w:hAnsi="Calibri" w:cs="Calibri"/>
          <w:szCs w:val="24"/>
          <w:vertAlign w:val="superscript"/>
          <w:lang w:val="en-US"/>
        </w:rPr>
        <w:t>4,5</w:t>
      </w:r>
      <w:r>
        <w:rPr>
          <w:rFonts w:cstheme="minorHAnsi"/>
          <w:lang w:val="en-US"/>
        </w:rPr>
        <w:fldChar w:fldCharType="end"/>
      </w:r>
      <w:r>
        <w:rPr>
          <w:rFonts w:cstheme="minorHAnsi"/>
          <w:lang w:val="en-US"/>
        </w:rPr>
        <w:t xml:space="preserve"> </w:t>
      </w:r>
      <w:r w:rsidRPr="005E1471">
        <w:rPr>
          <w:rFonts w:cstheme="minorHAnsi"/>
          <w:lang w:val="en-US"/>
        </w:rPr>
        <w:t>Read counts were analyzed in the R/Bioconductor environment (version 4.2.1, www.bioc</w:t>
      </w:r>
      <w:r>
        <w:rPr>
          <w:rFonts w:cstheme="minorHAnsi"/>
          <w:lang w:val="en-US"/>
        </w:rPr>
        <w:t xml:space="preserve">onductor.org) using the DESeq2 </w:t>
      </w:r>
      <w:r w:rsidRPr="005E1471">
        <w:rPr>
          <w:rFonts w:cstheme="minorHAnsi"/>
          <w:lang w:val="en-US"/>
        </w:rPr>
        <w:t>package version 1.34.0 Candidate genes were filtered using an absolute log2 fold-change &gt;1 and FDR-corrected p-value &lt;0.05.</w:t>
      </w:r>
      <w:r>
        <w:rPr>
          <w:rFonts w:cstheme="minorHAnsi"/>
          <w:lang w:val="en-US"/>
        </w:rPr>
        <w:fldChar w:fldCharType="begin"/>
      </w:r>
      <w:r w:rsidR="00D141FA">
        <w:rPr>
          <w:rFonts w:cstheme="minorHAnsi"/>
          <w:lang w:val="en-US"/>
        </w:rPr>
        <w:instrText xml:space="preserve"> ADDIN ZOTERO_ITEM CSL_CITATION {"citationID":"oxF1Lozg","properties":{"formattedCitation":"\\super 5\\nosupersub{}","plainCitation":"5","noteIndex":0},"citationItems":[{"id":"2HPYCKI3/frZAAqOD","uris":["http://zotero.org/users/11542216/items/QFMINUX6"],"itemData":{"id":111,"type":"article-journal","container-title":"Genome Biology","DOI":"10.1186/s13059-014-0550-8","ISSN":"1474-760X","issue":"12","journalAbbreviation":"Genome Biol","language":"en","page":"550","source":"DOI.org (Crossref)","title":"Moderated estimation of fold change and dispersion for RNA-seq data with DESeq2","volume":"15","author":[{"family":"Love","given":"Michael I"},{"family":"Huber","given":"Wolfgang"},{"family":"Anders","given":"Simon"}],"issued":{"date-parts":[["2014",12]]}}}],"schema":"https://github.com/citation-style-language/schema/raw/master/csl-citation.json"} </w:instrText>
      </w:r>
      <w:r>
        <w:rPr>
          <w:rFonts w:cstheme="minorHAnsi"/>
          <w:lang w:val="en-US"/>
        </w:rPr>
        <w:fldChar w:fldCharType="separate"/>
      </w:r>
      <w:r w:rsidR="00D141FA" w:rsidRPr="00D141FA">
        <w:rPr>
          <w:rFonts w:ascii="Calibri" w:hAnsi="Calibri" w:cs="Calibri"/>
          <w:szCs w:val="24"/>
          <w:vertAlign w:val="superscript"/>
          <w:lang w:val="en-US"/>
        </w:rPr>
        <w:t>5</w:t>
      </w:r>
      <w:r>
        <w:rPr>
          <w:rFonts w:cstheme="minorHAnsi"/>
          <w:lang w:val="en-US"/>
        </w:rPr>
        <w:fldChar w:fldCharType="end"/>
      </w:r>
      <w:r>
        <w:rPr>
          <w:rFonts w:cstheme="minorHAnsi"/>
          <w:lang w:val="en-US"/>
        </w:rPr>
        <w:t xml:space="preserve"> Gene Set Enrichment Analysis (GSEA) was performed with the GSEA software of UC San Diego and Broad Institute.</w:t>
      </w:r>
      <w:r>
        <w:rPr>
          <w:rFonts w:cstheme="minorHAnsi"/>
          <w:lang w:val="en-US"/>
        </w:rPr>
        <w:fldChar w:fldCharType="begin"/>
      </w:r>
      <w:r w:rsidR="00D141FA">
        <w:rPr>
          <w:rFonts w:cstheme="minorHAnsi"/>
          <w:lang w:val="en-US"/>
        </w:rPr>
        <w:instrText xml:space="preserve"> ADDIN ZOTERO_ITEM CSL_CITATION {"citationID":"k5UW3Inw","properties":{"formattedCitation":"\\super 6,7\\nosupersub{}","plainCitation":"6,7","noteIndex":0},"citationItems":[{"id":"2HPYCKI3/8eBxJKLE","uris":["http://zotero.org/users/11542216/items/TWPWU572"],"itemData":{"id":142,"type":"article-journal","abstract":"Although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sets.","container-title":"Proceedings of the National Academy of Sciences","DOI":"10.1073/pnas.0506580102","ISSN":"0027-8424, 1091-6490","issue":"43","journalAbbreviation":"Proc. Natl. Acad. Sci. U.S.A.","language":"en","page":"15545-15550","source":"DOI.org (Crossref)","title":"Gene set enrichment analysis: A knowledge-based approach for interpreting genome-wide expression profiles","title-short":"Gene set enrichment analysis","volume":"102","author":[{"family":"Subramanian","given":"Aravind"},{"family":"Tamayo","given":"Pablo"},{"family":"Mootha","given":"Vamsi K."},{"family":"Mukherjee","given":"Sayan"},{"family":"Ebert","given":"Benjamin L."},{"family":"Gillette","given":"Michael A."},{"family":"Paulovich","given":"Amanda"},{"family":"Pomeroy","given":"Scott L."},{"family":"Golub","given":"Todd R."},{"family":"Lander","given":"Eric S."},{"family":"Mesirov","given":"Jill P."}],"issued":{"date-parts":[["2005",10,25]]}}},{"id":"2HPYCKI3/bHx65DVA","uris":["http://zotero.org/users/11542216/items/CMKJRCXK"],"itemData":{"id":144,"type":"article-journal","container-title":"Nature Genetics","DOI":"10.1038/ng1180","ISSN":"1061-4036, 1546-1718","issue":"3","journalAbbreviation":"Nat Genet","language":"en","page":"267-273","source":"DOI.org (Crossref)","title":"PGC-1α-responsive genes involved in oxidative phosphorylation are coordinately downregulated in human diabetes","volume":"34","author":[{"family":"Mootha","given":"Vamsi K"},{"family":"Lindgren","given":"Cecilia M"},{"family":"Eriksson","given":"Karl-Fredrik"},{"family":"Subramanian","given":"Aravind"},{"family":"Sihag","given":"Smita"},{"family":"Lehar","given":"Joseph"},{"family":"Puigserver","given":"Pere"},{"family":"Carlsson","given":"Emma"},{"family":"Ridderstråle","given":"Martin"},{"family":"Laurila","given":"Esa"},{"family":"Houstis","given":"Nicholas"},{"family":"Daly","given":"Mark J"},{"family":"Patterson","given":"Nick"},{"family":"Mesirov","given":"Jill P"},{"family":"Golub","given":"Todd R"},{"family":"Tamayo","given":"Pablo"},{"family":"Spiegelman","given":"Bruce"},{"family":"Lander","given":"Eric S"},{"family":"Hirschhorn","given":"Joel N"},{"family":"Altshuler","given":"David"},{"family":"Groop","given":"Leif C"}],"issued":{"date-parts":[["2003",7]]}}}],"schema":"https://github.com/citation-style-language/schema/raw/master/csl-citation.json"} </w:instrText>
      </w:r>
      <w:r>
        <w:rPr>
          <w:rFonts w:cstheme="minorHAnsi"/>
          <w:lang w:val="en-US"/>
        </w:rPr>
        <w:fldChar w:fldCharType="separate"/>
      </w:r>
      <w:r w:rsidR="00D141FA" w:rsidRPr="00D141FA">
        <w:rPr>
          <w:rFonts w:ascii="Calibri" w:hAnsi="Calibri" w:cs="Calibri"/>
          <w:szCs w:val="24"/>
          <w:vertAlign w:val="superscript"/>
          <w:lang w:val="en-US"/>
        </w:rPr>
        <w:t>6,7</w:t>
      </w:r>
      <w:r>
        <w:rPr>
          <w:rFonts w:cstheme="minorHAnsi"/>
          <w:lang w:val="en-US"/>
        </w:rPr>
        <w:fldChar w:fldCharType="end"/>
      </w:r>
    </w:p>
    <w:p w14:paraId="3F7272A2" w14:textId="6F8E9810" w:rsidR="00D141FA" w:rsidRPr="00D141FA" w:rsidRDefault="00D141FA">
      <w:pPr>
        <w:rPr>
          <w:b/>
          <w:bCs/>
          <w:lang w:val="en-US"/>
        </w:rPr>
      </w:pPr>
      <w:r w:rsidRPr="00D141FA">
        <w:rPr>
          <w:b/>
          <w:bCs/>
          <w:lang w:val="en-US"/>
        </w:rPr>
        <w:lastRenderedPageBreak/>
        <w:t xml:space="preserve">References </w:t>
      </w:r>
    </w:p>
    <w:p w14:paraId="68857895" w14:textId="77777777" w:rsidR="00D141FA" w:rsidRPr="00D141FA" w:rsidRDefault="00D141FA" w:rsidP="00D141FA">
      <w:pPr>
        <w:pStyle w:val="Literaturverzeichnis"/>
        <w:rPr>
          <w:rFonts w:ascii="Calibri" w:hAnsi="Calibri" w:cs="Calibri"/>
          <w:lang w:val="en-US"/>
        </w:rPr>
      </w:pPr>
      <w:r>
        <w:fldChar w:fldCharType="begin"/>
      </w:r>
      <w:r>
        <w:rPr>
          <w:lang w:val="en-US"/>
        </w:rPr>
        <w:instrText xml:space="preserve"> ADDIN ZOTERO_BIBL {"uncited":[],"omitted":[],"custom":[]} CSL_BIBLIOGRAPHY </w:instrText>
      </w:r>
      <w:r>
        <w:fldChar w:fldCharType="separate"/>
      </w:r>
      <w:r w:rsidRPr="00D141FA">
        <w:rPr>
          <w:rFonts w:ascii="Calibri" w:hAnsi="Calibri" w:cs="Calibri"/>
          <w:lang w:val="en-US"/>
        </w:rPr>
        <w:t>1.</w:t>
      </w:r>
      <w:r w:rsidRPr="00D141FA">
        <w:rPr>
          <w:rFonts w:ascii="Calibri" w:hAnsi="Calibri" w:cs="Calibri"/>
          <w:lang w:val="en-US"/>
        </w:rPr>
        <w:tab/>
        <w:t xml:space="preserve">Ryan J, Montero J, Rocco J, Letai A. iBH3: simple, fixable BH3 profiling to determine apoptotic priming in primary tissue by flow cytometry. </w:t>
      </w:r>
      <w:r w:rsidRPr="00D141FA">
        <w:rPr>
          <w:rFonts w:ascii="Calibri" w:hAnsi="Calibri" w:cs="Calibri"/>
          <w:i/>
          <w:iCs/>
          <w:lang w:val="en-US"/>
        </w:rPr>
        <w:t>Biological Chemistry</w:t>
      </w:r>
      <w:r w:rsidRPr="00D141FA">
        <w:rPr>
          <w:rFonts w:ascii="Calibri" w:hAnsi="Calibri" w:cs="Calibri"/>
          <w:lang w:val="en-US"/>
        </w:rPr>
        <w:t xml:space="preserve">. 2016;397(7):671–678. </w:t>
      </w:r>
    </w:p>
    <w:p w14:paraId="636FCC2F" w14:textId="77777777" w:rsidR="00D141FA" w:rsidRPr="00D141FA" w:rsidRDefault="00D141FA" w:rsidP="00D141FA">
      <w:pPr>
        <w:pStyle w:val="Literaturverzeichnis"/>
        <w:rPr>
          <w:rFonts w:ascii="Calibri" w:hAnsi="Calibri" w:cs="Calibri"/>
          <w:lang w:val="en-US"/>
        </w:rPr>
      </w:pPr>
      <w:r w:rsidRPr="00D141FA">
        <w:rPr>
          <w:rFonts w:ascii="Calibri" w:hAnsi="Calibri" w:cs="Calibri"/>
          <w:lang w:val="en-US"/>
        </w:rPr>
        <w:t>2.</w:t>
      </w:r>
      <w:r w:rsidRPr="00D141FA">
        <w:rPr>
          <w:rFonts w:ascii="Calibri" w:hAnsi="Calibri" w:cs="Calibri"/>
          <w:lang w:val="en-US"/>
        </w:rPr>
        <w:tab/>
        <w:t xml:space="preserve">Montero J, Letai A. Dynamic BH3 profiling-poking cancer cells with a stick. </w:t>
      </w:r>
      <w:r w:rsidRPr="00D141FA">
        <w:rPr>
          <w:rFonts w:ascii="Calibri" w:hAnsi="Calibri" w:cs="Calibri"/>
          <w:i/>
          <w:iCs/>
          <w:lang w:val="en-US"/>
        </w:rPr>
        <w:t>Molecular &amp; Cellular Oncology</w:t>
      </w:r>
      <w:r w:rsidRPr="00D141FA">
        <w:rPr>
          <w:rFonts w:ascii="Calibri" w:hAnsi="Calibri" w:cs="Calibri"/>
          <w:lang w:val="en-US"/>
        </w:rPr>
        <w:t xml:space="preserve">. 2016;3(3):e1040144. </w:t>
      </w:r>
    </w:p>
    <w:p w14:paraId="52F92208" w14:textId="77777777" w:rsidR="00D141FA" w:rsidRPr="00D141FA" w:rsidRDefault="00D141FA" w:rsidP="00D141FA">
      <w:pPr>
        <w:pStyle w:val="Literaturverzeichnis"/>
        <w:rPr>
          <w:rFonts w:ascii="Calibri" w:hAnsi="Calibri" w:cs="Calibri"/>
          <w:lang w:val="en-US"/>
        </w:rPr>
      </w:pPr>
      <w:r w:rsidRPr="00D141FA">
        <w:rPr>
          <w:rFonts w:ascii="Calibri" w:hAnsi="Calibri" w:cs="Calibri"/>
          <w:lang w:val="en-US"/>
        </w:rPr>
        <w:t>3.</w:t>
      </w:r>
      <w:r w:rsidRPr="00D141FA">
        <w:rPr>
          <w:rFonts w:ascii="Calibri" w:hAnsi="Calibri" w:cs="Calibri"/>
          <w:lang w:val="en-US"/>
        </w:rPr>
        <w:tab/>
        <w:t xml:space="preserve">Andrews S. FastQC A Quality Control tool for High Throughput Sequence Data. 2014; </w:t>
      </w:r>
    </w:p>
    <w:p w14:paraId="3A9B6985" w14:textId="77777777" w:rsidR="00D141FA" w:rsidRPr="00D141FA" w:rsidRDefault="00D141FA" w:rsidP="00D141FA">
      <w:pPr>
        <w:pStyle w:val="Literaturverzeichnis"/>
        <w:rPr>
          <w:rFonts w:ascii="Calibri" w:hAnsi="Calibri" w:cs="Calibri"/>
          <w:lang w:val="en-US"/>
        </w:rPr>
      </w:pPr>
      <w:r w:rsidRPr="00D141FA">
        <w:rPr>
          <w:rFonts w:ascii="Calibri" w:hAnsi="Calibri" w:cs="Calibri"/>
          <w:lang w:val="en-US"/>
        </w:rPr>
        <w:t>4.</w:t>
      </w:r>
      <w:r w:rsidRPr="00D141FA">
        <w:rPr>
          <w:rFonts w:ascii="Calibri" w:hAnsi="Calibri" w:cs="Calibri"/>
          <w:lang w:val="en-US"/>
        </w:rPr>
        <w:tab/>
        <w:t xml:space="preserve">Dobin A, Davis CA, Schlesinger F, et al. </w:t>
      </w:r>
      <w:r w:rsidRPr="00676C29">
        <w:rPr>
          <w:rFonts w:ascii="Calibri" w:hAnsi="Calibri" w:cs="Calibri"/>
        </w:rPr>
        <w:t xml:space="preserve">STAR: ultrafast universal RNA-seq aligner. </w:t>
      </w:r>
      <w:r w:rsidRPr="00D141FA">
        <w:rPr>
          <w:rFonts w:ascii="Calibri" w:hAnsi="Calibri" w:cs="Calibri"/>
          <w:i/>
          <w:iCs/>
          <w:lang w:val="en-US"/>
        </w:rPr>
        <w:t>Bioinformatics</w:t>
      </w:r>
      <w:r w:rsidRPr="00D141FA">
        <w:rPr>
          <w:rFonts w:ascii="Calibri" w:hAnsi="Calibri" w:cs="Calibri"/>
          <w:lang w:val="en-US"/>
        </w:rPr>
        <w:t xml:space="preserve">. 2013;29(1):15–21. </w:t>
      </w:r>
    </w:p>
    <w:p w14:paraId="772BDA45" w14:textId="77777777" w:rsidR="00D141FA" w:rsidRPr="00D141FA" w:rsidRDefault="00D141FA" w:rsidP="00D141FA">
      <w:pPr>
        <w:pStyle w:val="Literaturverzeichnis"/>
        <w:rPr>
          <w:rFonts w:ascii="Calibri" w:hAnsi="Calibri" w:cs="Calibri"/>
          <w:lang w:val="en-US"/>
        </w:rPr>
      </w:pPr>
      <w:r w:rsidRPr="00D141FA">
        <w:rPr>
          <w:rFonts w:ascii="Calibri" w:hAnsi="Calibri" w:cs="Calibri"/>
          <w:lang w:val="en-US"/>
        </w:rPr>
        <w:t>5.</w:t>
      </w:r>
      <w:r w:rsidRPr="00D141FA">
        <w:rPr>
          <w:rFonts w:ascii="Calibri" w:hAnsi="Calibri" w:cs="Calibri"/>
          <w:lang w:val="en-US"/>
        </w:rPr>
        <w:tab/>
        <w:t xml:space="preserve">Love MI, Huber W, Anders S. Moderated estimation of fold change and dispersion for RNA-seq data with DESeq2. </w:t>
      </w:r>
      <w:r w:rsidRPr="00D141FA">
        <w:rPr>
          <w:rFonts w:ascii="Calibri" w:hAnsi="Calibri" w:cs="Calibri"/>
          <w:i/>
          <w:iCs/>
          <w:lang w:val="en-US"/>
        </w:rPr>
        <w:t>Genome Biol</w:t>
      </w:r>
      <w:r w:rsidRPr="00D141FA">
        <w:rPr>
          <w:rFonts w:ascii="Calibri" w:hAnsi="Calibri" w:cs="Calibri"/>
          <w:lang w:val="en-US"/>
        </w:rPr>
        <w:t xml:space="preserve">. 2014;15(12):550. </w:t>
      </w:r>
    </w:p>
    <w:p w14:paraId="686189CB" w14:textId="77777777" w:rsidR="00D141FA" w:rsidRPr="00D141FA" w:rsidRDefault="00D141FA" w:rsidP="00D141FA">
      <w:pPr>
        <w:pStyle w:val="Literaturverzeichnis"/>
        <w:rPr>
          <w:rFonts w:ascii="Calibri" w:hAnsi="Calibri" w:cs="Calibri"/>
          <w:lang w:val="en-US"/>
        </w:rPr>
      </w:pPr>
      <w:r w:rsidRPr="00D141FA">
        <w:rPr>
          <w:rFonts w:ascii="Calibri" w:hAnsi="Calibri" w:cs="Calibri"/>
          <w:lang w:val="en-US"/>
        </w:rPr>
        <w:t>6.</w:t>
      </w:r>
      <w:r w:rsidRPr="00D141FA">
        <w:rPr>
          <w:rFonts w:ascii="Calibri" w:hAnsi="Calibri" w:cs="Calibri"/>
          <w:lang w:val="en-US"/>
        </w:rPr>
        <w:tab/>
        <w:t xml:space="preserve">Subramanian A, Tamayo P, Mootha VK, et al. Gene set enrichment analysis: A knowledge-based approach for interpreting genome-wide expression profiles. </w:t>
      </w:r>
      <w:r w:rsidRPr="00D141FA">
        <w:rPr>
          <w:rFonts w:ascii="Calibri" w:hAnsi="Calibri" w:cs="Calibri"/>
          <w:i/>
          <w:iCs/>
          <w:lang w:val="en-US"/>
        </w:rPr>
        <w:t>Proc. Natl. Acad. Sci. U.S.A.</w:t>
      </w:r>
      <w:r w:rsidRPr="00D141FA">
        <w:rPr>
          <w:rFonts w:ascii="Calibri" w:hAnsi="Calibri" w:cs="Calibri"/>
          <w:lang w:val="en-US"/>
        </w:rPr>
        <w:t xml:space="preserve"> 2005;102(43):15545–15550. </w:t>
      </w:r>
    </w:p>
    <w:p w14:paraId="00F00CFD" w14:textId="77777777" w:rsidR="00D141FA" w:rsidRPr="00D141FA" w:rsidRDefault="00D141FA" w:rsidP="00D141FA">
      <w:pPr>
        <w:pStyle w:val="Literaturverzeichnis"/>
        <w:rPr>
          <w:rFonts w:ascii="Calibri" w:hAnsi="Calibri" w:cs="Calibri"/>
          <w:lang w:val="en-US"/>
        </w:rPr>
      </w:pPr>
      <w:r w:rsidRPr="00D141FA">
        <w:rPr>
          <w:rFonts w:ascii="Calibri" w:hAnsi="Calibri" w:cs="Calibri"/>
          <w:lang w:val="en-US"/>
        </w:rPr>
        <w:t>7.</w:t>
      </w:r>
      <w:r w:rsidRPr="00D141FA">
        <w:rPr>
          <w:rFonts w:ascii="Calibri" w:hAnsi="Calibri" w:cs="Calibri"/>
          <w:lang w:val="en-US"/>
        </w:rPr>
        <w:tab/>
        <w:t>Mootha VK, Lindgren CM, Eriksson K-F, et al. PGC-1</w:t>
      </w:r>
      <w:r w:rsidRPr="00D141FA">
        <w:rPr>
          <w:rFonts w:ascii="Calibri" w:hAnsi="Calibri" w:cs="Calibri"/>
        </w:rPr>
        <w:t>α</w:t>
      </w:r>
      <w:r w:rsidRPr="00D141FA">
        <w:rPr>
          <w:rFonts w:ascii="Calibri" w:hAnsi="Calibri" w:cs="Calibri"/>
          <w:lang w:val="en-US"/>
        </w:rPr>
        <w:t xml:space="preserve">-responsive genes involved in oxidative phosphorylation are coordinately downregulated in human diabetes. </w:t>
      </w:r>
      <w:r w:rsidRPr="00D141FA">
        <w:rPr>
          <w:rFonts w:ascii="Calibri" w:hAnsi="Calibri" w:cs="Calibri"/>
          <w:i/>
          <w:iCs/>
          <w:lang w:val="en-US"/>
        </w:rPr>
        <w:t>Nat Genet</w:t>
      </w:r>
      <w:r w:rsidRPr="00D141FA">
        <w:rPr>
          <w:rFonts w:ascii="Calibri" w:hAnsi="Calibri" w:cs="Calibri"/>
          <w:lang w:val="en-US"/>
        </w:rPr>
        <w:t xml:space="preserve">. 2003;34(3):267–273. </w:t>
      </w:r>
    </w:p>
    <w:p w14:paraId="56866430" w14:textId="66D4D726" w:rsidR="00D141FA" w:rsidRPr="00D141FA" w:rsidRDefault="00D141FA">
      <w:pPr>
        <w:rPr>
          <w:lang w:val="en-US"/>
        </w:rPr>
      </w:pPr>
      <w:r>
        <w:fldChar w:fldCharType="end"/>
      </w:r>
    </w:p>
    <w:sectPr w:rsidR="00D141FA" w:rsidRPr="00D141FA" w:rsidSect="001F48BD">
      <w:footerReference w:type="default" r:id="rId7"/>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A6279" w14:textId="77777777" w:rsidR="00285734" w:rsidRDefault="00285734" w:rsidP="00D141FA">
      <w:pPr>
        <w:spacing w:after="0" w:line="240" w:lineRule="auto"/>
      </w:pPr>
      <w:r>
        <w:separator/>
      </w:r>
    </w:p>
  </w:endnote>
  <w:endnote w:type="continuationSeparator" w:id="0">
    <w:p w14:paraId="52D5236A" w14:textId="77777777" w:rsidR="00285734" w:rsidRDefault="00285734" w:rsidP="00D14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9015747"/>
      <w:docPartObj>
        <w:docPartGallery w:val="Page Numbers (Bottom of Page)"/>
        <w:docPartUnique/>
      </w:docPartObj>
    </w:sdtPr>
    <w:sdtEndPr/>
    <w:sdtContent>
      <w:p w14:paraId="6143072F" w14:textId="7A299D5D" w:rsidR="00D141FA" w:rsidRDefault="00D141FA">
        <w:pPr>
          <w:pStyle w:val="Fuzeile"/>
          <w:jc w:val="right"/>
        </w:pPr>
        <w:r>
          <w:fldChar w:fldCharType="begin"/>
        </w:r>
        <w:r>
          <w:instrText>PAGE   \* MERGEFORMAT</w:instrText>
        </w:r>
        <w:r>
          <w:fldChar w:fldCharType="separate"/>
        </w:r>
        <w:r>
          <w:t>2</w:t>
        </w:r>
        <w:r>
          <w:fldChar w:fldCharType="end"/>
        </w:r>
      </w:p>
    </w:sdtContent>
  </w:sdt>
  <w:p w14:paraId="644C97CC" w14:textId="77777777" w:rsidR="00D141FA" w:rsidRDefault="00D141F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A4030" w14:textId="77777777" w:rsidR="00285734" w:rsidRDefault="00285734" w:rsidP="00D141FA">
      <w:pPr>
        <w:spacing w:after="0" w:line="240" w:lineRule="auto"/>
      </w:pPr>
      <w:r>
        <w:separator/>
      </w:r>
    </w:p>
  </w:footnote>
  <w:footnote w:type="continuationSeparator" w:id="0">
    <w:p w14:paraId="62403910" w14:textId="77777777" w:rsidR="00285734" w:rsidRDefault="00285734" w:rsidP="00D141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84E70"/>
    <w:multiLevelType w:val="hybridMultilevel"/>
    <w:tmpl w:val="B262E9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818"/>
    <w:rsid w:val="001F48BD"/>
    <w:rsid w:val="00285734"/>
    <w:rsid w:val="0030137A"/>
    <w:rsid w:val="00676C29"/>
    <w:rsid w:val="00956DC9"/>
    <w:rsid w:val="00A4342A"/>
    <w:rsid w:val="00B905F1"/>
    <w:rsid w:val="00BD28AE"/>
    <w:rsid w:val="00D141FA"/>
    <w:rsid w:val="00D31818"/>
    <w:rsid w:val="00E131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1739A"/>
  <w15:chartTrackingRefBased/>
  <w15:docId w15:val="{BCF37CC7-91A2-4728-B5F7-CB3FC1930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D31818"/>
    <w:rPr>
      <w:sz w:val="16"/>
      <w:szCs w:val="16"/>
    </w:rPr>
  </w:style>
  <w:style w:type="paragraph" w:styleId="Kommentartext">
    <w:name w:val="annotation text"/>
    <w:basedOn w:val="Standard"/>
    <w:link w:val="KommentartextZchn"/>
    <w:uiPriority w:val="99"/>
    <w:semiHidden/>
    <w:unhideWhenUsed/>
    <w:rsid w:val="00D3181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31818"/>
    <w:rPr>
      <w:sz w:val="20"/>
      <w:szCs w:val="20"/>
    </w:rPr>
  </w:style>
  <w:style w:type="paragraph" w:styleId="Literaturverzeichnis">
    <w:name w:val="Bibliography"/>
    <w:basedOn w:val="Standard"/>
    <w:next w:val="Standard"/>
    <w:uiPriority w:val="37"/>
    <w:unhideWhenUsed/>
    <w:rsid w:val="00D31818"/>
  </w:style>
  <w:style w:type="paragraph" w:styleId="Listenabsatz">
    <w:name w:val="List Paragraph"/>
    <w:basedOn w:val="Standard"/>
    <w:uiPriority w:val="34"/>
    <w:qFormat/>
    <w:rsid w:val="00D141FA"/>
    <w:pPr>
      <w:ind w:left="720"/>
      <w:contextualSpacing/>
    </w:pPr>
  </w:style>
  <w:style w:type="paragraph" w:styleId="Kopfzeile">
    <w:name w:val="header"/>
    <w:basedOn w:val="Standard"/>
    <w:link w:val="KopfzeileZchn"/>
    <w:uiPriority w:val="99"/>
    <w:unhideWhenUsed/>
    <w:rsid w:val="00D141F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41FA"/>
  </w:style>
  <w:style w:type="paragraph" w:styleId="Fuzeile">
    <w:name w:val="footer"/>
    <w:basedOn w:val="Standard"/>
    <w:link w:val="FuzeileZchn"/>
    <w:uiPriority w:val="99"/>
    <w:unhideWhenUsed/>
    <w:rsid w:val="00D141F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41FA"/>
  </w:style>
  <w:style w:type="character" w:styleId="Zeilennummer">
    <w:name w:val="line number"/>
    <w:basedOn w:val="Absatz-Standardschriftart"/>
    <w:uiPriority w:val="99"/>
    <w:semiHidden/>
    <w:unhideWhenUsed/>
    <w:rsid w:val="001F48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2494</Words>
  <Characters>15364</Characters>
  <Application>Microsoft Office Word</Application>
  <DocSecurity>0</DocSecurity>
  <Lines>374</Lines>
  <Paragraphs>176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Raphael Koch</dc:creator>
  <cp:keywords/>
  <dc:description/>
  <cp:lastModifiedBy>Raphael Koch</cp:lastModifiedBy>
  <cp:revision>2</cp:revision>
  <dcterms:created xsi:type="dcterms:W3CDTF">2024-05-28T13:02:00Z</dcterms:created>
  <dcterms:modified xsi:type="dcterms:W3CDTF">2024-05-28T13:02:00Z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id="2HPYCKI3"/&gt;&lt;style id="http://www.zotero.org/styles/blood" hasBibliography="1" bibliographyStyleHasBeenSet="1"/&gt;&lt;prefs&gt;&lt;pref name="fieldType" value="Field"/&gt;&lt;/prefs&gt;&lt;/data&gt;</vt:lpwstr>
  </property>
</Properties>
</file>