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3"/>
        <w:tblW w:w="14490" w:type="dxa"/>
        <w:tblInd w:w="0" w:type="dxa"/>
        <w:tblLayout w:type="fixed"/>
        <w:tblCellMar>
          <w:top w:w="0" w:type="dxa"/>
          <w:left w:w="108" w:type="dxa"/>
          <w:bottom w:w="0" w:type="dxa"/>
          <w:right w:w="108" w:type="dxa"/>
        </w:tblCellMar>
      </w:tblPr>
      <w:tblGrid>
        <w:gridCol w:w="587"/>
        <w:gridCol w:w="1822"/>
        <w:gridCol w:w="7041"/>
        <w:gridCol w:w="720"/>
        <w:gridCol w:w="4320"/>
      </w:tblGrid>
      <w:tr>
        <w:tblPrEx>
          <w:tblLayout w:type="fixed"/>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7041"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Layout w:type="fixed"/>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7041"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We first used bioinformatics analysis to screen the differentially expressed genes</w:t>
            </w:r>
            <w:r>
              <w:rPr>
                <w:rFonts w:hint="eastAsia" w:ascii="Times New Roman" w:hAnsi="Times New Roman" w:cs="Times New Roman"/>
                <w:sz w:val="24"/>
              </w:rPr>
              <w:t xml:space="preserve"> (DEGs)</w:t>
            </w:r>
            <w:r>
              <w:rPr>
                <w:rFonts w:ascii="Times New Roman" w:hAnsi="Times New Roman" w:cs="Times New Roman"/>
                <w:sz w:val="24"/>
              </w:rPr>
              <w:t xml:space="preserve"> related to AA, and then analyzed large-scale eQTL data and AA GWAS summary data using Mendelian randomization (MR).</w:t>
            </w:r>
          </w:p>
        </w:tc>
      </w:tr>
      <w:tr>
        <w:tblPrEx>
          <w:tblLayout w:type="fixed"/>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shd w:val="clear" w:color="auto" w:fill="EEEEEE"/>
          </w:tcPr>
          <w:p>
            <w:pPr>
              <w:spacing w:before="96" w:beforeLines="40" w:after="96" w:afterLines="40" w:line="24" w:lineRule="atLeast"/>
              <w:rPr>
                <w:rFonts w:hint="eastAsia" w:ascii="Times New Roman" w:hAnsi="Times New Roman" w:eastAsia="宋体" w:cs="Times New Roman"/>
                <w:sz w:val="24"/>
                <w:lang w:val="en-US" w:eastAsia="zh-CN"/>
              </w:rPr>
            </w:pPr>
            <w:r>
              <w:rPr>
                <w:rFonts w:hint="eastAsia" w:ascii="Times New Roman" w:hAnsi="Times New Roman" w:eastAsia="Arial" w:cs="Times New Roman"/>
                <w:sz w:val="24"/>
                <w:lang w:val="en-US" w:eastAsia="zh-CN"/>
              </w:rPr>
              <w:t>T</w:t>
            </w:r>
            <w:r>
              <w:rPr>
                <w:rFonts w:ascii="Times New Roman" w:hAnsi="Times New Roman" w:eastAsia="Arial" w:cs="Times New Roman"/>
                <w:sz w:val="24"/>
                <w:lang w:val="en-GB" w:eastAsia="en-GB"/>
              </w:rPr>
              <w:t>he scientific background</w:t>
            </w:r>
            <w:r>
              <w:rPr>
                <w:rFonts w:hint="eastAsia" w:ascii="Times New Roman" w:hAnsi="Times New Roman" w:eastAsia="Arial" w:cs="Times New Roman"/>
                <w:sz w:val="24"/>
                <w:lang w:val="en-US" w:eastAsia="zh-CN"/>
              </w:rPr>
              <w:t xml:space="preserve">: </w:t>
            </w:r>
            <w:r>
              <w:rPr>
                <w:rFonts w:ascii="Times New Roman" w:hAnsi="Times New Roman" w:eastAsia="Arial" w:cs="Times New Roman"/>
                <w:sz w:val="24"/>
              </w:rPr>
              <w:t>A</w:t>
            </w:r>
            <w:r>
              <w:rPr>
                <w:rFonts w:ascii="Times New Roman" w:hAnsi="Times New Roman" w:cs="Times New Roman"/>
                <w:sz w:val="24"/>
              </w:rPr>
              <w:t>lopecia areata is a polygenic autoimmune disease, clinically characterized by the sudden appearance of well-defined rounded patches of alopecia, which may involve the scalp, beard, eyebrows, pubic hair and body hair, with the scalp being the most common site of onset</w:t>
            </w:r>
            <w:r>
              <w:rPr>
                <w:rFonts w:hint="eastAsia" w:ascii="Times New Roman" w:hAnsi="Times New Roman" w:eastAsia="宋体" w:cs="Times New Roman"/>
                <w:sz w:val="24"/>
                <w:lang w:val="en-US" w:eastAsia="zh-CN"/>
              </w:rPr>
              <w:t>.</w:t>
            </w:r>
          </w:p>
          <w:p>
            <w:pPr>
              <w:spacing w:before="96" w:beforeLines="40" w:after="96" w:afterLines="40" w:line="24" w:lineRule="atLeast"/>
              <w:rPr>
                <w:rFonts w:ascii="Times New Roman" w:hAnsi="Times New Roman" w:eastAsia="Arial" w:cs="Times New Roman"/>
                <w:sz w:val="24"/>
              </w:rPr>
            </w:pPr>
            <w:r>
              <w:rPr>
                <w:rFonts w:hint="eastAsia" w:ascii="Times New Roman" w:hAnsi="Times New Roman" w:eastAsia="宋体" w:cs="Times New Roman"/>
                <w:sz w:val="24"/>
                <w:lang w:val="en-US" w:eastAsia="zh-CN"/>
              </w:rPr>
              <w:t>T</w:t>
            </w:r>
            <w:r>
              <w:rPr>
                <w:rFonts w:ascii="Times New Roman" w:hAnsi="Times New Roman" w:eastAsia="Arial" w:cs="Times New Roman"/>
                <w:sz w:val="24"/>
                <w:lang w:val="en-GB" w:eastAsia="en-GB"/>
              </w:rPr>
              <w:t>he exposure</w:t>
            </w:r>
            <w:r>
              <w:rPr>
                <w:rFonts w:hint="eastAsia" w:ascii="Times New Roman" w:hAnsi="Times New Roman" w:eastAsia="Arial" w:cs="Times New Roman"/>
                <w:sz w:val="24"/>
                <w:lang w:val="en-US" w:eastAsia="zh-CN"/>
              </w:rPr>
              <w:t xml:space="preserve"> is: </w:t>
            </w:r>
            <w:r>
              <w:rPr>
                <w:rFonts w:ascii="Times New Roman" w:hAnsi="Times New Roman" w:eastAsia="Arial" w:cs="Times New Roman"/>
                <w:sz w:val="24"/>
              </w:rPr>
              <w:t>eQTL</w:t>
            </w:r>
          </w:p>
          <w:p>
            <w:pPr>
              <w:spacing w:before="96" w:beforeLines="40" w:after="96" w:afterLines="40" w:line="24" w:lineRule="atLeast"/>
              <w:rPr>
                <w:rFonts w:hint="eastAsia" w:ascii="Times New Roman" w:hAnsi="Times New Roman" w:eastAsia="Arial" w:cs="Times New Roman"/>
                <w:sz w:val="24"/>
                <w:lang w:val="en-US" w:eastAsia="zh-CN"/>
              </w:rPr>
            </w:pPr>
            <w:r>
              <w:rPr>
                <w:rFonts w:hint="eastAsia" w:ascii="Times New Roman" w:hAnsi="Times New Roman" w:eastAsia="Arial" w:cs="Times New Roman"/>
                <w:sz w:val="24"/>
                <w:lang w:val="en-US" w:eastAsia="zh-CN"/>
              </w:rPr>
              <w:t xml:space="preserve">There is a </w:t>
            </w:r>
            <w:r>
              <w:rPr>
                <w:rFonts w:ascii="Times New Roman" w:hAnsi="Times New Roman" w:eastAsia="Arial" w:cs="Times New Roman"/>
                <w:sz w:val="24"/>
                <w:lang w:val="en-GB" w:eastAsia="en-GB"/>
              </w:rPr>
              <w:t>causal relationship between exposure and outcome</w:t>
            </w:r>
            <w:r>
              <w:rPr>
                <w:rFonts w:hint="eastAsia" w:ascii="Times New Roman" w:hAnsi="Times New Roman" w:eastAsia="Arial" w:cs="Times New Roman"/>
                <w:sz w:val="24"/>
                <w:lang w:val="en-US" w:eastAsia="zh-CN"/>
              </w:rPr>
              <w:t>.</w:t>
            </w:r>
          </w:p>
          <w:p>
            <w:pPr>
              <w:spacing w:before="96" w:beforeLines="40" w:after="96" w:afterLines="40" w:line="24" w:lineRule="atLeast"/>
              <w:rPr>
                <w:rFonts w:hint="eastAsia" w:ascii="Times New Roman" w:hAnsi="Times New Roman" w:eastAsia="宋体" w:cs="Times New Roman"/>
                <w:sz w:val="24"/>
                <w:lang w:val="en-US" w:eastAsia="zh-CN"/>
              </w:rPr>
            </w:pPr>
            <w:r>
              <w:rPr>
                <w:rFonts w:hint="eastAsia" w:ascii="Times New Roman" w:hAnsi="Times New Roman" w:cs="Times New Roman"/>
                <w:sz w:val="24"/>
              </w:rPr>
              <w:t>MR</w:t>
            </w:r>
            <w:r>
              <w:rPr>
                <w:rFonts w:ascii="Times New Roman" w:hAnsi="Times New Roman" w:cs="Times New Roman"/>
                <w:sz w:val="24"/>
              </w:rPr>
              <w:t xml:space="preserve"> is a novel research methodology used to infer the causal role of genetically regulated expression of genes in disease pathogenesis, using genetic variation as an instrumental variable to assess the causal relationship between modifiable exposures or risk factors and disease-related outcomes. Mendelian randomization has been applied to the study of causal relationships between various exposure factors and diseases and has received significant attention in addressing epidemiological and human biology issues</w:t>
            </w:r>
            <w:r>
              <w:rPr>
                <w:rFonts w:hint="eastAsia" w:ascii="Times New Roman" w:hAnsi="Times New Roman" w:eastAsia="宋体" w:cs="Times New Roman"/>
                <w:sz w:val="24"/>
                <w:lang w:val="en-US" w:eastAsia="zh-CN"/>
              </w:rPr>
              <w:t>.</w:t>
            </w:r>
          </w:p>
        </w:tc>
      </w:tr>
      <w:tr>
        <w:tblPrEx>
          <w:tblLayout w:type="fixed"/>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7041"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tcBorders>
              <w:bottom w:val="single" w:color="7F7F7F" w:sz="6" w:space="0"/>
            </w:tcBorders>
          </w:tcPr>
          <w:p>
            <w:pPr>
              <w:spacing w:before="96" w:beforeLines="40" w:after="96" w:afterLines="40" w:line="24" w:lineRule="atLeast"/>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 xml:space="preserve">We want to find </w:t>
            </w:r>
            <w:r>
              <w:rPr>
                <w:rFonts w:ascii="Times New Roman" w:hAnsi="Times New Roman" w:cs="Times New Roman"/>
                <w:sz w:val="24"/>
              </w:rPr>
              <w:t>the most relevant causal genes of AA</w:t>
            </w:r>
            <w:r>
              <w:rPr>
                <w:rFonts w:hint="eastAsia" w:ascii="Times New Roman" w:hAnsi="Times New Roman" w:eastAsia="宋体" w:cs="Times New Roman"/>
                <w:sz w:val="24"/>
                <w:lang w:val="en-US" w:eastAsia="zh-CN"/>
              </w:rPr>
              <w:t>.</w:t>
            </w:r>
          </w:p>
          <w:p>
            <w:pPr>
              <w:spacing w:before="96" w:beforeLines="40" w:after="96" w:afterLines="40" w:line="24" w:lineRule="atLeast"/>
              <w:rPr>
                <w:rFonts w:hint="eastAsia" w:ascii="Times New Roman" w:hAnsi="Times New Roman" w:eastAsia="宋体" w:cs="Times New Roman"/>
                <w:sz w:val="24"/>
                <w:lang w:val="en-US" w:eastAsia="zh-CN"/>
              </w:rPr>
            </w:pPr>
            <w:r>
              <w:rPr>
                <w:rFonts w:ascii="Times New Roman" w:hAnsi="Times New Roman" w:cs="Times New Roman"/>
                <w:sz w:val="24"/>
              </w:rPr>
              <w:t>Mendelian randomization has been applied to the study of causal relationships between various exposure factors and diseases and has received significant attention in addressing epidemiological and human biology issues</w:t>
            </w:r>
            <w:r>
              <w:rPr>
                <w:rFonts w:hint="eastAsia" w:ascii="Times New Roman" w:hAnsi="Times New Roman" w:eastAsia="宋体" w:cs="Times New Roman"/>
                <w:sz w:val="24"/>
                <w:lang w:val="en-US" w:eastAsia="zh-CN"/>
              </w:rPr>
              <w:t>.</w:t>
            </w:r>
          </w:p>
        </w:tc>
      </w:tr>
      <w:tr>
        <w:tblPrEx>
          <w:tblLayout w:type="fixed"/>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7041"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pPr>
              <w:spacing w:before="96" w:beforeLines="40" w:after="96" w:afterLines="40" w:line="24" w:lineRule="atLeast"/>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3</w:t>
            </w:r>
          </w:p>
        </w:tc>
        <w:tc>
          <w:tcPr>
            <w:tcW w:w="4320"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r>
              <w:rPr>
                <w:rFonts w:ascii="Times New Roman" w:hAnsi="Times New Roman" w:cs="Times New Roman"/>
                <w:sz w:val="24"/>
              </w:rPr>
              <w:t xml:space="preserve">We </w:t>
            </w:r>
            <w:r>
              <w:rPr>
                <w:rFonts w:hint="eastAsia" w:ascii="Times New Roman" w:hAnsi="Times New Roman" w:eastAsia="宋体" w:cs="Times New Roman"/>
                <w:sz w:val="24"/>
                <w:lang w:val="en-US" w:eastAsia="zh-CN"/>
              </w:rPr>
              <w:t>use</w:t>
            </w:r>
            <w:r>
              <w:rPr>
                <w:rFonts w:ascii="Times New Roman" w:hAnsi="Times New Roman" w:cs="Times New Roman"/>
                <w:sz w:val="24"/>
              </w:rPr>
              <w:t xml:space="preserve"> the GEO database (https://www.ncbi.nlm.nih.gov/geo/) with the keyword "Alopecia areata" and found the dataset containing the AA disease group and normal control group, and GSE45512, GSE58573, GSE68801, GSE74761, and GSE80342 datasets were selected as the study subjects.</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20" w:type="dxa"/>
          </w:tcPr>
          <w:p>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4</w:t>
            </w:r>
          </w:p>
        </w:tc>
        <w:tc>
          <w:tcPr>
            <w:tcW w:w="4320" w:type="dxa"/>
          </w:tcPr>
          <w:p>
            <w:pPr>
              <w:spacing w:line="360" w:lineRule="auto"/>
              <w:rPr>
                <w:rFonts w:ascii="Times New Roman" w:hAnsi="Times New Roman" w:cs="Times New Roman"/>
                <w:sz w:val="24"/>
              </w:rPr>
            </w:pPr>
            <w:r>
              <w:rPr>
                <w:rFonts w:ascii="Times New Roman" w:hAnsi="Times New Roman" w:cs="Times New Roman"/>
                <w:sz w:val="24"/>
              </w:rPr>
              <w:t>Searching the data with the keyword "Alopecia areata" in https://gwas.mrcieu.ac.uk/, we found the GWAS data related to AA with the GWAS ID "finn-b-L12_ALOPECAREATA", including 16,380,450 SNPs, 289 disease samples and 211,139 control samples.</w:t>
            </w:r>
          </w:p>
          <w:p>
            <w:pPr>
              <w:spacing w:before="96" w:beforeLines="40" w:after="96" w:afterLines="40" w:line="24" w:lineRule="atLeast"/>
              <w:textAlignment w:val="baseline"/>
              <w:rPr>
                <w:rFonts w:eastAsia="Times New Roman"/>
                <w:sz w:val="18"/>
                <w:szCs w:val="18"/>
                <w:shd w:val="clear" w:color="auto" w:fill="FFFFFF"/>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宋体" w:cs="Times New Roman"/>
                <w:sz w:val="24"/>
                <w:lang w:val="en-US" w:eastAsia="zh-CN"/>
              </w:rPr>
              <w:t xml:space="preserve">We </w:t>
            </w:r>
            <w:r>
              <w:rPr>
                <w:rFonts w:ascii="Times New Roman" w:hAnsi="Times New Roman" w:cs="Times New Roman"/>
                <w:sz w:val="24"/>
              </w:rPr>
              <w:t xml:space="preserve">use the processed eQTL data as the exposed data file. Using the data of AA with GWAS ID "finn-b-L12-ALOPECAREATA" as the outcome data. </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4-5</w:t>
            </w:r>
          </w:p>
        </w:tc>
        <w:tc>
          <w:tcPr>
            <w:tcW w:w="4320" w:type="dxa"/>
          </w:tcPr>
          <w:p>
            <w:pPr>
              <w:spacing w:line="360" w:lineRule="auto"/>
              <w:rPr>
                <w:rFonts w:ascii="Times New Roman" w:hAnsi="Times New Roman" w:cs="Times New Roman"/>
                <w:sz w:val="24"/>
              </w:rPr>
            </w:pPr>
            <w:r>
              <w:rPr>
                <w:rFonts w:ascii="Times New Roman" w:hAnsi="Times New Roman" w:cs="Times New Roman"/>
                <w:sz w:val="24"/>
              </w:rPr>
              <w:t>MR analysis was then performed using five methods, MR Egger, Weighted median, Inverse variance weighted (IVW), Simple mode, Weighted mode. We calculate the OR value of the results, conduct heterogeneity analysis and validity testing, draw scatter plots and forest plots, and perform leave-one-out analysis. We read the result file of MR, extract the genes with pvalue &lt; 0.05 of IVW method, extract the genes with consistent OR direction of five methods, read the result file of pleiotropy, and eliminate the genes with pleiotropy pvalue less than 0.05 to get the candidate genes related to AA.</w:t>
            </w:r>
          </w:p>
          <w:p>
            <w:pPr>
              <w:spacing w:before="96" w:beforeLines="40" w:after="96" w:afterLines="40" w:line="24" w:lineRule="atLeast"/>
              <w:textAlignment w:val="baseline"/>
              <w:rPr>
                <w:rFonts w:eastAsia="Times New Roman"/>
                <w:sz w:val="18"/>
                <w:szCs w:val="18"/>
                <w:shd w:val="clear" w:color="auto" w:fill="FFFFFF"/>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5</w:t>
            </w:r>
          </w:p>
        </w:tc>
        <w:tc>
          <w:tcPr>
            <w:tcW w:w="4320" w:type="dxa"/>
            <w:shd w:val="clear" w:color="auto" w:fill="EEEEEE"/>
          </w:tcPr>
          <w:p>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ascii="Times New Roman" w:hAnsi="Times New Roman" w:eastAsia="Arial" w:cs="Times New Roman"/>
                <w:sz w:val="24"/>
                <w:lang w:val="en-US" w:eastAsia="zh-CN"/>
              </w:rPr>
              <w:t>We use the  public online database.</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In this study, sensitivity analysis includes heterogeneity analysis and pleiotropy analysis.</w:t>
            </w:r>
            <w:r>
              <w:rPr>
                <w:rFonts w:hint="eastAsia" w:ascii="Times New Roman" w:hAnsi="Times New Roman" w:cs="Times New Roman"/>
                <w:sz w:val="24"/>
                <w:lang w:val="en-US" w:eastAsia="zh-CN"/>
              </w:rPr>
              <w:t xml:space="preserve"> </w:t>
            </w:r>
            <w:r>
              <w:rPr>
                <w:rFonts w:ascii="Times New Roman" w:hAnsi="Times New Roman" w:cs="Times New Roman"/>
                <w:sz w:val="24"/>
              </w:rPr>
              <w:t>Heterogeneity analysis uses Cochran's Q statistic for heterogeneity evaluation, and MR Egger and IVW methods are used for heterogeneity testing to obtain p-values obtained from both methods.</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tcPr>
          <w:p>
            <w:pPr>
              <w:spacing w:line="360" w:lineRule="auto"/>
              <w:rPr>
                <w:rFonts w:ascii="Times New Roman" w:hAnsi="Times New Roman" w:cs="Times New Roman"/>
                <w:sz w:val="24"/>
              </w:rPr>
            </w:pPr>
            <w:r>
              <w:rPr>
                <w:rFonts w:ascii="Times New Roman" w:hAnsi="Times New Roman" w:cs="Times New Roman"/>
                <w:sz w:val="24"/>
              </w:rPr>
              <w:t>We load the "VariantAnnotation", "gwasglue", and "TwoSampleMR" packages in R language software, and use the processed eQTL data as the exposed data file. Using the data of AA with GWAS ID "finn-b-L12-ALOPECAREATA" as the outcome data. MR analysis was then performed using five methods, MR Egger, Weighted median, Inverse variance weighted (IVW), Simple mode, Weighted mode. We calculate the OR value of the results, conduct heterogeneity analysis and validity testing, draw scatter plots and forest plots, and perform leave-one-out analysis. We read the result file of MR, extract the genes with pvalue &lt; 0.05 of IVW method, extract the genes with consistent OR direction of five methods, read the result file of pleiotropy, and eliminate the genes with pleiotropy pvalue less than 0.05 to get the candidate genes related to AA.</w:t>
            </w:r>
          </w:p>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ascii="Times New Roman" w:hAnsi="Times New Roman" w:eastAsia="Arial" w:cs="Times New Roman"/>
                <w:sz w:val="24"/>
                <w:lang w:val="en-US" w:eastAsia="zh-CN"/>
              </w:rPr>
              <w:t xml:space="preserve">We use the R language software to </w:t>
            </w:r>
            <w:r>
              <w:rPr>
                <w:rFonts w:ascii="Times New Roman" w:hAnsi="Times New Roman" w:eastAsia="Arial" w:cs="Times New Roman"/>
                <w:sz w:val="24"/>
                <w:lang w:val="en-GB" w:eastAsia="en-GB"/>
              </w:rPr>
              <w:t>handle</w:t>
            </w:r>
            <w:r>
              <w:rPr>
                <w:rFonts w:hint="eastAsia" w:ascii="Times New Roman" w:hAnsi="Times New Roman" w:eastAsia="Arial" w:cs="Times New Roman"/>
                <w:sz w:val="24"/>
                <w:lang w:val="en-US" w:eastAsia="zh-CN"/>
              </w:rPr>
              <w:t xml:space="preserve"> in.</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SNPs with strong correlation with exposure data were found as instrumental variables for subsequent MR analysis based on p= 5e-8. The conditions kb = 10000 and r</w:t>
            </w:r>
            <w:r>
              <w:rPr>
                <w:rFonts w:ascii="Times New Roman" w:hAnsi="Times New Roman" w:cs="Times New Roman"/>
                <w:sz w:val="24"/>
                <w:vertAlign w:val="superscript"/>
              </w:rPr>
              <w:t>2</w:t>
            </w:r>
            <w:r>
              <w:rPr>
                <w:rFonts w:ascii="Times New Roman" w:hAnsi="Times New Roman" w:cs="Times New Roman"/>
                <w:sz w:val="24"/>
              </w:rPr>
              <w:t xml:space="preserve"> = 0.001 were set to remove chained unbalanced SNPs. Calculate the F-test value, filter the data based on F-value &gt; 10, remove the weak instrumental variables, and get the exposed data about the eQTL data.</w:t>
            </w:r>
            <w:r>
              <w:rPr>
                <w:rFonts w:hint="eastAsia" w:ascii="Times New Roman" w:hAnsi="Times New Roman" w:eastAsia="宋体" w:cs="Times New Roman"/>
                <w:sz w:val="24"/>
                <w:lang w:val="en-US" w:eastAsia="zh-CN"/>
              </w:rPr>
              <w:t xml:space="preserve"> </w:t>
            </w:r>
            <w:r>
              <w:rPr>
                <w:rFonts w:ascii="Times New Roman" w:hAnsi="Times New Roman" w:cs="Times New Roman"/>
                <w:sz w:val="24"/>
              </w:rPr>
              <w:t xml:space="preserve">Genes with p-value&lt;0.05 were extracted using the IVW method, and genes with the same OR direction were extracted using five methods. </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ascii="Times New Roman" w:hAnsi="Times New Roman" w:eastAsia="Arial" w:cs="Times New Roman"/>
                <w:sz w:val="24"/>
                <w:lang w:val="en-US" w:eastAsia="zh-CN"/>
              </w:rPr>
              <w:t xml:space="preserve">No </w:t>
            </w:r>
            <w:r>
              <w:rPr>
                <w:rFonts w:ascii="Times New Roman" w:hAnsi="Times New Roman" w:eastAsia="Arial" w:cs="Times New Roman"/>
                <w:sz w:val="24"/>
                <w:lang w:val="en-GB" w:eastAsia="en-GB"/>
              </w:rPr>
              <w:t>missing data</w:t>
            </w:r>
            <w:r>
              <w:rPr>
                <w:rFonts w:hint="eastAsia" w:ascii="Times New Roman" w:hAnsi="Times New Roman" w:eastAsia="宋体" w:cs="Times New Roman"/>
                <w:sz w:val="24"/>
                <w:lang w:val="en-US" w:eastAsia="zh-CN"/>
              </w:rPr>
              <w:t>.</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5,12</w:t>
            </w:r>
          </w:p>
        </w:tc>
        <w:tc>
          <w:tcPr>
            <w:tcW w:w="4320" w:type="dxa"/>
          </w:tcPr>
          <w:p>
            <w:pPr>
              <w:spacing w:before="96" w:beforeLines="40" w:after="96" w:afterLines="40" w:line="24" w:lineRule="atLeast"/>
              <w:rPr>
                <w:rFonts w:hint="eastAsia" w:eastAsia="宋体"/>
                <w:sz w:val="18"/>
                <w:szCs w:val="18"/>
                <w:lang w:val="en-US" w:eastAsia="zh-CN"/>
              </w:rPr>
            </w:pPr>
            <w:r>
              <w:rPr>
                <w:rFonts w:ascii="Times New Roman" w:hAnsi="Times New Roman" w:cs="Times New Roman"/>
                <w:sz w:val="24"/>
              </w:rPr>
              <w:t>In this study, sensitivity analysis includes heterogeneity analysis and pleiotropy analysis.</w:t>
            </w:r>
            <w:r>
              <w:rPr>
                <w:rFonts w:hint="eastAsia" w:ascii="Times New Roman" w:hAnsi="Times New Roman" w:eastAsia="宋体" w:cs="Times New Roman"/>
                <w:sz w:val="24"/>
                <w:lang w:val="en-US" w:eastAsia="zh-CN"/>
              </w:rPr>
              <w:t xml:space="preserve"> </w:t>
            </w:r>
            <w:r>
              <w:rPr>
                <w:rFonts w:ascii="Times New Roman" w:hAnsi="Times New Roman" w:cs="Times New Roman"/>
                <w:sz w:val="24"/>
              </w:rPr>
              <w:t>Using the GSE80342 dataset as the validation group</w:t>
            </w:r>
            <w:r>
              <w:rPr>
                <w:rFonts w:hint="eastAsia" w:ascii="Times New Roman" w:hAnsi="Times New Roman" w:eastAsia="宋体" w:cs="Times New Roman"/>
                <w:sz w:val="24"/>
                <w:lang w:val="en-US" w:eastAsia="zh-CN"/>
              </w:rPr>
              <w:t>.</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20" w:type="dxa"/>
            <w:shd w:val="clear" w:color="auto" w:fill="EEEEEE"/>
          </w:tcPr>
          <w:p>
            <w:pPr>
              <w:tabs>
                <w:tab w:val="left" w:pos="162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Heterogeneity analysis uses Cochran's Q statistic for heterogeneity evaluation, and MR Egger and IVW methods are used for heterogeneity testing to obtain p-values obtained from both methods. The p-value of the heterogeneity analysis obtained for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using both methods was greater than 0.05, indicating that there was no significant heterogeneity in the data, suggesting that the data were not intrusive. Pleiotropy analysis was performed by intercept in MR-Egger regression, and each of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was tested for pleiotropy, with p-values greater than 0.05, indicating that there was no pleiotropy in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suggesting that the instrumental variable did not influence the outcome through factors other than the exposure factor. </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Heterogeneity analysis uses Cochran's Q statistic for heterogeneity evaluation, and MR Egger and IVW methods are used for heterogeneity testing to obtain p-values obtained from both methods. The p-value of the heterogeneity analysis obtained for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using both methods was greater than 0.05, indicating that there was no significant heterogeneity in the data, suggesting that the data were not intrusive. Pleiotropy analysis was performed by intercept in MR-Egger regression, and each of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was tested for pleiotropy, with p-values greater than 0.05, indicating that there was no pleiotropy in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suggesting that the instrumental variable did not influence the outcome through factors other than the exposure factor. </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tcPr>
          <w:p>
            <w:pPr>
              <w:spacing w:before="96" w:beforeLines="40" w:after="96" w:afterLines="40" w:line="24" w:lineRule="atLeast"/>
              <w:rPr>
                <w:rFonts w:hint="default" w:eastAsia="宋体"/>
                <w:sz w:val="18"/>
                <w:szCs w:val="18"/>
                <w:lang w:val="en-US" w:eastAsia="zh-CN"/>
              </w:rPr>
            </w:pPr>
            <w:r>
              <w:rPr>
                <w:rFonts w:ascii="Times New Roman" w:hAnsi="Times New Roman" w:cs="Times New Roman"/>
                <w:sz w:val="24"/>
              </w:rPr>
              <w:t xml:space="preserve"> "VariantAnnotation", "gwasglue", and "TwoSampleMR" packages in R language software</w:t>
            </w:r>
            <w:r>
              <w:rPr>
                <w:rFonts w:hint="eastAsia" w:ascii="Times New Roman" w:hAnsi="Times New Roman" w:eastAsia="宋体" w:cs="Times New Roman"/>
                <w:sz w:val="24"/>
                <w:lang w:val="en-US" w:eastAsia="zh-CN"/>
              </w:rPr>
              <w:t xml:space="preserve"> (4.3.1).</w:t>
            </w:r>
          </w:p>
        </w:tc>
      </w:tr>
      <w:tr>
        <w:tblPrEx>
          <w:tblLayout w:type="fixed"/>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w:t>
            </w:r>
            <w:bookmarkStart w:id="0" w:name="_GoBack"/>
            <w:bookmarkEnd w:id="0"/>
          </w:p>
        </w:tc>
        <w:tc>
          <w:tcPr>
            <w:tcW w:w="43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ascii="Times New Roman" w:hAnsi="Times New Roman" w:eastAsia="Arial" w:cs="Times New Roman"/>
                <w:sz w:val="24"/>
                <w:lang w:val="en-US" w:eastAsia="zh-CN"/>
              </w:rPr>
              <w:t>Yes</w:t>
            </w:r>
          </w:p>
        </w:tc>
      </w:tr>
      <w:tr>
        <w:tblPrEx>
          <w:tblLayout w:type="fixed"/>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9</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drawing>
                <wp:inline distT="0" distB="0" distL="114300" distR="114300">
                  <wp:extent cx="2397125" cy="1598930"/>
                  <wp:effectExtent l="0" t="0" r="3175" b="127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6"/>
                          <a:stretch>
                            <a:fillRect/>
                          </a:stretch>
                        </pic:blipFill>
                        <pic:spPr>
                          <a:xfrm>
                            <a:off x="0" y="0"/>
                            <a:ext cx="2397125" cy="1598930"/>
                          </a:xfrm>
                          <a:prstGeom prst="rect">
                            <a:avLst/>
                          </a:prstGeom>
                          <a:noFill/>
                          <a:ln w="12700">
                            <a:noFill/>
                          </a:ln>
                        </pic:spPr>
                      </pic:pic>
                    </a:graphicData>
                  </a:graphic>
                </wp:inline>
              </w:drawing>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 In a MR analysis of gene GIMAP6 and AA, it was suggested that genetic prediction of AA was associated with an increased risk of gene GIMAP6 (IVW OR: 1.868; 95% CI: 1.175-2.970, p = 0.008). In a MR analysis of gene ALOX15 and AA, it was suggested that genetic prediction of AA was associated with an increased risk of gene ALOX15 (IVW OR: 1.616; 95% CI: 1.167-2.239, p = 0.004). In a MR analysis of gene GALNT6 and AA, it was suggested that genetic prediction of AA was associated with a reduced risk of gene GALNT6 (IVW OR: 0.710; 95% CI: 0.533-0.945, p = 0.019). In a MR analysis of gene HEG1 and AA, it was suggested that genetic prediction of AA was associated with a reduced risk of gene HEG1 (IVW OR: 0.648; 95% CI: 0.431-0.975, p = 0.037).</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Heterogeneity analysis uses Cochran's Q statistic for heterogeneity evaluation, and MR Egger and IVW methods are used for heterogeneity testing to obtain p-values obtained from both methods. The p-value of the heterogeneity analysis obtained for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using both methods was greater than 0.05, indicating that there was no significant heterogeneity in the data, suggesting that the data were not intrusive. </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9</w:t>
            </w:r>
          </w:p>
        </w:tc>
        <w:tc>
          <w:tcPr>
            <w:tcW w:w="4320" w:type="dxa"/>
            <w:shd w:val="clear" w:color="auto" w:fill="EEEEEE"/>
          </w:tcPr>
          <w:p>
            <w:pPr>
              <w:spacing w:before="96" w:beforeLines="40" w:after="96" w:afterLines="40" w:line="24" w:lineRule="atLeast"/>
              <w:rPr>
                <w:rFonts w:hint="eastAsia" w:ascii="Times New Roman" w:hAnsi="Times New Roman" w:eastAsia="Arial" w:cs="Times New Roman"/>
                <w:color w:val="auto"/>
                <w:sz w:val="24"/>
                <w:lang w:val="en-US" w:eastAsia="zh-CN"/>
              </w:rPr>
            </w:pPr>
            <w:r>
              <w:rPr>
                <w:rFonts w:hint="eastAsia" w:ascii="Times New Roman" w:hAnsi="Times New Roman" w:eastAsia="Arial" w:cs="Times New Roman"/>
                <w:color w:val="auto"/>
                <w:sz w:val="24"/>
                <w:lang w:val="en-US" w:eastAsia="zh-CN"/>
              </w:rPr>
              <w:t>SNP.</w:t>
            </w:r>
          </w:p>
          <w:p>
            <w:pPr>
              <w:spacing w:before="96" w:beforeLines="40" w:after="96" w:afterLines="40" w:line="24" w:lineRule="atLeast"/>
              <w:rPr>
                <w:rFonts w:hint="default" w:eastAsia="宋体"/>
                <w:sz w:val="18"/>
                <w:szCs w:val="18"/>
                <w:lang w:val="en-US" w:eastAsia="zh-CN"/>
              </w:rPr>
            </w:pPr>
            <w:r>
              <w:rPr>
                <w:rFonts w:ascii="Times New Roman" w:hAnsi="Times New Roman" w:cs="Times New Roman"/>
                <w:sz w:val="24"/>
              </w:rPr>
              <w:drawing>
                <wp:inline distT="0" distB="0" distL="114300" distR="114300">
                  <wp:extent cx="2475230" cy="2117090"/>
                  <wp:effectExtent l="0" t="0" r="1270" b="16510"/>
                  <wp:docPr id="24" name="图片 2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
                          <pic:cNvPicPr>
                            <a:picLocks noChangeAspect="1"/>
                          </pic:cNvPicPr>
                        </pic:nvPicPr>
                        <pic:blipFill>
                          <a:blip r:embed="rId7"/>
                          <a:stretch>
                            <a:fillRect/>
                          </a:stretch>
                        </pic:blipFill>
                        <pic:spPr>
                          <a:xfrm>
                            <a:off x="0" y="0"/>
                            <a:ext cx="2475230" cy="2117090"/>
                          </a:xfrm>
                          <a:prstGeom prst="rect">
                            <a:avLst/>
                          </a:prstGeom>
                        </pic:spPr>
                      </pic:pic>
                    </a:graphicData>
                  </a:graphic>
                </wp:inline>
              </w:drawing>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8</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In the forest plot for gene GIMAP6, three SNPs were included, and the combined effect value of these three SNPs was greater than 0, indicating that gene GIMAP6 was a risk factor. In the forest plot for gene ALOX15, three SNPs were included, and the combined effect value of these three SNPs was greater than 0, indicating that gene ALOX15 was a risk factor. In the forest plot for gene GALNT6, three SNPs were included, and the combined effect value of these three SNPs was less than 0, indicating that gene GALNT6 was a protective factor. In the forest plot for gene HEG1, four SNPs were included, and the combined effect value of these four SNPs was less than 0, indicating that gene HEG1 was a protective factor. </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8</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The slopes of the five lines in the scatter plot of genes GIMAP6 and ALOX15 are greater than 0, indicating that genes GIMAP6 and ALOX15 are high-risk genes. The slopes of the five lines in the scatter plot of genes GALNT6 and HEG1 are less than 0, indicating that genes GALNT6 and HEG1 are low-risk genes. </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9</w:t>
            </w:r>
          </w:p>
        </w:tc>
        <w:tc>
          <w:tcPr>
            <w:tcW w:w="43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ascii="Times New Roman" w:hAnsi="Times New Roman" w:eastAsia="Arial" w:cs="Times New Roman"/>
                <w:sz w:val="24"/>
                <w:lang w:val="en-US" w:eastAsia="zh-CN"/>
              </w:rPr>
              <w:t>Yes.</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10</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color w:val="000000"/>
                <w:sz w:val="24"/>
                <w:shd w:val="clear" w:color="auto" w:fill="FFFFFF"/>
              </w:rPr>
              <w:drawing>
                <wp:inline distT="0" distB="0" distL="114300" distR="114300">
                  <wp:extent cx="2549525" cy="2272665"/>
                  <wp:effectExtent l="0" t="0" r="3175" b="13335"/>
                  <wp:docPr id="10" name="图片 5" descr="散点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散点图"/>
                          <pic:cNvPicPr>
                            <a:picLocks noChangeAspect="1"/>
                          </pic:cNvPicPr>
                        </pic:nvPicPr>
                        <pic:blipFill>
                          <a:blip r:embed="rId8"/>
                          <a:stretch>
                            <a:fillRect/>
                          </a:stretch>
                        </pic:blipFill>
                        <pic:spPr>
                          <a:xfrm>
                            <a:off x="0" y="0"/>
                            <a:ext cx="2549525" cy="2272665"/>
                          </a:xfrm>
                          <a:prstGeom prst="rect">
                            <a:avLst/>
                          </a:prstGeom>
                        </pic:spPr>
                      </pic:pic>
                    </a:graphicData>
                  </a:graphic>
                </wp:inline>
              </w:drawing>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320" w:type="dxa"/>
          </w:tcPr>
          <w:p>
            <w:pPr>
              <w:spacing w:line="360" w:lineRule="auto"/>
              <w:jc w:val="left"/>
              <w:rPr>
                <w:rFonts w:ascii="Times New Roman" w:hAnsi="Times New Roman" w:cs="Times New Roman"/>
                <w:sz w:val="24"/>
              </w:rPr>
            </w:pPr>
            <w:r>
              <w:rPr>
                <w:rFonts w:hint="eastAsia" w:ascii="Times New Roman" w:hAnsi="Times New Roman" w:cs="Times New Roman"/>
                <w:sz w:val="24"/>
              </w:rPr>
              <w:t>V</w:t>
            </w:r>
            <w:r>
              <w:rPr>
                <w:rFonts w:ascii="Times New Roman" w:hAnsi="Times New Roman" w:cs="Times New Roman"/>
                <w:sz w:val="24"/>
              </w:rPr>
              <w:t>alidation analysis</w:t>
            </w:r>
            <w:r>
              <w:rPr>
                <w:rFonts w:hint="eastAsia" w:ascii="Times New Roman" w:hAnsi="Times New Roman" w:cs="Times New Roman"/>
                <w:sz w:val="24"/>
              </w:rPr>
              <w:t xml:space="preserve"> showed </w:t>
            </w:r>
            <w:r>
              <w:rPr>
                <w:rFonts w:ascii="Times New Roman" w:hAnsi="Times New Roman" w:cs="Times New Roman"/>
                <w:sz w:val="24"/>
              </w:rPr>
              <w:t>that the genes GALNT6 and HEG1 were significantly different in the validation group, and the expression of GALNT6 and HEG1 was lower in the AA control group than in the normal control group. The genes GIMAP6 and ALOX15 did not differ significantly in the validation group, which may be related to the small sample size of the validation group, and a larger sample size is needed for validation.</w:t>
            </w:r>
          </w:p>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The p-value of the heterogeneity analysis obtained for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using both methods was greater than 0.05</w:t>
            </w:r>
            <w:r>
              <w:rPr>
                <w:rFonts w:hint="eastAsia" w:ascii="Times New Roman" w:hAnsi="Times New Roman" w:eastAsia="宋体" w:cs="Times New Roman"/>
                <w:sz w:val="24"/>
                <w:lang w:val="en-US" w:eastAsia="zh-CN"/>
              </w:rPr>
              <w:t>.</w:t>
            </w:r>
            <w:r>
              <w:rPr>
                <w:rFonts w:ascii="Times New Roman" w:hAnsi="Times New Roman" w:cs="Times New Roman"/>
                <w:sz w:val="24"/>
              </w:rPr>
              <w:t xml:space="preserve"> </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Pleiotropy analysis was performed by intercept in MR-Egger regression, and each of the four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was tested for pleiotropy, with p-values greater than 0.05. </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GO enrichment analysis includes the biological process involved (BP), the molecular function of the genes (MF) and the cellular component (CC).</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shd w:val="clear" w:color="auto" w:fill="EEEEEE"/>
          </w:tcPr>
          <w:p>
            <w:pPr>
              <w:spacing w:before="96" w:beforeLines="40" w:after="96" w:afterLines="40" w:line="24" w:lineRule="atLeast"/>
              <w:rPr>
                <w:rFonts w:ascii="Times New Roman" w:hAnsi="Times New Roman" w:eastAsia="Arial" w:cs="Times New Roman"/>
                <w:sz w:val="24"/>
              </w:rPr>
            </w:pPr>
            <w:r>
              <w:rPr>
                <w:rFonts w:ascii="Times New Roman" w:hAnsi="Times New Roman" w:eastAsia="Arial" w:cs="Times New Roman"/>
                <w:sz w:val="24"/>
              </w:rPr>
              <w:t>Acquisition of exposure data (eQTL data) and outcome data (AA GWAS)</w:t>
            </w:r>
          </w:p>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tcPr>
          <w:p>
            <w:pPr>
              <w:spacing w:before="96" w:beforeLines="40" w:after="96" w:afterLines="40" w:line="24" w:lineRule="atLeast"/>
              <w:rPr>
                <w:rFonts w:hint="default" w:eastAsia="宋体"/>
                <w:sz w:val="18"/>
                <w:szCs w:val="18"/>
                <w:lang w:val="en-US" w:eastAsia="zh-CN"/>
              </w:rPr>
            </w:pPr>
            <w:r>
              <w:rPr>
                <w:rFonts w:hint="eastAsia" w:ascii="Times New Roman" w:hAnsi="Times New Roman" w:eastAsia="Arial" w:cs="Times New Roman"/>
                <w:sz w:val="24"/>
                <w:lang w:val="en-US" w:eastAsia="zh-CN"/>
              </w:rPr>
              <w:t xml:space="preserve">The </w:t>
            </w:r>
            <w:r>
              <w:rPr>
                <w:rFonts w:ascii="Times New Roman" w:hAnsi="Times New Roman" w:eastAsia="Arial" w:cs="Times New Roman"/>
                <w:sz w:val="24"/>
                <w:lang w:val="en-GB" w:eastAsia="en-GB"/>
              </w:rPr>
              <w:t>sensitivity analys</w:t>
            </w:r>
            <w:r>
              <w:rPr>
                <w:rFonts w:hint="eastAsia" w:ascii="Times New Roman" w:hAnsi="Times New Roman" w:eastAsia="Arial" w:cs="Times New Roman"/>
                <w:sz w:val="24"/>
                <w:lang w:val="en-US" w:eastAsia="zh-CN"/>
              </w:rPr>
              <w:t>is is more higher.</w:t>
            </w:r>
          </w:p>
        </w:tc>
      </w:tr>
      <w:tr>
        <w:tblPrEx>
          <w:tblLayout w:type="fixed"/>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ascii="Times New Roman" w:hAnsi="Times New Roman" w:cs="Times New Roman"/>
                <w:color w:val="000000"/>
                <w:sz w:val="24"/>
                <w:shd w:val="clear" w:color="auto" w:fill="FFFFFF"/>
              </w:rPr>
              <w:drawing>
                <wp:inline distT="0" distB="0" distL="114300" distR="114300">
                  <wp:extent cx="2538730" cy="1886585"/>
                  <wp:effectExtent l="0" t="0" r="13970" b="18415"/>
                  <wp:docPr id="12" name="图片 11" descr="留一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留一法"/>
                          <pic:cNvPicPr>
                            <a:picLocks noChangeAspect="1"/>
                          </pic:cNvPicPr>
                        </pic:nvPicPr>
                        <pic:blipFill>
                          <a:blip r:embed="rId9"/>
                          <a:stretch>
                            <a:fillRect/>
                          </a:stretch>
                        </pic:blipFill>
                        <pic:spPr>
                          <a:xfrm>
                            <a:off x="0" y="0"/>
                            <a:ext cx="2538730" cy="1886585"/>
                          </a:xfrm>
                          <a:prstGeom prst="rect">
                            <a:avLst/>
                          </a:prstGeom>
                        </pic:spPr>
                      </pic:pic>
                    </a:graphicData>
                  </a:graphic>
                </wp:inline>
              </w:drawing>
            </w:r>
          </w:p>
        </w:tc>
      </w:tr>
      <w:tr>
        <w:tblPrEx>
          <w:tblLayout w:type="fixed"/>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2</w:t>
            </w:r>
          </w:p>
        </w:tc>
        <w:tc>
          <w:tcPr>
            <w:tcW w:w="4320" w:type="dxa"/>
            <w:shd w:val="clear" w:color="auto" w:fill="EEEEEE"/>
          </w:tcPr>
          <w:p>
            <w:pPr>
              <w:spacing w:line="360" w:lineRule="auto"/>
              <w:rPr>
                <w:rFonts w:ascii="Times New Roman" w:hAnsi="Times New Roman" w:cs="Times New Roman"/>
                <w:sz w:val="24"/>
              </w:rPr>
            </w:pPr>
            <w:r>
              <w:rPr>
                <w:rFonts w:ascii="Times New Roman" w:hAnsi="Times New Roman" w:cs="Times New Roman"/>
                <w:sz w:val="24"/>
              </w:rPr>
              <w:t>In this study, we identified four c</w:t>
            </w:r>
            <w:r>
              <w:rPr>
                <w:rFonts w:hint="eastAsia" w:ascii="Times New Roman" w:hAnsi="Times New Roman" w:cs="Times New Roman"/>
                <w:sz w:val="24"/>
              </w:rPr>
              <w:t>ausal</w:t>
            </w:r>
            <w:r>
              <w:rPr>
                <w:rFonts w:ascii="Times New Roman" w:hAnsi="Times New Roman" w:cs="Times New Roman"/>
                <w:sz w:val="24"/>
              </w:rPr>
              <w:t xml:space="preserve"> genes for AA and found that genes GIMAP6 and ALOX15 are risk factors for AA and genes GALNT6 and HEG1 are protective factors for AA. Our data analysis showed significant differences between the GALNT6 and HEG1 genes in the validation group. This study will provide new research directions for the pathogenesis and clinical diagnosis and treatment of AA.</w:t>
            </w:r>
          </w:p>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21</w:t>
            </w:r>
          </w:p>
        </w:tc>
        <w:tc>
          <w:tcPr>
            <w:tcW w:w="4320" w:type="dxa"/>
          </w:tcPr>
          <w:p>
            <w:pPr>
              <w:spacing w:line="360" w:lineRule="auto"/>
              <w:rPr>
                <w:rFonts w:ascii="Times New Roman" w:hAnsi="Times New Roman" w:cs="Times New Roman"/>
                <w:sz w:val="24"/>
              </w:rPr>
            </w:pPr>
            <w:r>
              <w:rPr>
                <w:rFonts w:ascii="Times New Roman" w:hAnsi="Times New Roman" w:cs="Times New Roman"/>
                <w:sz w:val="24"/>
              </w:rPr>
              <w:t>Human genetics research has provided opportunities for the development of new drugs for many diseases, and this study hopes to provide new research directions for the pathogenesis and clinical treatment of AA. In the future, larger samples as well as basic clinical studies will be needed to validate the current findings.</w:t>
            </w:r>
          </w:p>
          <w:p>
            <w:pPr>
              <w:spacing w:before="96" w:beforeLines="40" w:after="96" w:afterLines="40" w:line="24" w:lineRule="atLeast"/>
              <w:rPr>
                <w:rFonts w:eastAsia="Times New Roman"/>
                <w:sz w:val="18"/>
                <w:szCs w:val="18"/>
                <w:lang w:val="en-GB" w:eastAsia="en-GB"/>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20</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We found that there were significant differences between the GALNT6 and HEG1 genes in the validation group, and their expression levels in the AA experimental group were lower than those in the normal control group. This is consistent with the results of our mendelian randomization study. Unfortunately, the genes GIMAP6 and ALOX15 did not differ significantly in the validation group, which may be related to the small sample size of the validation group, and a larger sample size is needed for validation.Understanding the genetic variation in AA helps to understand the mechanisms that lead to its development and helps to identify susceptible individuals.</w:t>
            </w: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shd w:val="clear" w:color="auto" w:fill="EEEEEE"/>
          </w:tcPr>
          <w:p>
            <w:pPr>
              <w:spacing w:before="96" w:beforeLines="40" w:after="96" w:afterLines="40" w:line="24" w:lineRule="atLeast"/>
              <w:rPr>
                <w:rFonts w:hint="eastAsia" w:eastAsia="宋体"/>
                <w:sz w:val="18"/>
                <w:szCs w:val="18"/>
                <w:lang w:val="en-US" w:eastAsia="zh-CN"/>
              </w:rPr>
            </w:pPr>
            <w:r>
              <w:rPr>
                <w:rFonts w:ascii="Times New Roman" w:hAnsi="Times New Roman" w:cs="Times New Roman"/>
                <w:sz w:val="24"/>
              </w:rPr>
              <w:t>Alopecia areata is a polygenic autoimmune disease, clinically characterized by the sudden appearance of well-defined rounded patches of alopecia, which may involve the scalp, beard, eyebrows, pubic hair and body hair, with the scalp being the most common site of onset [1]. Its etiology and pathogenesis are not yet clear, and it is the result of a combination of genetic, immune, and environmental factors [2]. The global prevalence of AA ranges from 0.57% to 3.8%</w:t>
            </w:r>
            <w:r>
              <w:rPr>
                <w:rFonts w:hint="eastAsia" w:ascii="Times New Roman" w:hAnsi="Times New Roman" w:eastAsia="宋体" w:cs="Times New Roman"/>
                <w:sz w:val="24"/>
                <w:lang w:val="en-US" w:eastAsia="zh-CN"/>
              </w:rPr>
              <w:t xml:space="preserve">. </w:t>
            </w:r>
            <w:r>
              <w:rPr>
                <w:rFonts w:hint="eastAsia" w:ascii="Times New Roman" w:hAnsi="Times New Roman" w:cs="Times New Roman"/>
                <w:sz w:val="24"/>
              </w:rPr>
              <w:t>MR</w:t>
            </w:r>
            <w:r>
              <w:rPr>
                <w:rFonts w:ascii="Times New Roman" w:hAnsi="Times New Roman" w:cs="Times New Roman"/>
                <w:sz w:val="24"/>
              </w:rPr>
              <w:t xml:space="preserve"> is a novel research methodology used to infer the causal role of genetically regulated expression of genes in disease pathogenesis, using genetic variation as an instrumental variable to assess the causal relationship between modifiable exposures or risk factors and disease-related outcomes</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20" w:type="dxa"/>
          </w:tcPr>
          <w:p>
            <w:pPr>
              <w:tabs>
                <w:tab w:val="left" w:pos="135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21</w:t>
            </w:r>
          </w:p>
        </w:tc>
        <w:tc>
          <w:tcPr>
            <w:tcW w:w="4320" w:type="dxa"/>
          </w:tcPr>
          <w:p>
            <w:pPr>
              <w:spacing w:line="360" w:lineRule="auto"/>
              <w:jc w:val="left"/>
              <w:rPr>
                <w:rFonts w:eastAsia="Times New Roman"/>
                <w:sz w:val="18"/>
                <w:szCs w:val="18"/>
                <w:lang w:val="en-GB" w:eastAsia="en-GB"/>
              </w:rPr>
            </w:pPr>
            <w:r>
              <w:rPr>
                <w:rFonts w:hint="eastAsia" w:ascii="Times New Roman" w:hAnsi="Times New Roman" w:eastAsia="宋体" w:cs="Times New Roman"/>
                <w:sz w:val="24"/>
                <w:lang w:val="en-US" w:eastAsia="zh-CN"/>
              </w:rPr>
              <w:t>T</w:t>
            </w:r>
            <w:r>
              <w:rPr>
                <w:rFonts w:ascii="Times New Roman" w:hAnsi="Times New Roman" w:cs="Times New Roman"/>
                <w:sz w:val="24"/>
              </w:rPr>
              <w:t xml:space="preserve">he screened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were subjected to the validation analysis of the experimental group of AA and the normal control group, and the genes GALNT6 and HEG1 were found to be significant differences in the validation group.The aim of this study is to find the </w:t>
            </w:r>
            <w:r>
              <w:rPr>
                <w:rFonts w:hint="default" w:ascii="Times New Roman" w:hAnsi="Times New Roman" w:cs="Times New Roman"/>
                <w:color w:val="auto"/>
                <w:sz w:val="24"/>
                <w:lang w:val="en-US" w:eastAsia="zh-CN"/>
              </w:rPr>
              <w:t>c</w:t>
            </w:r>
            <w:r>
              <w:rPr>
                <w:rFonts w:hint="default" w:ascii="Times New Roman" w:hAnsi="Times New Roman" w:cs="Times New Roman"/>
                <w:color w:val="auto"/>
                <w:sz w:val="24"/>
              </w:rPr>
              <w:t>ausal</w:t>
            </w:r>
            <w:r>
              <w:rPr>
                <w:rFonts w:ascii="Times New Roman" w:hAnsi="Times New Roman" w:cs="Times New Roman"/>
                <w:sz w:val="24"/>
              </w:rPr>
              <w:t xml:space="preserve"> genes related to AA and provide a new research direction for the pathogenesis and clinical treatment of AA.</w:t>
            </w:r>
          </w:p>
        </w:tc>
      </w:tr>
      <w:tr>
        <w:tblPrEx>
          <w:tblLayout w:type="fixed"/>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21</w:t>
            </w: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宋体" w:cs="Times New Roman"/>
                <w:sz w:val="24"/>
                <w:lang w:val="en-US" w:eastAsia="zh-CN"/>
              </w:rPr>
              <w:t>B</w:t>
            </w:r>
            <w:r>
              <w:rPr>
                <w:rFonts w:ascii="Times New Roman" w:hAnsi="Times New Roman" w:cs="Times New Roman"/>
                <w:sz w:val="24"/>
              </w:rPr>
              <w:t xml:space="preserve">y using Mendelian randomization to analyze the large-scale eQTL data and AA GWAS summary data, 182 candidate genes associated with AA were screened, and the two were taken as intersections to obtain four intersecting genes. </w:t>
            </w:r>
          </w:p>
        </w:tc>
      </w:tr>
      <w:tr>
        <w:tblPrEx>
          <w:tblLayout w:type="fixed"/>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Layout w:type="fixed"/>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21</w:t>
            </w:r>
          </w:p>
        </w:tc>
        <w:tc>
          <w:tcPr>
            <w:tcW w:w="43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ascii="Times New Roman" w:hAnsi="Times New Roman" w:eastAsia="Arial" w:cs="Times New Roman"/>
                <w:sz w:val="24"/>
                <w:lang w:val="en-US" w:eastAsia="zh-CN"/>
              </w:rPr>
              <w:t>The study design and further studies.</w:t>
            </w:r>
          </w:p>
        </w:tc>
      </w:tr>
      <w:tr>
        <w:tblPrEx>
          <w:tblLayout w:type="fixed"/>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22</w:t>
            </w:r>
          </w:p>
        </w:tc>
        <w:tc>
          <w:tcPr>
            <w:tcW w:w="4320" w:type="dxa"/>
          </w:tcPr>
          <w:p>
            <w:pPr>
              <w:keepNext w:val="0"/>
              <w:keepLines w:val="0"/>
              <w:widowControl/>
              <w:suppressLineNumbers w:val="0"/>
              <w:spacing w:line="360" w:lineRule="auto"/>
              <w:jc w:val="left"/>
              <w:rPr>
                <w:rFonts w:hint="default" w:ascii="Times New Roman" w:hAnsi="Times New Roman" w:cs="Times New Roman"/>
                <w:color w:val="000000" w:themeColor="text1"/>
                <w:sz w:val="24"/>
                <w:lang w:val="en-US"/>
                <w14:textFill>
                  <w14:solidFill>
                    <w14:schemeClr w14:val="tx1"/>
                  </w14:solidFill>
                </w14:textFill>
              </w:rPr>
            </w:pPr>
            <w:r>
              <w:rPr>
                <w:rFonts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The public data that support the findings of this study are</w:t>
            </w:r>
            <w:r>
              <w:rPr>
                <w:rFonts w:hint="default"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 xml:space="preserve"> </w:t>
            </w:r>
            <w:r>
              <w:rPr>
                <w:rFonts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available from</w:t>
            </w:r>
            <w:r>
              <w:rPr>
                <w:rFonts w:hint="default"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 xml:space="preserve"> </w:t>
            </w:r>
          </w:p>
          <w:p>
            <w:pPr>
              <w:spacing w:line="360" w:lineRule="auto"/>
              <w:jc w:val="left"/>
              <w:rPr>
                <w:rFonts w:hint="default" w:eastAsia="Times New Roman"/>
                <w:sz w:val="18"/>
                <w:szCs w:val="18"/>
                <w:lang w:val="en-US" w:eastAsia="en-GB"/>
              </w:rPr>
            </w:pPr>
            <w:r>
              <w:rPr>
                <w:rFonts w:ascii="Times New Roman" w:hAnsi="Times New Roman" w:cs="Times New Roman"/>
                <w:color w:val="000000" w:themeColor="text1"/>
                <w:sz w:val="24"/>
                <w14:textFill>
                  <w14:solidFill>
                    <w14:schemeClr w14:val="tx1"/>
                  </w14:solidFill>
                </w14:textFill>
              </w:rPr>
              <w:t>https://www.ncbi.nlm.nih.gov/geo/</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and </w:t>
            </w:r>
            <w:r>
              <w:rPr>
                <w:rFonts w:ascii="Times New Roman" w:hAnsi="Times New Roman" w:cs="Times New Roman"/>
                <w:color w:val="000000" w:themeColor="text1"/>
                <w:sz w:val="24"/>
                <w14:textFill>
                  <w14:solidFill>
                    <w14:schemeClr w14:val="tx1"/>
                  </w14:solidFill>
                </w14:textFill>
              </w:rPr>
              <w:fldChar w:fldCharType="begin"/>
            </w:r>
            <w:r>
              <w:rPr>
                <w:rFonts w:ascii="Times New Roman" w:hAnsi="Times New Roman" w:cs="Times New Roman"/>
                <w:color w:val="000000" w:themeColor="text1"/>
                <w:sz w:val="24"/>
                <w14:textFill>
                  <w14:solidFill>
                    <w14:schemeClr w14:val="tx1"/>
                  </w14:solidFill>
                </w14:textFill>
              </w:rPr>
              <w:instrText xml:space="preserve"> HYPERLINK "https://gwas.mrcieu.ac.uk/." </w:instrText>
            </w:r>
            <w:r>
              <w:rPr>
                <w:rFonts w:ascii="Times New Roman" w:hAnsi="Times New Roman" w:cs="Times New Roman"/>
                <w:color w:val="000000" w:themeColor="text1"/>
                <w:sz w:val="24"/>
                <w14:textFill>
                  <w14:solidFill>
                    <w14:schemeClr w14:val="tx1"/>
                  </w14:solidFill>
                </w14:textFill>
              </w:rPr>
              <w:fldChar w:fldCharType="separate"/>
            </w:r>
            <w:r>
              <w:rPr>
                <w:rFonts w:ascii="Times New Roman" w:hAnsi="Times New Roman" w:cs="Times New Roman"/>
                <w:color w:val="000000" w:themeColor="text1"/>
                <w:sz w:val="24"/>
                <w14:textFill>
                  <w14:solidFill>
                    <w14:schemeClr w14:val="tx1"/>
                  </w14:solidFill>
                </w14:textFill>
              </w:rPr>
              <w:t>https://gwas.mrcieu.ac.uk/</w:t>
            </w:r>
            <w:r>
              <w:rPr>
                <w:rFonts w:hint="default" w:ascii="Times New Roman" w:hAnsi="Times New Roman" w:cs="Times New Roman"/>
                <w:color w:val="000000" w:themeColor="text1"/>
                <w:sz w:val="24"/>
                <w:lang w:val="en-US" w:eastAsia="zh-CN"/>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 xml:space="preserve"> Other data and  information can be obtained from the corresponding author. </w:t>
            </w:r>
          </w:p>
        </w:tc>
      </w:tr>
      <w:tr>
        <w:tblPrEx>
          <w:tblLayout w:type="fixed"/>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22</w:t>
            </w:r>
          </w:p>
        </w:tc>
        <w:tc>
          <w:tcPr>
            <w:tcW w:w="4320" w:type="dxa"/>
            <w:tcBorders>
              <w:bottom w:val="single" w:color="7F7F7F" w:sz="6" w:space="0"/>
            </w:tcBorders>
            <w:shd w:val="clear" w:color="auto" w:fill="EEEEEE"/>
          </w:tcPr>
          <w:p>
            <w:pPr>
              <w:widowControl/>
              <w:spacing w:line="240" w:lineRule="auto"/>
              <w:jc w:val="left"/>
              <w:rPr>
                <w:rFonts w:eastAsia="Times New Roman"/>
                <w:sz w:val="18"/>
                <w:szCs w:val="18"/>
                <w:lang w:val="en-GB" w:eastAsia="en-GB"/>
              </w:rPr>
            </w:pPr>
            <w:r>
              <w:rPr>
                <w:rFonts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The authors declare no conflicts of interest.</w:t>
            </w: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3" w:type="default"/>
      <w:footerReference r:id="rId4" w:type="even"/>
      <w:pgSz w:w="15840" w:h="12240" w:orient="landscape"/>
      <w:pgMar w:top="1008" w:right="720" w:bottom="1008" w:left="720" w:header="720" w:footer="720" w:gutter="0"/>
      <w:pgNumType w:start="1"/>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05075146"/>
    <w:rsid w:val="1A27311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680"/>
        <w:tab w:val="right" w:pos="9360"/>
      </w:tabs>
      <w:spacing w:line="240" w:lineRule="auto"/>
    </w:pPr>
  </w:style>
  <w:style w:type="character" w:styleId="5">
    <w:name w:val="page number"/>
    <w:basedOn w:val="4"/>
    <w:semiHidden/>
    <w:unhideWhenUsed/>
    <w:uiPriority w:val="99"/>
  </w:style>
  <w:style w:type="character" w:styleId="6">
    <w:name w:val="line number"/>
    <w:basedOn w:val="4"/>
    <w:semiHidden/>
    <w:unhideWhenUsed/>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DA32DB-E5B8-4E32-AD11-08F2E668867B}">
  <ds:schemaRefs/>
</ds:datastoreItem>
</file>

<file path=customXml/itemProps3.xml><?xml version="1.0" encoding="utf-8"?>
<ds:datastoreItem xmlns:ds="http://schemas.openxmlformats.org/officeDocument/2006/customXml" ds:itemID="{9FB0931C-FCE2-4CC4-80DE-15614B41F1F9}">
  <ds:schemaRefs/>
</ds:datastoreItem>
</file>

<file path=customXml/itemProps4.xml><?xml version="1.0" encoding="utf-8"?>
<ds:datastoreItem xmlns:ds="http://schemas.openxmlformats.org/officeDocument/2006/customXml" ds:itemID="{5DF20111-77FD-4F18-8E31-D737874646AB}">
  <ds:schemaRefs/>
</ds:datastoreItem>
</file>

<file path=customXml/itemProps5.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4</Pages>
  <Words>1713</Words>
  <Characters>11466</Characters>
  <Lines>286</Lines>
  <Paragraphs>146</Paragraphs>
  <TotalTime>1</TotalTime>
  <ScaleCrop>false</ScaleCrop>
  <LinksUpToDate>false</LinksUpToDate>
  <CharactersWithSpaces>13033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Administrator</cp:lastModifiedBy>
  <cp:lastPrinted>2021-09-28T07:08:00Z</cp:lastPrinted>
  <dcterms:modified xsi:type="dcterms:W3CDTF">2024-06-29T18:48:20Z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2052-11.1.0.9021</vt:lpwstr>
  </property>
</Properties>
</file>