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932AA9" w14:textId="1A041948" w:rsidR="00EF4B94" w:rsidRDefault="00914C56" w:rsidP="00914C56">
      <w:pPr>
        <w:rPr>
          <w:rFonts w:eastAsia="Times New Roman"/>
          <w:b/>
          <w:sz w:val="20"/>
          <w:szCs w:val="20"/>
          <w:lang w:eastAsia="en-GB"/>
        </w:rPr>
      </w:pPr>
      <w:r w:rsidRPr="00F3611A">
        <w:rPr>
          <w:rFonts w:eastAsia="Times New Roman"/>
          <w:b/>
          <w:sz w:val="20"/>
          <w:szCs w:val="20"/>
          <w:lang w:eastAsia="en-GB"/>
        </w:rPr>
        <w:t xml:space="preserve">STROBE-MR checklist of recommended items to address </w:t>
      </w:r>
      <w:r>
        <w:rPr>
          <w:rFonts w:eastAsia="Times New Roman"/>
          <w:b/>
          <w:sz w:val="20"/>
          <w:szCs w:val="20"/>
          <w:lang w:eastAsia="en-GB"/>
        </w:rPr>
        <w:t>in reports of Mendelian randomiz</w:t>
      </w:r>
      <w:r w:rsidRPr="00F3611A">
        <w:rPr>
          <w:rFonts w:eastAsia="Times New Roman"/>
          <w:b/>
          <w:sz w:val="20"/>
          <w:szCs w:val="20"/>
          <w:lang w:eastAsia="en-GB"/>
        </w:rPr>
        <w:t>ation studies</w:t>
      </w:r>
      <w:r w:rsidR="009854A9">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sidR="009854A9">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1</w:t>
      </w:r>
      <w:r w:rsidR="009854A9">
        <w:rPr>
          <w:rFonts w:eastAsia="Times New Roman"/>
          <w:b/>
          <w:sz w:val="20"/>
          <w:szCs w:val="20"/>
          <w:lang w:eastAsia="en-GB"/>
        </w:rPr>
        <w:fldChar w:fldCharType="end"/>
      </w:r>
      <w:r w:rsidR="009854A9">
        <w:rPr>
          <w:rFonts w:eastAsia="Times New Roman"/>
          <w:b/>
          <w:sz w:val="20"/>
          <w:szCs w:val="20"/>
          <w:lang w:eastAsia="en-GB"/>
        </w:rPr>
        <w:t xml:space="preserve"> </w:t>
      </w:r>
      <w:r w:rsidR="00804498">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sidR="00804498">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2</w:t>
      </w:r>
      <w:r w:rsidR="00804498">
        <w:rPr>
          <w:rFonts w:eastAsia="Times New Roman"/>
          <w:b/>
          <w:sz w:val="20"/>
          <w:szCs w:val="20"/>
          <w:lang w:eastAsia="en-GB"/>
        </w:rPr>
        <w:fldChar w:fldCharType="end"/>
      </w:r>
      <w:r w:rsidRPr="00F3611A">
        <w:rPr>
          <w:rFonts w:eastAsia="Times New Roman"/>
          <w:b/>
          <w:sz w:val="20"/>
          <w:szCs w:val="20"/>
          <w:lang w:eastAsia="en-GB"/>
        </w:rPr>
        <w:t> </w:t>
      </w:r>
    </w:p>
    <w:p w14:paraId="3EE539AD" w14:textId="77777777" w:rsidR="005520ED" w:rsidRPr="005520ED" w:rsidRDefault="005520ED" w:rsidP="00914C56">
      <w:pPr>
        <w:rPr>
          <w:rFonts w:eastAsia="Times New Roman"/>
          <w:b/>
          <w:sz w:val="20"/>
          <w:szCs w:val="20"/>
          <w:lang w:eastAsia="en-GB"/>
        </w:rPr>
      </w:pPr>
    </w:p>
    <w:tbl>
      <w:tblPr>
        <w:tblW w:w="14490" w:type="dxa"/>
        <w:tblLook w:val="04A0" w:firstRow="1" w:lastRow="0" w:firstColumn="1" w:lastColumn="0" w:noHBand="0" w:noVBand="1"/>
      </w:tblPr>
      <w:tblGrid>
        <w:gridCol w:w="587"/>
        <w:gridCol w:w="1810"/>
        <w:gridCol w:w="6491"/>
        <w:gridCol w:w="1397"/>
        <w:gridCol w:w="4205"/>
      </w:tblGrid>
      <w:tr w:rsidR="00D8098C" w:rsidRPr="00B853C6" w14:paraId="68BC94E2" w14:textId="1CEFEAFD" w:rsidTr="00795EC6">
        <w:tc>
          <w:tcPr>
            <w:tcW w:w="587" w:type="dxa"/>
            <w:tcBorders>
              <w:top w:val="single" w:sz="4" w:space="0" w:color="auto"/>
              <w:bottom w:val="single" w:sz="6" w:space="0" w:color="7F7F7F"/>
            </w:tcBorders>
            <w:shd w:val="clear" w:color="auto" w:fill="auto"/>
          </w:tcPr>
          <w:p w14:paraId="00DEF8A5"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Item No.</w:t>
            </w:r>
          </w:p>
        </w:tc>
        <w:tc>
          <w:tcPr>
            <w:tcW w:w="1810" w:type="dxa"/>
            <w:tcBorders>
              <w:top w:val="single" w:sz="4" w:space="0" w:color="auto"/>
              <w:bottom w:val="single" w:sz="6" w:space="0" w:color="7F7F7F"/>
            </w:tcBorders>
            <w:shd w:val="clear" w:color="auto" w:fill="auto"/>
          </w:tcPr>
          <w:p w14:paraId="04F587D2"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Section</w:t>
            </w:r>
          </w:p>
        </w:tc>
        <w:tc>
          <w:tcPr>
            <w:tcW w:w="6491" w:type="dxa"/>
            <w:tcBorders>
              <w:top w:val="single" w:sz="4" w:space="0" w:color="auto"/>
              <w:bottom w:val="single" w:sz="6" w:space="0" w:color="7F7F7F"/>
            </w:tcBorders>
            <w:shd w:val="clear" w:color="auto" w:fill="auto"/>
          </w:tcPr>
          <w:p w14:paraId="5A682768"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 xml:space="preserve">Checklist item </w:t>
            </w:r>
          </w:p>
        </w:tc>
        <w:tc>
          <w:tcPr>
            <w:tcW w:w="1397" w:type="dxa"/>
            <w:tcBorders>
              <w:top w:val="single" w:sz="4" w:space="0" w:color="auto"/>
              <w:bottom w:val="single" w:sz="6" w:space="0" w:color="7F7F7F"/>
            </w:tcBorders>
          </w:tcPr>
          <w:p w14:paraId="26D050FB" w14:textId="497E77E4" w:rsidR="00D8098C" w:rsidRPr="00F0337F"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Page No.</w:t>
            </w:r>
          </w:p>
        </w:tc>
        <w:tc>
          <w:tcPr>
            <w:tcW w:w="4205" w:type="dxa"/>
            <w:tcBorders>
              <w:top w:val="single" w:sz="4" w:space="0" w:color="auto"/>
              <w:bottom w:val="single" w:sz="6" w:space="0" w:color="7F7F7F"/>
            </w:tcBorders>
          </w:tcPr>
          <w:p w14:paraId="3B169EDD" w14:textId="040F4512" w:rsidR="00D8098C"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Relevant text from manuscript</w:t>
            </w:r>
          </w:p>
        </w:tc>
      </w:tr>
      <w:tr w:rsidR="00D8098C" w:rsidRPr="00B853C6" w14:paraId="6D71F361" w14:textId="15A67F44" w:rsidTr="00795EC6">
        <w:tc>
          <w:tcPr>
            <w:tcW w:w="587" w:type="dxa"/>
            <w:tcBorders>
              <w:top w:val="single" w:sz="6" w:space="0" w:color="7F7F7F"/>
              <w:bottom w:val="single" w:sz="6" w:space="0" w:color="7F7F7F"/>
            </w:tcBorders>
            <w:shd w:val="clear" w:color="auto" w:fill="EEEEEE"/>
          </w:tcPr>
          <w:p w14:paraId="25A8835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w:t>
            </w:r>
          </w:p>
        </w:tc>
        <w:tc>
          <w:tcPr>
            <w:tcW w:w="1810" w:type="dxa"/>
            <w:tcBorders>
              <w:top w:val="single" w:sz="6" w:space="0" w:color="7F7F7F"/>
              <w:bottom w:val="single" w:sz="6" w:space="0" w:color="7F7F7F"/>
            </w:tcBorders>
            <w:shd w:val="clear" w:color="auto" w:fill="EEEEEE"/>
          </w:tcPr>
          <w:p w14:paraId="4CC4316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TITLE and ABSTRACT</w:t>
            </w:r>
          </w:p>
        </w:tc>
        <w:tc>
          <w:tcPr>
            <w:tcW w:w="6491" w:type="dxa"/>
            <w:tcBorders>
              <w:top w:val="single" w:sz="6" w:space="0" w:color="7F7F7F"/>
              <w:bottom w:val="single" w:sz="6" w:space="0" w:color="7F7F7F"/>
            </w:tcBorders>
            <w:shd w:val="clear" w:color="auto" w:fill="EEEEEE"/>
          </w:tcPr>
          <w:p w14:paraId="1DA8BD46" w14:textId="22BBD1AD" w:rsidR="00D8098C" w:rsidRPr="00F0337F" w:rsidRDefault="00D8098C" w:rsidP="006912BF">
            <w:pPr>
              <w:spacing w:beforeLines="40" w:before="96" w:afterLines="40" w:after="96" w:line="24" w:lineRule="atLeast"/>
              <w:rPr>
                <w:rFonts w:eastAsia="Cambria"/>
                <w:sz w:val="18"/>
                <w:szCs w:val="18"/>
                <w:lang w:val="en-GB" w:eastAsia="en-US"/>
              </w:rPr>
            </w:pPr>
            <w:r w:rsidRPr="00F0337F">
              <w:rPr>
                <w:rFonts w:eastAsia="Times New Roman"/>
                <w:sz w:val="18"/>
                <w:szCs w:val="18"/>
                <w:lang w:val="en-GB" w:eastAsia="en-GB"/>
              </w:rPr>
              <w:t>Indicate Mendelian randomization</w:t>
            </w:r>
            <w:r w:rsidR="000A4CE8">
              <w:rPr>
                <w:rFonts w:eastAsia="Times New Roman"/>
                <w:sz w:val="18"/>
                <w:szCs w:val="18"/>
                <w:lang w:val="en-GB" w:eastAsia="en-GB"/>
              </w:rPr>
              <w:t xml:space="preserve"> (MR)</w:t>
            </w:r>
            <w:r w:rsidRPr="00F0337F">
              <w:rPr>
                <w:rFonts w:eastAsia="Times New Roman"/>
                <w:sz w:val="18"/>
                <w:szCs w:val="18"/>
                <w:lang w:val="en-GB" w:eastAsia="en-GB"/>
              </w:rPr>
              <w:t xml:space="preserve"> as the study</w:t>
            </w:r>
            <w:r w:rsidR="006912BF">
              <w:rPr>
                <w:rFonts w:eastAsia="Times New Roman"/>
                <w:sz w:val="18"/>
                <w:szCs w:val="18"/>
                <w:lang w:val="en-GB" w:eastAsia="en-GB"/>
              </w:rPr>
              <w:t>’</w:t>
            </w:r>
            <w:r w:rsidRPr="00F0337F">
              <w:rPr>
                <w:rFonts w:eastAsia="Times New Roman"/>
                <w:sz w:val="18"/>
                <w:szCs w:val="18"/>
                <w:lang w:val="en-GB" w:eastAsia="en-GB"/>
              </w:rPr>
              <w:t>s design in the title and/or the abstract if that is a main purpose of the study</w:t>
            </w:r>
          </w:p>
        </w:tc>
        <w:tc>
          <w:tcPr>
            <w:tcW w:w="1397" w:type="dxa"/>
            <w:tcBorders>
              <w:top w:val="single" w:sz="6" w:space="0" w:color="7F7F7F"/>
              <w:bottom w:val="single" w:sz="6" w:space="0" w:color="7F7F7F"/>
            </w:tcBorders>
            <w:shd w:val="clear" w:color="auto" w:fill="EEEEEE"/>
          </w:tcPr>
          <w:p w14:paraId="428F187D" w14:textId="133855F3" w:rsidR="00D8098C" w:rsidRPr="008E4595" w:rsidRDefault="008E4595"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1-3</w:t>
            </w:r>
          </w:p>
        </w:tc>
        <w:tc>
          <w:tcPr>
            <w:tcW w:w="4205" w:type="dxa"/>
            <w:tcBorders>
              <w:top w:val="single" w:sz="6" w:space="0" w:color="7F7F7F"/>
              <w:bottom w:val="single" w:sz="6" w:space="0" w:color="7F7F7F"/>
            </w:tcBorders>
            <w:shd w:val="clear" w:color="auto" w:fill="EEEEEE"/>
          </w:tcPr>
          <w:p w14:paraId="7D39EA96" w14:textId="5F249562" w:rsidR="008E4595" w:rsidRPr="008E4595" w:rsidRDefault="008E4595" w:rsidP="008E4595">
            <w:pPr>
              <w:spacing w:beforeLines="40" w:before="96" w:afterLines="40" w:after="96" w:line="24" w:lineRule="atLeast"/>
              <w:rPr>
                <w:rFonts w:eastAsia="Times New Roman"/>
                <w:sz w:val="18"/>
                <w:szCs w:val="18"/>
                <w:lang w:val="en-US" w:eastAsia="en-GB"/>
              </w:rPr>
            </w:pPr>
            <w:proofErr w:type="spellStart"/>
            <w:proofErr w:type="gramStart"/>
            <w:r w:rsidRPr="00795EC6">
              <w:rPr>
                <w:rFonts w:eastAsia="Times New Roman" w:hint="eastAsia"/>
                <w:sz w:val="18"/>
                <w:szCs w:val="18"/>
                <w:lang w:val="en-US" w:eastAsia="en-GB"/>
              </w:rPr>
              <w:t>Title:</w:t>
            </w:r>
            <w:r w:rsidRPr="00795EC6">
              <w:rPr>
                <w:rFonts w:eastAsia="Times New Roman"/>
                <w:sz w:val="18"/>
                <w:szCs w:val="18"/>
                <w:lang w:val="en-US" w:eastAsia="en-GB"/>
              </w:rPr>
              <w:t>Exploring</w:t>
            </w:r>
            <w:proofErr w:type="spellEnd"/>
            <w:proofErr w:type="gramEnd"/>
            <w:r w:rsidRPr="00795EC6">
              <w:rPr>
                <w:rFonts w:eastAsia="Times New Roman"/>
                <w:sz w:val="18"/>
                <w:szCs w:val="18"/>
                <w:lang w:val="en-US" w:eastAsia="en-GB"/>
              </w:rPr>
              <w:t xml:space="preserve"> the Genetic Links Between Asthma, Gastroesophageal Reflux Disease, and Osteoarthritis Through Mendelian Randomization</w:t>
            </w:r>
            <w:r w:rsidRPr="00795EC6">
              <w:rPr>
                <w:rFonts w:eastAsia="Times New Roman"/>
                <w:sz w:val="18"/>
                <w:szCs w:val="18"/>
                <w:lang w:val="en-US" w:eastAsia="en-GB"/>
              </w:rPr>
              <w:br/>
            </w:r>
            <w:r w:rsidRPr="00795EC6">
              <w:rPr>
                <w:rFonts w:eastAsia="Times New Roman"/>
                <w:sz w:val="18"/>
                <w:szCs w:val="18"/>
                <w:lang w:val="en-US" w:eastAsia="en-GB"/>
              </w:rPr>
              <w:br/>
            </w:r>
            <w:r w:rsidRPr="008E4595">
              <w:rPr>
                <w:rFonts w:eastAsia="Times New Roman"/>
                <w:sz w:val="18"/>
                <w:szCs w:val="18"/>
                <w:lang w:val="en-US" w:eastAsia="en-GB"/>
              </w:rPr>
              <w:t>Abstract</w:t>
            </w:r>
          </w:p>
          <w:p w14:paraId="31E970B5" w14:textId="77777777" w:rsidR="008E4595" w:rsidRPr="008E4595" w:rsidRDefault="008E4595" w:rsidP="008E4595">
            <w:pPr>
              <w:spacing w:beforeLines="40" w:before="96" w:afterLines="40" w:after="96" w:line="24" w:lineRule="atLeast"/>
              <w:rPr>
                <w:rFonts w:eastAsia="Times New Roman"/>
                <w:sz w:val="18"/>
                <w:szCs w:val="18"/>
                <w:lang w:val="en-US" w:eastAsia="en-GB"/>
              </w:rPr>
            </w:pPr>
            <w:r w:rsidRPr="008E4595">
              <w:rPr>
                <w:rFonts w:eastAsia="Times New Roman"/>
                <w:sz w:val="18"/>
                <w:szCs w:val="18"/>
                <w:lang w:val="en-US" w:eastAsia="en-GB"/>
              </w:rPr>
              <w:t>Objective: To elucidate the bidirectional associations and mechanisms linking the increasingly prevalent conditions of asthma, gastroesophageal reflux disease (GERD), and osteoarthritis (OA), with a focus on exploring the mediating role of Nonsteroidal Anti-Inflammatory Drugs (NSAIDs) in these associations.</w:t>
            </w:r>
          </w:p>
          <w:p w14:paraId="63959F1A" w14:textId="77777777" w:rsidR="008E4595" w:rsidRPr="008E4595" w:rsidRDefault="008E4595" w:rsidP="008E4595">
            <w:pPr>
              <w:spacing w:beforeLines="40" w:before="96" w:afterLines="40" w:after="96" w:line="24" w:lineRule="atLeast"/>
              <w:rPr>
                <w:rFonts w:eastAsia="Times New Roman"/>
                <w:sz w:val="18"/>
                <w:szCs w:val="18"/>
                <w:lang w:val="en-US" w:eastAsia="en-GB"/>
              </w:rPr>
            </w:pPr>
            <w:bookmarkStart w:id="0" w:name="_Hlk157781450"/>
            <w:r w:rsidRPr="008E4595">
              <w:rPr>
                <w:rFonts w:eastAsia="Times New Roman"/>
                <w:sz w:val="18"/>
                <w:szCs w:val="18"/>
                <w:lang w:val="en-US" w:eastAsia="en-GB"/>
              </w:rPr>
              <w:t>Methods:</w:t>
            </w:r>
            <w:bookmarkStart w:id="1" w:name="_Hlk157781644"/>
            <w:r w:rsidRPr="008E4595">
              <w:rPr>
                <w:rFonts w:eastAsia="Times New Roman" w:hint="eastAsia"/>
                <w:sz w:val="18"/>
                <w:szCs w:val="18"/>
                <w:lang w:val="en-US" w:eastAsia="en-GB"/>
              </w:rPr>
              <w:t xml:space="preserve"> </w:t>
            </w:r>
            <w:bookmarkStart w:id="2" w:name="_Hlk158131365"/>
            <w:r w:rsidRPr="008E4595">
              <w:rPr>
                <w:rFonts w:eastAsia="Times New Roman" w:hint="eastAsia"/>
                <w:sz w:val="18"/>
                <w:szCs w:val="18"/>
                <w:lang w:val="en-US" w:eastAsia="en-GB"/>
              </w:rPr>
              <w:t>Employing a comprehensive two-</w:t>
            </w:r>
            <w:r w:rsidRPr="008E4595">
              <w:rPr>
                <w:rFonts w:eastAsia="Times New Roman"/>
                <w:sz w:val="18"/>
                <w:szCs w:val="18"/>
                <w:lang w:val="en-US" w:eastAsia="en-GB"/>
              </w:rPr>
              <w:t>sample,</w:t>
            </w:r>
            <w:r w:rsidRPr="008E4595">
              <w:rPr>
                <w:rFonts w:eastAsia="Times New Roman" w:hint="eastAsia"/>
                <w:sz w:val="18"/>
                <w:szCs w:val="18"/>
                <w:lang w:val="en-US" w:eastAsia="en-GB"/>
              </w:rPr>
              <w:t xml:space="preserve"> bidirectional Mendelian </w:t>
            </w:r>
            <w:r w:rsidRPr="008E4595">
              <w:rPr>
                <w:rFonts w:eastAsia="Times New Roman"/>
                <w:sz w:val="18"/>
                <w:szCs w:val="18"/>
                <w:lang w:val="en-US" w:eastAsia="en-GB"/>
              </w:rPr>
              <w:t>randomization (</w:t>
            </w:r>
            <w:r w:rsidRPr="008E4595">
              <w:rPr>
                <w:rFonts w:eastAsia="Times New Roman" w:hint="eastAsia"/>
                <w:sz w:val="18"/>
                <w:szCs w:val="18"/>
                <w:lang w:val="en-US" w:eastAsia="en-GB"/>
              </w:rPr>
              <w:t>MR</w:t>
            </w:r>
            <w:r w:rsidRPr="008E4595">
              <w:rPr>
                <w:rFonts w:eastAsia="Times New Roman"/>
                <w:sz w:val="18"/>
                <w:szCs w:val="18"/>
                <w:lang w:val="en-US" w:eastAsia="en-GB"/>
              </w:rPr>
              <w:t xml:space="preserve">) </w:t>
            </w:r>
            <w:r w:rsidRPr="008E4595">
              <w:rPr>
                <w:rFonts w:eastAsia="Times New Roman" w:hint="eastAsia"/>
                <w:sz w:val="18"/>
                <w:szCs w:val="18"/>
                <w:lang w:val="en-US" w:eastAsia="en-GB"/>
              </w:rPr>
              <w:t xml:space="preserve">framework, this study was designed to investigate the </w:t>
            </w:r>
            <w:r w:rsidRPr="008E4595">
              <w:rPr>
                <w:rFonts w:eastAsia="Times New Roman"/>
                <w:sz w:val="18"/>
                <w:szCs w:val="18"/>
                <w:lang w:val="en-US" w:eastAsia="en-GB"/>
              </w:rPr>
              <w:t>associations</w:t>
            </w:r>
            <w:r w:rsidRPr="008E4595">
              <w:rPr>
                <w:rFonts w:eastAsia="Times New Roman" w:hint="eastAsia"/>
                <w:sz w:val="18"/>
                <w:szCs w:val="18"/>
                <w:lang w:val="en-US" w:eastAsia="en-GB"/>
              </w:rPr>
              <w:t xml:space="preserve"> between asthma, GERD, and OA (including overall OA, hip </w:t>
            </w:r>
            <w:r w:rsidRPr="008E4595">
              <w:rPr>
                <w:rFonts w:eastAsia="Times New Roman"/>
                <w:sz w:val="18"/>
                <w:szCs w:val="18"/>
                <w:lang w:val="en-US" w:eastAsia="en-GB"/>
              </w:rPr>
              <w:t>OA</w:t>
            </w:r>
            <w:r w:rsidRPr="008E4595">
              <w:rPr>
                <w:rFonts w:eastAsia="Times New Roman" w:hint="eastAsia"/>
                <w:sz w:val="18"/>
                <w:szCs w:val="18"/>
                <w:lang w:val="en-US" w:eastAsia="en-GB"/>
              </w:rPr>
              <w:t xml:space="preserve"> [HOA] and knee </w:t>
            </w:r>
            <w:r w:rsidRPr="008E4595">
              <w:rPr>
                <w:rFonts w:eastAsia="Times New Roman"/>
                <w:sz w:val="18"/>
                <w:szCs w:val="18"/>
                <w:lang w:val="en-US" w:eastAsia="en-GB"/>
              </w:rPr>
              <w:t>OA</w:t>
            </w:r>
            <w:r w:rsidRPr="008E4595">
              <w:rPr>
                <w:rFonts w:eastAsia="Times New Roman" w:hint="eastAsia"/>
                <w:sz w:val="18"/>
                <w:szCs w:val="18"/>
                <w:lang w:val="en-US" w:eastAsia="en-GB"/>
              </w:rPr>
              <w:t xml:space="preserve"> </w:t>
            </w:r>
            <w:r w:rsidRPr="008E4595">
              <w:rPr>
                <w:rFonts w:eastAsia="Times New Roman"/>
                <w:sz w:val="18"/>
                <w:szCs w:val="18"/>
                <w:lang w:val="en-US" w:eastAsia="en-GB"/>
              </w:rPr>
              <w:t xml:space="preserve">[KOA]), incorporating a two-step MR approach to assess the mediating role of NSAIDs within these associations. </w:t>
            </w:r>
            <w:bookmarkStart w:id="3" w:name="_Hlk158131333"/>
            <w:bookmarkEnd w:id="1"/>
            <w:bookmarkEnd w:id="2"/>
            <w:r w:rsidRPr="008E4595">
              <w:rPr>
                <w:rFonts w:eastAsia="Times New Roman"/>
                <w:sz w:val="18"/>
                <w:szCs w:val="18"/>
                <w:lang w:val="en-US" w:eastAsia="en-GB"/>
              </w:rPr>
              <w:t xml:space="preserve">The genetic foundations for asthma and </w:t>
            </w:r>
            <w:r w:rsidRPr="008E4595">
              <w:rPr>
                <w:rFonts w:eastAsia="Times New Roman" w:hint="eastAsia"/>
                <w:sz w:val="18"/>
                <w:szCs w:val="18"/>
                <w:lang w:val="en-US" w:eastAsia="en-GB"/>
              </w:rPr>
              <w:t>overall</w:t>
            </w:r>
            <w:r w:rsidRPr="008E4595">
              <w:rPr>
                <w:rFonts w:eastAsia="Times New Roman"/>
                <w:sz w:val="18"/>
                <w:szCs w:val="18"/>
                <w:lang w:val="en-US" w:eastAsia="en-GB"/>
              </w:rPr>
              <w:t xml:space="preserve"> OA were precisely obtained from the UK Biobank, complemented by an in-depth analysis of KOA and HOA through an extensive meta-analysis merging data from the UK Biobank with arcOGEN, enabled by the European Bioinformatics Institute (EBI). Genetic insights into GERD were derived from a comprehensive GWAS dataset also hosted by EBI.</w:t>
            </w:r>
            <w:bookmarkEnd w:id="0"/>
            <w:bookmarkEnd w:id="3"/>
            <w:r w:rsidRPr="008E4595">
              <w:rPr>
                <w:rFonts w:eastAsia="Times New Roman"/>
                <w:sz w:val="18"/>
                <w:szCs w:val="18"/>
                <w:lang w:val="en-US" w:eastAsia="en-GB"/>
              </w:rPr>
              <w:t xml:space="preserve"> Our analysis applied a broad array of statistical techniques, including Inverse Variance Weighted (IVW), MR-Egger, Weighted Mode, Weighted Median, and MR-PRESSO methods, coupled with the False Discovery Rate (FDR) procedure, to rigorously minimize false-positive risks.</w:t>
            </w:r>
          </w:p>
          <w:p w14:paraId="7E058FFE" w14:textId="77777777" w:rsidR="008E4595" w:rsidRPr="008E4595" w:rsidRDefault="008E4595" w:rsidP="008E4595">
            <w:pPr>
              <w:spacing w:beforeLines="40" w:before="96" w:afterLines="40" w:after="96" w:line="24" w:lineRule="atLeast"/>
              <w:rPr>
                <w:rFonts w:eastAsia="Times New Roman"/>
                <w:sz w:val="18"/>
                <w:szCs w:val="18"/>
                <w:lang w:val="en-US" w:eastAsia="en-GB"/>
              </w:rPr>
            </w:pPr>
            <w:bookmarkStart w:id="4" w:name="_Hlk158131288"/>
            <w:bookmarkStart w:id="5" w:name="_Hlk157781569"/>
            <w:r w:rsidRPr="008E4595">
              <w:rPr>
                <w:rFonts w:eastAsia="Times New Roman"/>
                <w:sz w:val="18"/>
                <w:szCs w:val="18"/>
                <w:lang w:val="en-US" w:eastAsia="en-GB"/>
              </w:rPr>
              <w:t xml:space="preserve">Results: Bidirectional MR analysis reveals mutual increased risks between asthma and GERD (asthma to GERD OR=1.55, 95% CI=1.20-2.01, P&lt;.001; GERD to asthma OR=1.04, 95% CI=1.03-1.04, P&lt;.001), and associations with OA  </w:t>
            </w:r>
            <w:r w:rsidRPr="008E4595">
              <w:rPr>
                <w:rFonts w:eastAsia="Times New Roman"/>
                <w:sz w:val="18"/>
                <w:szCs w:val="18"/>
                <w:lang w:val="en-US" w:eastAsia="en-GB"/>
              </w:rPr>
              <w:lastRenderedPageBreak/>
              <w:t xml:space="preserve">(asthma to overall OA OR=1.03, 95% CI=1.01-1.05, P=.01; asthma to KOA OR=1.67, 95% CI=1.20-2.32, P&lt;.01; overall OA to asthma OR=1.12, 95% CI=1.03-1.21, P=.01; KOA to asthma OR=1.0034, 95% CI=1.0001-1.0069, P=.03). No significant associations were found between </w:t>
            </w:r>
            <w:r w:rsidRPr="008E4595">
              <w:rPr>
                <w:rFonts w:eastAsia="Times New Roman" w:hint="eastAsia"/>
                <w:sz w:val="18"/>
                <w:szCs w:val="18"/>
                <w:lang w:val="en-US" w:eastAsia="en-GB"/>
              </w:rPr>
              <w:t>asthma</w:t>
            </w:r>
            <w:r w:rsidRPr="008E4595">
              <w:rPr>
                <w:rFonts w:eastAsia="Times New Roman"/>
                <w:sz w:val="18"/>
                <w:szCs w:val="18"/>
                <w:lang w:val="en-US" w:eastAsia="en-GB"/>
              </w:rPr>
              <w:t xml:space="preserve"> and HOA. GERD is associated with an increased risk for OA (OR=1.03, 95% CI=1.03-1.04, P&lt;.001 for overall OA; OR=1.72, 95% CI=1.59-1.86, P&lt;.001 for KOA; OR=1.32, 95% CI=1.20-1.45, P&lt;.001 for HOA) and vice versa for OA subtypes increasing the risk of GERD (overall OA OR=5.32, 95% CI=2.74-10.36, P&lt;.001; KOA OR=1.12, 95% CI=1.09-1.16, P&lt;.001; HOA OR=1.05, 95% CI=1.02-1.07, P&lt;.001). NSAIDs exhibit a protective effect against asthma in OA patients (β=-0.40, 95% CI=-0.60 to -0.20, P&lt;.001), but their impact on the progression from OA to GERD is marked by variability, as indicated by the wide CI (β=0.68, 95% CI=-0.32 to 1.68, P&lt;.001).</w:t>
            </w:r>
            <w:bookmarkEnd w:id="4"/>
          </w:p>
          <w:bookmarkEnd w:id="5"/>
          <w:p w14:paraId="36720487" w14:textId="77777777" w:rsidR="008E4595" w:rsidRPr="008E4595" w:rsidRDefault="008E4595" w:rsidP="008E4595">
            <w:pPr>
              <w:spacing w:beforeLines="40" w:before="96" w:afterLines="40" w:after="96" w:line="24" w:lineRule="atLeast"/>
              <w:rPr>
                <w:rFonts w:eastAsia="Times New Roman"/>
                <w:sz w:val="18"/>
                <w:szCs w:val="18"/>
                <w:lang w:val="en-US" w:eastAsia="en-GB"/>
              </w:rPr>
            </w:pPr>
            <w:r w:rsidRPr="008E4595">
              <w:rPr>
                <w:rFonts w:eastAsia="Times New Roman"/>
                <w:sz w:val="18"/>
                <w:szCs w:val="18"/>
                <w:lang w:val="en-US" w:eastAsia="en-GB"/>
              </w:rPr>
              <w:t>Conclusion: Bidirectional associations were found between asthma and OA subtypes (excluding HOA) and between asthma and GERD. GERD's linkage to increased OA risk underscores mutual bidirectionality with OA subtypes. While NSAIDs show potential in mitigating OA to asthma progression, their impact on the OA to GERD trajectory remains uncertain.</w:t>
            </w:r>
          </w:p>
          <w:p w14:paraId="2F6D1FAF" w14:textId="77777777" w:rsidR="00D8098C" w:rsidRPr="008E4595" w:rsidRDefault="00D8098C" w:rsidP="00426603">
            <w:pPr>
              <w:spacing w:beforeLines="40" w:before="96" w:afterLines="40" w:after="96" w:line="24" w:lineRule="atLeast"/>
              <w:rPr>
                <w:rFonts w:eastAsia="Times New Roman"/>
                <w:sz w:val="18"/>
                <w:szCs w:val="18"/>
                <w:lang w:val="en-US" w:eastAsia="en-GB"/>
              </w:rPr>
            </w:pPr>
          </w:p>
        </w:tc>
      </w:tr>
      <w:tr w:rsidR="00D8098C" w:rsidRPr="00B853C6" w14:paraId="641E6A58" w14:textId="3A4EC1CE" w:rsidTr="00795EC6">
        <w:tc>
          <w:tcPr>
            <w:tcW w:w="587" w:type="dxa"/>
            <w:tcBorders>
              <w:top w:val="single" w:sz="6" w:space="0" w:color="7F7F7F"/>
            </w:tcBorders>
            <w:shd w:val="clear" w:color="auto" w:fill="auto"/>
          </w:tcPr>
          <w:p w14:paraId="4792BEF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10" w:type="dxa"/>
            <w:tcBorders>
              <w:top w:val="single" w:sz="6" w:space="0" w:color="7F7F7F"/>
            </w:tcBorders>
            <w:shd w:val="clear" w:color="auto" w:fill="auto"/>
          </w:tcPr>
          <w:p w14:paraId="63B58F01"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INTRODUCTION</w:t>
            </w:r>
          </w:p>
        </w:tc>
        <w:tc>
          <w:tcPr>
            <w:tcW w:w="6491" w:type="dxa"/>
            <w:tcBorders>
              <w:top w:val="single" w:sz="6" w:space="0" w:color="7F7F7F"/>
            </w:tcBorders>
            <w:shd w:val="clear" w:color="auto" w:fill="auto"/>
          </w:tcPr>
          <w:p w14:paraId="473C01D0"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1397" w:type="dxa"/>
            <w:tcBorders>
              <w:top w:val="single" w:sz="6" w:space="0" w:color="7F7F7F"/>
            </w:tcBorders>
          </w:tcPr>
          <w:p w14:paraId="6681F500"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4205" w:type="dxa"/>
            <w:tcBorders>
              <w:top w:val="single" w:sz="6" w:space="0" w:color="7F7F7F"/>
            </w:tcBorders>
          </w:tcPr>
          <w:p w14:paraId="7A6DC6E9" w14:textId="77777777" w:rsidR="00D8098C" w:rsidRPr="00795EC6" w:rsidRDefault="00D8098C" w:rsidP="00426603">
            <w:pPr>
              <w:spacing w:beforeLines="40" w:before="96" w:afterLines="40" w:after="96" w:line="24" w:lineRule="atLeast"/>
              <w:rPr>
                <w:rFonts w:eastAsia="Times New Roman"/>
                <w:sz w:val="18"/>
                <w:szCs w:val="18"/>
                <w:lang w:val="en-US" w:eastAsia="en-GB"/>
              </w:rPr>
            </w:pPr>
          </w:p>
        </w:tc>
      </w:tr>
      <w:tr w:rsidR="00D8098C" w:rsidRPr="00B853C6" w14:paraId="7DB622D8" w14:textId="3921B7E8" w:rsidTr="00795EC6">
        <w:tc>
          <w:tcPr>
            <w:tcW w:w="587" w:type="dxa"/>
            <w:shd w:val="clear" w:color="auto" w:fill="EEEEEE"/>
          </w:tcPr>
          <w:p w14:paraId="7DE28D61"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w:t>
            </w:r>
          </w:p>
        </w:tc>
        <w:tc>
          <w:tcPr>
            <w:tcW w:w="1810" w:type="dxa"/>
            <w:shd w:val="clear" w:color="auto" w:fill="EEEEEE"/>
          </w:tcPr>
          <w:p w14:paraId="7756B327"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Background</w:t>
            </w:r>
          </w:p>
        </w:tc>
        <w:tc>
          <w:tcPr>
            <w:tcW w:w="6491" w:type="dxa"/>
            <w:shd w:val="clear" w:color="auto" w:fill="EEEEEE"/>
          </w:tcPr>
          <w:p w14:paraId="5423D52E" w14:textId="5998ED56"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Explain the scientific background and rationale for the reported study. What is the exposure? Is </w:t>
            </w:r>
            <w:r w:rsidR="00514462">
              <w:rPr>
                <w:rFonts w:eastAsia="Times New Roman"/>
                <w:sz w:val="18"/>
                <w:szCs w:val="18"/>
                <w:lang w:val="en-GB" w:eastAsia="en-GB"/>
              </w:rPr>
              <w:t xml:space="preserve">a </w:t>
            </w:r>
            <w:r>
              <w:rPr>
                <w:rFonts w:eastAsia="Times New Roman"/>
                <w:sz w:val="18"/>
                <w:szCs w:val="18"/>
                <w:lang w:val="en-GB" w:eastAsia="en-GB"/>
              </w:rPr>
              <w:t>potential causal relationship</w:t>
            </w:r>
            <w:r w:rsidRPr="00F0337F">
              <w:rPr>
                <w:rFonts w:eastAsia="Times New Roman"/>
                <w:sz w:val="18"/>
                <w:szCs w:val="18"/>
                <w:lang w:val="en-GB" w:eastAsia="en-GB"/>
              </w:rPr>
              <w:t xml:space="preserve"> between exposure and outcome plausible? Justify why MR is a helpful method to address the study question</w:t>
            </w:r>
          </w:p>
        </w:tc>
        <w:tc>
          <w:tcPr>
            <w:tcW w:w="1397" w:type="dxa"/>
            <w:shd w:val="clear" w:color="auto" w:fill="EEEEEE"/>
          </w:tcPr>
          <w:p w14:paraId="460FB29C" w14:textId="5E89B130" w:rsidR="00D8098C" w:rsidRPr="008E4595" w:rsidRDefault="008E4595"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3-4</w:t>
            </w:r>
          </w:p>
        </w:tc>
        <w:tc>
          <w:tcPr>
            <w:tcW w:w="4205" w:type="dxa"/>
            <w:shd w:val="clear" w:color="auto" w:fill="EEEEEE"/>
          </w:tcPr>
          <w:p w14:paraId="75722CFC" w14:textId="77777777" w:rsidR="008E4595" w:rsidRPr="008E4595" w:rsidRDefault="008E4595" w:rsidP="008E4595">
            <w:pPr>
              <w:spacing w:beforeLines="40" w:before="96" w:afterLines="40" w:after="96" w:line="24" w:lineRule="atLeast"/>
              <w:rPr>
                <w:rFonts w:eastAsia="Times New Roman"/>
                <w:sz w:val="18"/>
                <w:szCs w:val="18"/>
                <w:lang w:val="en-US" w:eastAsia="en-GB"/>
              </w:rPr>
            </w:pPr>
            <w:r w:rsidRPr="008E4595">
              <w:rPr>
                <w:rFonts w:eastAsia="Times New Roman"/>
                <w:sz w:val="18"/>
                <w:szCs w:val="18"/>
                <w:lang w:val="en-US" w:eastAsia="en-GB"/>
              </w:rPr>
              <w:t xml:space="preserve">Asthma, gastroesophageal reflux disease (GERD), and osteoarthritis (OA) represent conditions of global prevalence, exhibiting complex interrelations that have captivated the interest of the medical research community. Asthma, delineated as a respiratory condition marked by airway inflammation and manifestations such as breathing difficulties, affects an estimated 262 million individuals worldwide </w:t>
            </w:r>
            <w:r w:rsidRPr="008E4595">
              <w:rPr>
                <w:rFonts w:eastAsia="Times New Roman"/>
                <w:sz w:val="18"/>
                <w:szCs w:val="18"/>
                <w:lang w:val="en-US" w:eastAsia="en-GB"/>
              </w:rPr>
              <w:fldChar w:fldCharType="begin"/>
            </w:r>
            <w:r w:rsidRPr="008E4595">
              <w:rPr>
                <w:rFonts w:eastAsia="Times New Roman"/>
                <w:sz w:val="18"/>
                <w:szCs w:val="18"/>
                <w:lang w:val="en-US" w:eastAsia="en-GB"/>
              </w:rPr>
              <w:instrText xml:space="preserve"> ADDIN ZOTERO_ITEM CSL_CITATION {"citationID":"NrXbQsdB","properties":{"formattedCitation":"[1]","plainCitation":"[1]","noteIndex":0},"citationItems":[{"id":989,"uris":["http://zotero.org/users/11893546/items/HCWHVQIC"],"itemData":{"id":989,"type":"article-journal","container-title":"The Lancet","DOI":"10.1016/S0140-6736(20)30925-9","ISSN":"0140-6736, 1474-547X","issue":"10258","journalAbbreviation":"The Lancet","language":"English","note":"publisher: Elsevier\nPMID: 33069326","page":"1204-1222","source":"www.thelancet.com","title":"Global burden of 369 diseases and injuries in 204 countries and territories, 1990–2019: a systematic analysis for the Global Burden of Disease Study 2019","title-short":"Global burden of 369 diseases and injuries in 204 countries and territories, 1990–2019","volume":"396","author":[{"family":"Vos","given":"Theo"},{"family":"Lim","given":"Stephen S."},{"family":"Abbafati","given":"Cristiana"},{"family":"Abbas","given":"Kaja M."},{"family":"Abbasi","given":"Mohammad"},{"family":"Abbasifard","given":"Mitra"},{"family":"Abbasi-Kangevari","given":"Mohsen"},{"family":"Abbastabar","given":"Hedayat"},{"family":"Abd-Allah","given":"Foad"},{"family":"Abdelalim","given":"Ahmed"},{"family":"Abdollahi","given":"Mohammad"},{"family":"Abdollahpour","given":"Ibrahim"},{"family":"Abolhassani","given":"Hassan"},{"family":"Aboyans","given":"Victor"},{"family":"Abrams","given":"Elissa M."},{"family":"Abreu","given":"Lucas Guimarães"},{"family":"Abrigo","given":"Michael R. M."},{"family":"Abu-Raddad","given":"Laith Jamal"},{"family":"Abushouk","given":"Abdelrahman I."},{"family":"Acebedo","given":"Alyssa"},{"family":"Ackerman","given":"Ilana N."},{"family":"Adabi","given":"Maryam"},{"family":"Adamu","given":"Abdu A."},{"family":"Adebayo","given":"Oladimeji M."},{"family":"Adekanmbi","given":"Victor"},{"family":"Adelson","given":"Jaimie D."},{"family":"Adetokunboh","given":"Olatunji O."},{"family":"Adham","given":"Davoud"},{"family":"Afshari","given":"Mahdi"},{"family":"Afshin","given":"Ashkan"},{"family":"Agardh","given":"Emilie E."},{"family":"Agarwal","given":"Gina"},{"family":"Agesa","given":"Kareha M."},{"family":"Aghaali","given":"Mohammad"},{"family":"Aghamir","given":"Seyed Mohammad Kazem"},{"family":"Agrawal","given":"Anurag"},{"family":"Ahmad","given":"Tauseef"},{"family":"Ahmadi","given":"Alireza"},{"family":"Ahmadi","given":"Mehdi"},{"family":"Ahmadieh","given":"Hamid"},{"family":"Ahmadpour","given":"Ehsan"},{"family":"Akalu","given":"Temesgen Yihunie"},{"family":"Akinyemi","given":"Rufus Olusola"},{"family":"Akinyemiju","given":"Tomi"},{"family":"Akombi","given":"Blessing"},{"family":"Al-Aly","given":"Ziyad"},{"family":"Alam","given":"Khurshid"},{"family":"Alam","given":"Noore"},{"family":"Alam","given":"Samiah"},{"family":"Alam","given":"Tahiya"},{"family":"Alanzi","given":"Turki M."},{"family":"Albertson","given":"Samuel B."},{"family":"Alcalde-Rabanal","given":"Jacqueline Elizabeth"},{"family":"Alema","given":"Niguse Meles"},{"family":"Ali","given":"Muhammad"},{"family":"Ali","given":"Saqib"},{"family":"Alicandro","given":"Gianfranco"},{"family":"Alijanzadeh","given":"Mehran"},{"family":"Alinia","given":"Cyrus"},{"family":"Alipour","given":"Vahid"},{"family":"Aljunid","given":"Syed Mohamed"},{"family":"Alla","given":"François"},{"family":"Allebeck","given":"Peter"},{"family":"Almasi-Hashiani","given":"Amir"},{"family":"Alonso","given":"Jordi"},{"family":"Al-Raddadi","given":"Rajaa M."},{"family":"Altirkawi","given":"Khalid A."},{"family":"Alvis-Guzman","given":"Nelson"},{"family":"Alvis-Zakzuk","given":"Nelson J."},{"family":"Amini","given":"Saeed"},{"family":"Amini-Rarani","given":"Mostafa"},{"family":"Aminorroaya","given":"Arya"},{"family":"Amiri","given":"Fatemeh"},{"family":"Amit","given":"Arianna Maever L."},{"family":"Amugsi","given":"Dickson A."},{"family":"Amul","given":"Gianna Gayle Herrera"},{"family":"Anderlini","given":"Deanna"},{"family":"Andrei","given":"Catalina Liliana"},{"family":"Andrei","given":"Tudorel"},{"family":"Anjomshoa","given":"Mina"},{"family":"Ansari","given":"Fereshteh"},{"family":"Ansari","given":"Iman"},{"family":"Ansari-Moghaddam","given":"Alireza"},{"family":"Antonio","given":"Carl Abelardo T."},{"family":"Antony","given":"Catherine M."},{"family":"Antriyandarti","given":"Ernoiz"},{"family":"Anvari","given":"Davood"},{"family":"Anwer","given":"Razique"},{"family":"Arabloo","given":"Jalal"},{"family":"Arab-Zozani","given":"Morteza"},{"family":"Aravkin","given":"Aleksandr Y."},{"family":"Ariani","given":"Filippo"},{"family":"Ärnlöv","given":"Johan"},{"family":"Aryal","given":"Krishna K."},{"family":"Arzani","given":"Afsaneh"},{"family":"Asadi-Aliabadi","given":"Mehran"},{"family":"Asadi-Pooya","given":"Ali A."},{"family":"Asghari","given":"Babak"},{"family":"Ashbaugh","given":"Charlie"},{"family":"Atnafu","given":"Desta Debalkie"},{"family":"Atre","given":"Sachin R."},{"family":"Ausloos","given":"Floriane"},{"family":"Ausloos","given":"Marcel"},{"family":"Quintanilla","given":"Beatriz Paulina Ayala"},{"family":"Ayano","given":"Getinet"},{"family":"Ayanore","given":"Martin Amogre"},{"family":"Aynalem","given":"Yared Asmare"},{"family":"Azari","given":"Samad"},{"family":"Azarian","given":"Ghasem"},{"family":"Azene","given":"Zelalem Nigussie"},{"family":"Babaee","given":"Ebrahim"},{"family":"Badawi","given":"Alaa"},{"family":"Bagherzadeh","given":"Mojtaba"},{"family":"Bakhshaei","given":"Mohammad Hossein"},{"family":"Bakhtiari","given":"Ahad"},{"family":"Balakrishnan","given":"Senthilkumar"},{"family":"Balalla","given":"Shivanthi"},{"family":"Balassyano","given":"Shelly"},{"family":"Banach","given":"Maciej"},{"family":"Banik","given":"Palash Chandra"},{"family":"Bannick","given":"Marlena S."},{"family":"Bante","given":"Agegnehu Bante"},{"family":"Baraki","given":"Adhanom Gebreegziabher"},{"family":"Barboza","given":"Miguel A."},{"family":"Barker-Collo","given":"Suzanne Lyn"},{"family":"Barthelemy","given":"Celine M."},{"family":"Barua","given":"Lingkan"},{"family":"Barzegar","given":"Akbar"},{"family":"Basu","given":"Sanjay"},{"family":"Baune","given":"Bernhard T."},{"family":"Bayati","given":"Mohsen"},{"family":"Bazmandegan","given":"Gholamreza"},{"family":"Bedi","given":"Neeraj"},{"family":"Beghi","given":"Ettore"},{"family":"Béjot","given":"Yannick"},{"family":"Bello","given":"Aminu K."},{"family":"Bender","given":"Rose G."},{"family":"Bennett","given":"Derrick A."},{"family":"Bennitt","given":"Fiona B."},{"family":"Bensenor","given":"Isabela M."},{"family":"Benziger","given":"Catherine P."},{"family":"Berhe","given":"Kidanemaryam"},{"family":"Bernabe","given":"Eduardo"},{"family":"Bertolacci","given":"Gregory J."},{"family":"Bhageerathy","given":"Reshmi"},{"family":"Bhala","given":"Neeraj"},{"family":"Bhandari","given":"Dinesh"},{"family":"Bhardwaj","given":"Pankaj"},{"family":"Bhattacharyya","given":"Krittika"},{"family":"Bhutta","given":"Zulfiqar A."},{"family":"Bibi","given":"Sadia"},{"family":"Biehl","given":"Molly H."},{"family":"Bikbov","given":"Boris"},{"family":"Sayeed","given":"Muhammad Shahdaat Bin"},{"family":"Biondi","given":"Antonio"},{"family":"Birihane","given":"Binyam Minuye"},{"family":"Bisanzio","given":"Donal"},{"family":"Bisignano","given":"Catherine"},{"family":"Biswas","given":"Raaj Kishore"},{"family":"Bohlouli","given":"Somayeh"},{"family":"Bohluli","given":"Mehdi"},{"family":"Bolla","given":"Srinivasa Rao Rao"},{"family":"Boloor","given":"Archith"},{"family":"Boon-Dooley","given":"Alexandra S."},{"family":"Borges","given":"Guilherme"},{"family":"Borzì","given":"Antonio Maria"},{"family":"Bourne","given":"Rupert"},{"family":"Brady","given":"Oliver J."},{"family":"Brauer","given":"Michael"},{"family":"Brayne","given":"Carol"},{"family":"Breitborde","given":"Nicholas J. K."},{"family":"Brenner","given":"Hermann"},{"family":"Briant","given":"Paul Svitil"},{"family":"Briggs","given":"Andrew M."},{"family":"Briko","given":"Nikolay Ivanovich"},{"family":"Britton","given":"Gabrielle B."},{"family":"Bryazka","given":"Dana"},{"family":"Buchbinder","given":"Rachelle"},{"family":"Bumgarner","given":"Blair R."},{"family":"Busse","given":"Reinhard"},{"family":"Butt","given":"Zahid A."},{"family":"Santos","given":"Florentino Luciano Caetano","dropping-particle":"dos"},{"family":"Cámera","given":"Luis LA Alberto"},{"family":"Campos-Nonato","given":"Ismael R."},{"family":"Car","given":"Josip"},{"family":"Cárdenas","given":"Rosario"},{"family":"Carreras","given":"Giulia"},{"family":"Carrero","given":"Juan J."},{"family":"Carvalho","given":"Felix"},{"family":"Castaldelli-Maia","given":"Joao Mauricio"},{"family":"Castañeda-Orjuela","given":"Carlos A."},{"family":"Castelpietra","given":"Giulio"},{"family":"Castle","given":"Chris D."},{"family":"Castro","given":"Franz"},{"family":"Catalá-López","given":"Ferrán"},{"family":"Causey","given":"Kate"},{"family":"Cederroth","given":"Christopher R."},{"family":"Cercy","given":"Kelly M."},{"family":"Cerin","given":"Ester"},{"family":"Chandan","given":"Joht Singh"},{"family":"Chang","given":"Alex R."},{"family":"Charlson","given":"Fiona J."},{"family":"Chattu","given":"Vijay Kumar"},{"family":"Chaturvedi","given":"Sarika"},{"family":"Chimed-Ochir","given":"Odgerel"},{"family":"Chin","given":"Ken Lee"},{"family":"Cho","given":"Daniel Youngwhan"},{"family":"Christensen","given":"Hanne"},{"family":"Chu","given":"Dinh-Toi"},{"family":"Chung","given":"Michael T."},{"family":"Cicuttini","given":"Flavia M."},{"family":"Ciobanu","given":"Liliana G."},{"family":"Cirillo","given":"Massimo"},{"family":"Collins","given":"Emma L."},{"family":"Compton","given":"Kelly"},{"family":"Conti","given":"Sara"},{"family":"Cortesi","given":"Paolo Angelo"},{"family":"Costa","given":"Vera Marisa"},{"family":"Cousin","given":"Ewerton"},{"family":"Cowden","given":"Richard G."},{"family":"Cowie","given":"Benjamin C."},{"family":"Cromwell","given":"Elizabeth A."},{"family":"Cross","given":"Di H."},{"family":"Crowe","given":"Christopher Stephen"},{"family":"Cruz","given":"Jessica A."},{"family":"Cunningham","given":"Matthew"},{"family":"Dahlawi","given":"Saad M. A."},{"family":"Damiani","given":"Giovanni"},{"family":"Dandona","given":"Lalit"},{"family":"Dandona","given":"Rakhi"},{"family":"Darwesh","given":"Aso Mohammad"},{"family":"Daryani","given":"Ahmad"},{"family":"Das","given":"Jai K."},{"family":"Gupta","given":"Rajat Das"},{"family":"Neves","given":"José","dropping-particle":"das"},{"family":"Dávila-Cervantes","given":"Claudio Alberto"},{"family":"Davletov","given":"Kairat"},{"family":"Leo","given":"Diego De"},{"family":"Dean","given":"Frances E."},{"family":"DeCleene","given":"Nicole K."},{"family":"Deen","given":"Amanda"},{"family":"Degenhardt","given":"Louisa"},{"family":"Dellavalle","given":"Robert Paul"},{"family":"Demeke","given":"Feleke Mekonnen"},{"family":"Demsie","given":"Desalegn Getnet"},{"family":"Denova-Gutiérrez","given":"Edgar"},{"family":"Dereje","given":"Nebiyu Dereje"},{"family":"Dervenis","given":"Nikolaos"},{"family":"Desai","given":"Rupak"},{"family":"Desalew","given":"Assefa"},{"family":"Dessie","given":"Getenet Ayalew"},{"family":"Dharmaratne","given":"Samath Dhamminda"},{"family":"Dhungana","given":"Govinda Prasad"},{"family":"Dianatinasab","given":"Mostafa"},{"family":"Diaz","given":"Daniel"},{"family":"Forooshani","given":"Zahra Sadat Dibaji"},{"family":"Dingels","given":"Zachary V."},{"family":"Dirac","given":"M. Ashworth"},{"family":"Djalalinia","given":"Shirin"},{"family":"Do","given":"Hoa Thi"},{"family":"Dokova","given":"Klara"},{"family":"Dorostkar","given":"Fariba"},{"family":"Doshi","given":"Chirag P."},{"family":"Doshmangir","given":"Leila"},{"family":"Douiri","given":"Abdel"},{"family":"Doxey","given":"Matthew C."},{"family":"Driscoll","given":"Tim Robert"},{"family":"Dunachie","given":"Susanna J."},{"family":"Duncan","given":"Bruce B."},{"family":"Duraes","given":"Andre Rodrigues"},{"family":"Eagan","given":"Arielle Wilder"},{"family":"Kalan","given":"Mohammad Ebrahimi"},{"family":"Edvardsson","given":"David"},{"family":"Ehrlich","given":"Joshua R."},{"family":"Nahas","given":"Nevine El"},{"family":"Sayed","given":"Iman El"},{"family":"Tantawi","given":"Maha El"},{"family":"Elbarazi","given":"Iffat"},{"family":"Elgendy","given":"Islam Y."},{"family":"Elhabashy","given":"Hala Rashad"},{"family":"El-Jaafary","given":"Shaimaa I."},{"family":"Elyazar","given":"Iqbal RF"},{"family":"Emamian","given":"Mohammad Hassan"},{"family":"Emmons-Bell","given":"Sophia"},{"family":"Erskine","given":"Holly E."},{"family":"Eshrati","given":"Babak"},{"family":"Eskandarieh","given":"Sharareh"},{"family":"Esmaeilnejad","given":"Saman"},{"family":"Esmaeilzadeh","given":"Firooz"},{"family":"Esteghamati","given":"Alireza"},{"family":"Estep","given":"Kara"},{"family":"Etemadi","given":"Arash"},{"family":"Etisso","given":"Atkilt Esaiyas"},{"family":"Farahmand","given":"Mohammad"},{"family":"Faraj","given":"Anwar"},{"family":"Fareed","given":"Mohammad"},{"family":"Faridnia","given":"Roghiyeh"},{"family":"Farinha","given":"Carla Sofia e Sá"},{"family":"Farioli","given":"Andrea"},{"family":"Faro","given":"Andre"},{"family":"Faruque","given":"Mithila"},{"family":"Farzadfar","given":"Farshad"},{"family":"Fattahi","given":"Nazir"},{"family":"Fazlzadeh","given":"Mehdi"},{"family":"Feigin","given":"Valery L."},{"family":"Feldman","given":"Rachel"},{"family":"Fereshtehnejad","given":"Seyed-Mohammad"},{"family":"Fernandes","given":"Eduarda"},{"family":"Ferrari","given":"Alize J."},{"family":"Ferreira","given":"Manuela L."},{"family":"Filip","given":"Irina"},{"family":"Fischer","given":"Florian"},{"family":"Fisher","given":"James L."},{"family":"Fitzgerald","given":"Ryan"},{"family":"Flohr","given":"Carsten"},{"family":"Flor","given":"Luisa Sorio"},{"family":"Foigt","given":"Nataliya A."},{"family":"Folayan","given":"Morenike Oluwatoyin"},{"family":"Force","given":"Lisa M."},{"family":"Fornari","given":"Carla"},{"family":"Foroutan","given":"Masoud"},{"family":"Fox","given":"Jack T."},{"family":"Freitas","given":"Marisa"},{"family":"Fu","given":"Weijia"},{"family":"Fukumoto","given":"Takeshi"},{"family":"Furtado","given":"João M."},{"family":"Gad","given":"Mohamed M."},{"family":"Gakidou","given":"Emmanuela"},{"family":"Galles","given":"Natalie C."},{"family":"Gallus","given":"Silvano"},{"family":"Gamkrelidze","given":"Amiran"},{"family":"Garcia-Basteiro","given":"Alberto L."},{"family":"Gardner","given":"William M."},{"family":"Geberemariyam","given":"Biniyam Sahiledengle"},{"family":"Gebrehiwot","given":"Abiyu Mekonnen"},{"family":"Gebremedhin","given":"Ketema Bizuwork"},{"family":"Gebreslassie","given":"Assefa Ayalew Ayalew Ayalew"},{"family":"Hayoon","given":"Anna Gershberg"},{"family":"Gething","given":"Peter W."},{"family":"Ghadimi","given":"Maryam"},{"family":"Ghadiri","given":"Keyghobad"},{"family":"Ghafourifard","given":"Mansour"},{"family":"Ghajar","given":"Alireza"},{"family":"Ghamari","given":"Farhad"},{"family":"Ghashghaee","given":"Ahmad"},{"family":"Ghiasvand","given":"Hesam"},{"family":"Ghith","given":"Nermin"},{"family":"Gholamian","given":"Asadollah"},{"family":"Gilani","given":"Syed Amir"},{"family":"Gill","given":"Paramjit Singh"},{"family":"Gitimoghaddam","given":"Mojgan"},{"family":"Giussani","given":"Giorgia"},{"family":"Goli","given":"Srinivas"},{"family":"Gomez","given":"Ricardo Santiago"},{"family":"Gopalani","given":"Sameer Vali"},{"family":"Gorini","given":"Giuseppe"},{"family":"Gorman","given":"Taren M."},{"family":"Gottlich","given":"Harrison Chase"},{"family":"Goudarzi","given":"Houman"},{"family":"Goulart","given":"Alessandra C."},{"family":"Goulart","given":"Bárbara Niegia Garcia"},{"family":"Grada","given":"Ayman"},{"family":"Grivna","given":"Michal"},{"family":"Grosso","given":"Giuseppe"},{"family":"Gubari","given":"Mohammed Ibrahim Mohialdeen"},{"family":"Gugnani","given":"Harish Chander"},{"family":"Guimaraes","given":"Andre Luiz Sena"},{"family":"Guimarães","given":"Rafael Alves"},{"family":"Guled","given":"Rashid Abdi"},{"family":"Guo","given":"Gaorui"},{"family":"Guo","given":"Yuming"},{"family":"Gupta","given":"Rajeev"},{"family":"Haagsma","given":"Juanita A."},{"family":"Haddock","given":"Beatrix"},{"family":"Hafezi-Nejad","given":"Nima"},{"family":"Hafiz","given":"Abdul"},{"family":"Hagins","given":"Hailey"},{"family":"Haile","given":"Lydia M."},{"family":"Hall","given":"Brian J."},{"family":"Halvaei","given":"Iman"},{"family":"Hamadeh","given":"Randah R."},{"family":"Abdullah","given":"Kanaan Hamagharib"},{"family":"Hamilton","given":"Erin B."},{"family":"Han","given":"Chieh"},{"family":"Han","given":"Hannah"},{"family":"Hankey","given":"Graeme J."},{"family":"Haro","given":"Josep Maria"},{"family":"Harvey","given":"James D."},{"family":"Hasaballah","given":"Ahmed I."},{"family":"Hasanzadeh","given":"Amir"},{"family":"Hashemian","given":"Maryam"},{"family":"Hassanipour","given":"Soheil"},{"family":"Hassankhani","given":"Hadi"},{"family":"Havmoeller","given":"Rasmus J."},{"family":"Hay","given":"Roderick J."},{"family":"Hay","given":"Simon I."},{"family":"Hayat","given":"Khezar"},{"family":"Heidari","given":"Behnam"},{"family":"Heidari","given":"Golnaz"},{"family":"Heidari-Soureshjani","given":"Reza"},{"family":"Hendrie","given":"Delia"},{"family":"Henrikson","given":"Hannah J."},{"family":"Henry","given":"Nathaniel J."},{"family":"Herteliu","given":"Claudiu"},{"family":"Heydarpour","given":"Fatemeh"},{"family":"Hird","given":"Thomas R."},{"family":"Hoek","given":"Hans W."},{"family":"Hole","given":"Michael K."},{"family":"Holla","given":"Ramesh"},{"family":"Hoogar","given":"Praveen"},{"family":"Hosgood","given":"H. Dean"},{"family":"Hosseinzadeh","given":"Mehdi"},{"family":"Hostiuc","given":"Mihaela"},{"family":"Hostiuc","given":"Sorin"},{"family":"Househ","given":"Mowafa"},{"family":"Hoy","given":"Damian G."},{"family":"Hsairi","given":"Mohamed"},{"family":"Hsieh","given":"Vivian Chia-rong"},{"family":"Hu","given":"Guoqing"},{"family":"Huda","given":"Tanvir M."},{"family":"Hugo","given":"Fernando N."},{"family":"Huynh","given":"Chantal K."},{"family":"Hwang","given":"Bing-Fang"},{"family":"Iannucci","given":"Vincent C."},{"family":"Ibitoye","given":"Segun Emmanuel"},{"family":"Ikuta","given":"Kevin S."},{"family":"Ilesanmi","given":"Olayinka Stephen"},{"family":"Ilic","given":"Irena M."},{"family":"Ilic","given":"Milena D."},{"family":"Inbaraj","given":"Leeberk Raja"},{"family":"Ippolito","given":"Helen"},{"family":"Irvani","given":"Seyed Sina Naghibi"},{"family":"Islam","given":"M. Mofizul"},{"family":"Islam","given":"MdMohaimenul"},{"family":"Islam","given":"Sheikh Mohammed Shariful"},{"family":"Islami","given":"Farhad"},{"family":"Iso","given":"Hiroyasu"},{"family":"Ivers","given":"Rebecca Q."},{"family":"Iwu","given":"Chidozie C. D."},{"family":"Iyamu","given":"Ihoghosa Osamuyi"},{"family":"Jaafari","given":"Jalil"},{"family":"Jacobsen","given":"Kathryn H."},{"family":"Jadidi-Niaragh","given":"Farhad"},{"family":"Jafari","given":"Hussain"},{"family":"Jafarinia","given":"Morteza"},{"family":"Jahagirdar","given":"Deepa"},{"family":"Jahani","given":"Mohammad Ali"},{"family":"Jahanmehr","given":"Nader"},{"family":"Jakovljevic","given":"Mihajlo"},{"family":"Jalali","given":"Amir"},{"family":"Jalilian","given":"Farzad"},{"family":"James","given":"Spencer L."},{"family":"Janjani","given":"Hosna"},{"family":"Janodia","given":"Manthan Dilipkumar"},{"family":"Jayatilleke","given":"Achala Upendra"},{"family":"Jeemon","given":"Panniyammakal"},{"family":"Jenabi","given":"Ensiyeh"},{"family":"Jha","given":"Ravi Prakash"},{"family":"Jha","given":"Vivekanand"},{"family":"Ji","given":"John S."},{"family":"Jia","given":"Peng"},{"family":"John","given":"Oommen"},{"family":"John-Akinola","given":"Yetunde O."},{"family":"Johnson","given":"Catherine Owens"},{"family":"Johnson","given":"Sarah Charlotte"},{"family":"Jonas","given":"Jost B."},{"family":"Joo","given":"Tamas"},{"family":"Joshi","given":"Ankur"},{"family":"Jozwiak","given":"Jacek Jerzy"},{"family":"Jürisson","given":"Mikk"},{"family":"Kabir","given":"Ali"},{"family":"Kabir","given":"Zubair"},{"family":"Kalani","given":"Hamed"},{"family":"Kalani","given":"Rizwan"},{"family":"Kalankesh","given":"Leila R."},{"family":"Kalhor","given":"Rohollah"},{"family":"Kamiab","given":"Zahra"},{"family":"Kanchan","given":"Tanuj"},{"family":"Matin","given":"Behzad Karami"},{"family":"Karch","given":"André"},{"family":"Karim","given":"Mohd Anisul"},{"family":"Karimi","given":"Salah Eddin"},{"family":"Kassa","given":"Getachew Mullu"},{"family":"Kassebaum","given":"Nicholas J."},{"family":"Katikireddi","given":"Srinivasa Vittal"},{"family":"Kawakami","given":"Norito"},{"family":"Kayode","given":"Gbenga A."},{"family":"Keddie","given":"Suzanne H."},{"family":"Keller","given":"Cathleen"},{"family":"Kereselidze","given":"Maia"},{"family":"Khafaie","given":"Morteza Abdullatif"},{"family":"Khalid","given":"Nauman"},{"family":"Khan","given":"Maseer"},{"family":"Khatab","given":"Khaled"},{"family":"Khater","given":"Mona M."},{"family":"Khatib","given":"Mahalaqua Nazli"},{"family":"Khayamzadeh","given":"Maryam"},{"family":"Khodayari","given":"Mohammad Taghi"},{"family":"Khundkar","given":"Roba"},{"family":"Kianipour","given":"Neda"},{"family":"Kieling","given":"Christian"},{"family":"Kim","given":"Daniel"},{"family":"Kim","given":"Young-Eun"},{"family":"Kim","given":"Yun Jin"},{"family":"Kimokoti","given":"Ruth W."},{"family":"Kisa","given":"Adnan"},{"family":"Kisa","given":"Sezer"},{"family":"Kissimova-Skarbek","given":"Katarzyna"},{"family":"Kivimäki","given":"Mika"},{"family":"Kneib","given":"Cameron J."},{"family":"Knudsen","given":"Ann Kristin Skrindo"},{"family":"Kocarnik","given":"Jonathan M."},{"family":"Kolola","given":"Tufa"},{"family":"Kopec","given":"Jacek A."},{"family":"Kosen","given":"Soewarta"},{"family":"Koul","given":"Parvaiz A."},{"family":"Koyanagi","given":"Ai"},{"family":"Kravchenko","given":"Michael A."},{"family":"Krishan","given":"Kewal"},{"family":"Krohn","given":"Kris J."},{"family":"Defo","given":"Barthelemy Kuate"},{"family":"Bicer","given":"Burcu Kucuk"},{"family":"Kumar","given":"G. Anil"},{"family":"Kumar","given":"Manasi"},{"family":"Kumar","given":"Pushpendra"},{"family":"Kumar","given":"Vivek"},{"family":"Kumaresh","given":"Girikumar"},{"family":"Kurmi","given":"Om P."},{"family":"Kusuma","given":"Dian"},{"family":"Kyu","given":"Hmwe Hmwe"},{"family":"Vecchia","given":"Carlo La"},{"family":"Lacey","given":"Ben"},{"family":"Lal","given":"Dharmesh Kumar"},{"family":"Lalloo","given":"Ratilal"},{"family":"Lam","given":"Jennifer O."},{"family":"Lami","given":"Faris Hasan"},{"family":"Landires","given":"Iván"},{"family":"Lang","given":"Justin J."},{"family":"Lansingh","given":"Van Charles"},{"family":"Larson","given":"Samantha Leigh"},{"family":"Larsson","given":"Anders O."},{"family":"Lasrado","given":"Savita"},{"family":"Lassi","given":"Zohra S."},{"family":"Lau","given":"Kathryn Mei-Ming"},{"family":"Lavados","given":"Pablo M."},{"family":"Lazarus","given":"Jeffrey V."},{"family":"Ledesma","given":"Jorge R."},{"family":"Lee","given":"Paul H."},{"family":"Lee","given":"Shaun Wen Huey"},{"family":"LeGrand","given":"Kate E."},{"family":"Leigh","given":"James"},{"family":"Leonardi","given":"Matilde"},{"family":"Lescinsky","given":"Haley"},{"family":"Leung","given":"Janni"},{"family":"Levi","given":"Miriam"},{"family":"Lewington","given":"Sarah"},{"family":"Li","given":"Shanshan"},{"family":"Lim","given":"Lee-Ling"},{"family":"Lin","given":"Christine"},{"family":"Lin","given":"Ro-Ting"},{"family":"Linehan","given":"Christine"},{"family":"Linn","given":"Shai"},{"family":"Liu","given":"Hung-Chun"},{"family":"Liu","given":"Shiwei"},{"family":"Liu","given":"Zichen"},{"family":"Looker","given":"Katharine J."},{"family":"Lopez","given":"Alan D."},{"family":"Lopukhov","given":"Platon D."},{"family":"Lorkowski","given":"Stefan"},{"family":"Lotufo","given":"Paulo A."},{"family":"Lucas","given":"Tim C. D."},{"family":"Lugo","given":"Alessandra"},{"family":"Lunevicius","given":"Raimundas"},{"family":"Lyons","given":"Ronan A."},{"family":"Ma","given":"Jianing"},{"family":"MacLachlan","given":"Jennifer H."},{"family":"Maddison","given":"Emilie R."},{"family":"Maddison","given":"Ralph"},{"family":"Madotto","given":"Fabiana"},{"family":"Mahasha","given":"Phetole Walter"},{"family":"Mai","given":"Hue Thi"},{"family":"Majeed","given":"Azeem"},{"family":"Maled","given":"Venkatesh"},{"family":"Maleki","given":"Shokofeh"},{"family":"Malekzadeh","given":"Reza"},{"family":"Malta","given":"Deborah Carvalho"},{"family":"Mamun","given":"Abdullah A."},{"family":"Manafi","given":"Amir"},{"family":"Manafi","given":"Navid"},{"family":"Manguerra","given":"Helena"},{"family":"Mansouri","given":"Borhan"},{"family":"Mansournia","given":"Mohammad Ali"},{"family":"Herrera","given":"Ana M. Mantilla"},{"family":"Maravilla","given":"Joemer C."},{"family":"Marks","given":"Ashley"},{"family":"Martins-Melo","given":"Francisco Rogerlândio"},{"family":"Martopullo","given":"Ira"},{"family":"Masoumi","given":"Seyedeh Zahra"},{"family":"Massano","given":"João"},{"family":"Massenburg","given":"Benjamin Ballard"},{"family":"Mathur","given":"Manu Raj"},{"family":"Maulik","given":"Pallab K."},{"family":"McAlinden","given":"Colm"},{"family":"McGrath","given":"John J."},{"family":"McKee","given":"Martin"},{"family":"Mehndiratta","given":"Man Mohan"},{"family":"Mehri","given":"Fereshteh"},{"family":"Mehta","given":"Kala M."},{"family":"Meitei","given":"Wahengbam Bigyananda"},{"family":"Memiah","given":"Peter T. N."},{"family":"Mendoza","given":"Walter"},{"family":"Menezes","given":"Ritesh G."},{"family":"Mengesha","given":"Endalkachew Worku"},{"family":"Mengesha","given":"Meresa Berwo"},{"family":"Mereke","given":"Alibek"},{"family":"Meretoja","given":"Atte"},{"family":"Meretoja","given":"Tuomo J."},{"family":"Mestrovic","given":"Tomislav"},{"family":"Miazgowski","given":"Bartosz"},{"family":"Miazgowski","given":"Tomasz"},{"family":"Michalek","given":"Irmina Maria"},{"family":"Mihretie","given":"Kebadnew Mulatu"},{"family":"Miller","given":"Ted R."},{"family":"Mills","given":"Edward J."},{"family":"Mirica","given":"Andreea"},{"family":"Mirrakhimov","given":"Erkin M."},{"family":"Mirzaei","given":"Hamed"},{"family":"Mirzaei","given":"Maryam"},{"family":"Mirzaei-Alavijeh","given":"Mehdi"},{"family":"Misganaw","given":"Awoke Temesgen"},{"family":"Mithra","given":"Prasanna"},{"family":"Moazen","given":"Babak"},{"family":"Moghadaszadeh","given":"Masoud"},{"family":"Mohamadi","given":"Efat"},{"family":"Mohammad","given":"Dara K."},{"family":"Mohammad","given":"Yousef"},{"family":"Mezerji","given":"Naser Mohammad Gholi"},{"family":"Mohammadian-Hafshejani","given":"Abdollah"},{"family":"Mohammadifard","given":"Noushin"},{"family":"Mohammadpourhodki","given":"Reza"},{"family":"Mohammed","given":"Shafiu"},{"family":"Mokdad","given":"Ali H."},{"family":"Molokhia","given":"Mariam"},{"family":"Momen","given":"Natalie C."},{"family":"Monasta","given":"Lorenzo"},{"family":"Mondello","given":"Stefania"},{"family":"Mooney","given":"Meghan D."},{"family":"Moosazadeh","given":"Mahmood"},{"family":"Moradi","given":"Ghobad"},{"family":"Moradi","given":"Masoud"},{"family":"Moradi-Lakeh","given":"Maziar"},{"family":"Moradzadeh","given":"Rahmatollah"},{"family":"Moraga","given":"Paula"},{"family":"Morales","given":"Linda"},{"family":"Morawska","given":"Lidia"},{"family":"Velásquez","given":"Ilais Moreno"},{"family":"Morgado-da-Costa","given":"Joana"},{"family":"Morrison","given":"Shane Douglas"},{"family":"Mosser","given":"Jonathan F."},{"family":"Mouodi","given":"Simin"},{"family":"Mousavi","given":"Seyyed Meysam"},{"family":"Khaneghah","given":"Amin Mousavi"},{"family":"Mueller","given":"Ulrich Otto"},{"family":"Munro","given":"Sandra B."},{"family":"Muriithi","given":"Moses K."},{"family":"Musa","given":"Kamarul Imran"},{"family":"Muthupandian","given":"Saravanan"},{"family":"Naderi","given":"Mehdi"},{"family":"Nagarajan","given":"Ahamarshan Jayaraman"},{"family":"Nagel","given":"Gabriele"},{"family":"Naghshtabrizi","given":"Behshad"},{"family":"Nair","given":"Sanjeev"},{"family":"Nandi","given":"Anita K."},{"family":"Nangia","given":"Vinay"},{"family":"Nansseu","given":"Jobert Richie"},{"family":"Nayak","given":"Vinod C."},{"family":"Nazari","given":"Javad"},{"family":"Negoi","given":"Ionut"},{"family":"Negoi","given":"Ruxandra Irina"},{"family":"Netsere","given":"Henok Biresaw Netsere"},{"family":"Ngunjiri","given":"Josephine W."},{"family":"Nguyen","given":"Cuong Tat"},{"family":"Nguyen","given":"Jason"},{"family":"Nguyen","given":"Michele"},{"family":"Nguyen","given":"Minh"},{"family":"Nichols","given":"Emma"},{"family":"Nigatu","given":"Dabere"},{"family":"Nigatu","given":"Yeshambel T."},{"family":"Nikbakhsh","given":"Rajan"},{"family":"Nixon","given":"Molly R."},{"family":"Nnaji","given":"Chukwudi A."},{"family":"Nomura","given":"Shuhei"},{"family":"Norrving","given":"Bo"},{"family":"Noubiap","given":"Jean Jacques"},{"family":"Nowak","given":"Christoph"},{"family":"Nunez-Samudio","given":"Virginia"},{"family":"Oţoiu","given":"Adrian"},{"family":"Oancea","given":"Bogdan"},{"family":"Odell","given":"Christopher M."},{"family":"Ogbo","given":"Felix Akpojene"},{"family":"Oh","given":"In-Hwan"},{"family":"Okunga","given":"Emmanuel Wandera"},{"family":"Oladnabi","given":"Morteza"},{"family":"Olagunju","given":"Andrew T."},{"family":"Olusanya","given":"Bolajoko Olubukunola"},{"family":"Olusanya","given":"Jacob Olusegun"},{"family":"Oluwasanu","given":"Mojisola Morenike"},{"family":"Bali","given":"Ahmed Omar"},{"family":"Omer","given":"Muktar Omer"},{"family":"Ong","given":"Kanyin L."},{"family":"Onwujekwe","given":"Obinna E."},{"family":"Orji","given":"Aislyn U."},{"family":"Orpana","given":"Heather M."},{"family":"Ortiz","given":"Alberto"},{"family":"Ostroff","given":"Samuel M."},{"family":"Otstavnov","given":"Nikita"},{"family":"Otstavnov","given":"Stanislav S."},{"family":"Øverland","given":"Simon"},{"family":"Owolabi","given":"Mayowa O."},{"family":"A","given":"Mahesh P."},{"family":"Padubidri","given":"Jagadish Rao"},{"family":"Pakhare","given":"Abhijit P."},{"family":"Palladino","given":"Raffaele"},{"family":"Pana","given":"Adrian"},{"family":"Panda-Jonas","given":"Songhomitra"},{"family":"Pandey","given":"Anamika"},{"family":"Park","given":"Eun-Kee"},{"family":"Parmar","given":"Priya G. Kumari"},{"family":"Pasupula","given":"Deepak Kumar"},{"family":"Patel","given":"Sangram Kishor"},{"family":"Paternina-Caicedo","given":"Angel J."},{"family":"Pathak","given":"Ashish"},{"family":"Pathak","given":"Mona"},{"family":"Patten","given":"Scott B."},{"family":"Patton","given":"George C."},{"family":"Paudel","given":"Deepak"},{"family":"Toroudi","given":"Hamidreza Pazoki"},{"family":"Peden","given":"Amy E."},{"family":"Pennini","given":"Alyssa"},{"family":"Pepito","given":"Veincent Christian Filipino"},{"family":"Peprah","given":"Emmanuel K."},{"family":"Pereira","given":"Alexandre"},{"family":"Pereira","given":"David M."},{"family":"Perico","given":"Norberto"},{"family":"Pham","given":"Hai Quang"},{"family":"Phillips","given":"Michael R."},{"family":"Pigott","given":"David M."},{"family":"Pilgrim","given":"Thomas"},{"family":"Pilz","given":"Tessa M."},{"family":"Pirsaheb","given":"Meghdad"},{"family":"Plana-Ripoll","given":"Oleguer"},{"family":"Plass","given":"Dietrich"},{"family":"Pokhrel","given":"Khem Narayan"},{"family":"Polibin","given":"Roman V."},{"family":"Polinder","given":"Suzanne"},{"family":"Polkinghorne","given":"Kevan R."},{"family":"Postma","given":"Maarten J."},{"family":"Pourjafar","given":"Hadi"},{"family":"Pourmalek","given":"Farshad"},{"family":"Kalhori","given":"Reza Pourmirza"},{"family":"Pourshams","given":"Akram"},{"family":"Poznańska","given":"Anna"},{"family":"Prada","given":"Sergio I."},{"family":"Prakash","given":"V."},{"family":"Pribadi","given":"Dimas Ria Angga"},{"family":"Pupillo","given":"Elisabetta"},{"family":"Syed","given":"Zahiruddin Quazi"},{"family":"Rabiee","given":"Mohammad"},{"family":"Rabiee","given":"Navid"},{"family":"Radfar","given":"Amir"},{"family":"Rafiee","given":"Ata"},{"family":"Rafiei","given":"Alireza"},{"family":"Raggi","given":"Alberto"},{"family":"Rahimi-Movaghar","given":"Afarin"},{"family":"Rahman","given":"Muhammad Aziz"},{"family":"Rajabpour-Sanati","given":"Ali"},{"family":"Rajati","given":"Fatemeh"},{"family":"Ramezanzadeh","given":"Kiana"},{"family":"Ranabhat","given":"Chhabi Lal"},{"family":"Rao","given":"Puja C."},{"family":"Rao","given":"Sowmya J."},{"family":"Rasella","given":"Davide"},{"family":"Rastogi","given":"Prateek"},{"family":"Rathi","given":"Priya"},{"family":"Rawaf","given":"David Laith"},{"family":"Rawaf","given":"Salman"},{"family":"Rawal","given":"Lal"},{"family":"Razo","given":"Christian"},{"family":"Redford","given":"Sofia Boston"},{"family":"Reiner","given":"Robert C."},{"family":"Reinig","given":"Nickolas"},{"family":"Reitsma","given":"Marissa Bettay"},{"family":"Remuzzi","given":"Giuseppe"},{"family":"Renjith","given":"Vishnu"},{"family":"Renzaho","given":"Andre M. N."},{"family":"Resnikoff","given":"Serge"},{"family":"Rezaei","given":"Nima"},{"family":"Rezai","given":"Mohammad","dropping-particle":"sadegh"},{"family":"Rezapour","given":"Aziz"},{"family":"Rhinehart","given":"Phoebe-Anne"},{"family":"Riahi","given":"Seyed Mohammad"},{"family":"Ribeiro","given":"Antonio Luiz P."},{"family":"Ribeiro","given":"Daniel Cury"},{"family":"Ribeiro","given":"Daniela"},{"family":"Rickard","given":"Jennifer"},{"family":"Roberts","given":"Nicholas L. S."},{"family":"Roberts","given":"Shaun"},{"family":"Robinson","given":"Stephen R."},{"family":"Roever","given":"Leonardo"},{"family":"Rolfe","given":"Sam"},{"family":"Ronfani","given":"Luca"},{"family":"Roshandel","given":"Gholamreza"},{"family":"Roth","given":"Gregory A."},{"family":"Rubagotti","given":"Enrico"},{"family":"Rumisha","given":"Susan Fred"},{"family":"Sabour","given":"Siamak"},{"family":"Sachdev","given":"Perminder S."},{"family":"Saddik","given":"Basema"},{"family":"Sadeghi","given":"Ehsan"},{"family":"Sadeghi","given":"Masoumeh"},{"family":"Saeidi","given":"Shahram"},{"family":"Safi","given":"Sare"},{"family":"Safiri","given":"Saeid"},{"family":"Sagar","given":"Rajesh"},{"family":"Sahebkar","given":"Amirhossein"},{"family":"Sahraian","given":"Mohammad Ali"},{"family":"Sajadi","given":"S. Mohammad"},{"family":"Salahshoor","given":"Mohammad Reza"},{"family":"Salamati","given":"Payman"},{"family":"Zahabi","given":"Saleh Salehi"},{"family":"Salem","given":"Hosni"},{"family":"Salem","given":"Marwa R. Rashad"},{"family":"Salimzadeh","given":"Hamideh"},{"family":"Salomon","given":"Joshua A."},{"family":"Salz","given":"Inbal"},{"family":"Samad","given":"Zainab"},{"family":"Samy","given":"Abdallah M."},{"family":"Sanabria","given":"Juan"},{"family":"Santomauro","given":"Damian Francesco"},{"family":"Santos","given":"Itamar S."},{"family":"Santos","given":"João Vasco"},{"family":"Santric-Milicevic","given":"Milena M."},{"family":"Saraswathy","given":"Sivan Yegnanarayana Iyer"},{"family":"Sarmiento-Suárez","given":"Rodrigo"},{"family":"Sarrafzadegan","given":"Nizal"},{"family":"Sartorius","given":"Benn"},{"family":"Sarveazad","given":"Arash"},{"family":"Sathian","given":"Brijesh"},{"family":"Sathish","given":"Thirunavukkarasu"},{"family":"Sattin","given":"Davide"},{"family":"Sbarra","given":"Alyssa N."},{"family":"Schaeffer","given":"Lauren E."},{"family":"Schiavolin","given":"Silvia"},{"family":"Schmidt","given":"Maria Inês"},{"family":"Schutte","given":"Aletta Elisabeth"},{"family":"Schwebel","given":"David C."},{"family":"Schwendicke","given":"Falk"},{"family":"Senbeta","given":"Anbissa Muleta"},{"family":"Senthilkumaran","given":"Subramanian"},{"family":"Sepanlou","given":"Sadaf G."},{"family":"Shackelford","given":"Katya Anne"},{"family":"Shadid","given":"Jamileh"},{"family":"Shahabi","given":"Saeed"},{"family":"Shaheen","given":"Amira A."},{"family":"Shaikh","given":"Masood Ali"},{"family":"Shalash","given":"Ali S."},{"family":"Shams-Beyranvand","given":"Mehran"},{"family":"Shamsizadeh","given":"Morteza"},{"family":"Shannawaz","given":"Mohammed"},{"family":"Sharafi","given":"Kiomars"},{"family":"Sharara","given":"Fablina"},{"family":"Sheena","given":"Brittney S."},{"family":"Sheikhtaheri","given":"Abbas"},{"family":"Shetty","given":"Ranjitha S."},{"family":"Shibuya","given":"Kenji"},{"family":"Shiferaw","given":"Wondimeneh Shibabaw"},{"family":"Shigematsu","given":"Mika"},{"family":"Shin","given":"Jae Il"},{"family":"Shiri","given":"Rahman"},{"family":"Shirkoohi","given":"Reza"},{"family":"Shrime","given":"Mark G."},{"family":"Shuval","given":"Kerem"},{"family":"Siabani","given":"Soraya"},{"family":"Sigfusdottir","given":"Inga Dora"},{"family":"Sigurvinsdottir","given":"Rannveig"},{"family":"Silva","given":"João Pedro"},{"family":"Simpson","given":"Kyle E."},{"family":"Singh","given":"Ambrish"},{"family":"Singh","given":"Jasvinder A."},{"family":"Skiadaresi","given":"Eirini"},{"family":"Skou","given":"Søren T."},{"family":"Skryabin","given":"Valentin Yurievich"},{"family":"Sobngwi","given":"Eugene"},{"family":"Sokhan","given":"Anton"},{"family":"Soltani","given":"Shahin"},{"family":"Sorensen","given":"Reed J. D."},{"family":"Soriano","given":"Joan B."},{"family":"Sorrie","given":"Muluken Bekele"},{"family":"Soyiri","given":"Ireneous N."},{"family":"Sreeramareddy","given":"Chandrashekhar T."},{"family":"Stanaway","given":"Jeffrey D."},{"family":"Stark","given":"Benjamin A."},{"family":"Ştefan","given":"Simona Cătălina"},{"family":"Stein","given":"Caroline"},{"family":"Steiner","given":"Caitlyn"},{"family":"Steiner","given":"Timothy J."},{"family":"Stokes","given":"Mark A."},{"family":"Stovner","given":"Lars Jacob"},{"family":"Stubbs","given":"Jacob L."},{"family":"Sudaryanto","given":"Agus"},{"family":"Sufiyan","given":"Mu'awiyyah Babale"},{"family":"Sulo","given":"Gerhard"},{"family":"Sultan","given":"Iyad"},{"family":"Sykes","given":"Bryan L."},{"family":"Sylte","given":"Dillon O."},{"family":"Szócska","given":"Miklós"},{"family":"Tabarés-Seisdedos","given":"Rafael"},{"family":"Tabb","given":"Karen M."},{"family":"Tadakamadla","given":"Santosh Kumar"},{"family":"Taherkhani","given":"Amir"},{"family":"Tajdini","given":"Masih"},{"family":"Takahashi","given":"Ken"},{"family":"Taveira","given":"Nuno"},{"family":"Teagle","given":"Whitney L."},{"family":"Teame","given":"Hirut"},{"family":"Tehrani-Banihashemi","given":"Arash"},{"family":"Teklehaimanot","given":"Berhane Fseha"},{"family":"Terrason","given":"Sonyah"},{"family":"Tessema","given":"Zemenu Tadesse"},{"family":"Thankappan","given":"Kavumpurathu Raman"},{"family":"Thomson","given":"Azalea M."},{"family":"Tohidinik","given":"Hamid Reza"},{"family":"Tonelli","given":"Marcello"},{"family":"Topor-Madry","given":"Roman"},{"family":"Torre","given":"Anna E."},{"family":"Touvier","given":"Mathilde"},{"family":"Tovani-Palone","given":"Marcos Roberto Roberto"},{"family":"Tran","given":"Bach Xuan"},{"family":"Travillian","given":"Ravensara"},{"family":"Troeger","given":"Christopher E."},{"family":"Truelsen","given":"Thomas Clement"},{"family":"Tsai","given":"Alexander C."},{"family":"Tsatsakis","given":"Aristidis"},{"family":"Car","given":"Lorainne Tudor"},{"family":"Tyrovolas","given":"Stefanos"},{"family":"Uddin","given":"Riaz"},{"family":"Ullah","given":"Saif"},{"family":"Undurraga","given":"Eduardo A."},{"family":"Unnikrishnan","given":"Bhaskaran"},{"family":"Vacante","given":"Marco"},{"family":"Vakilian","given":"Alireza"},{"family":"Valdez","given":"Pascual R."},{"family":"Varughese","given":"Santosh"},{"family":"Vasankari","given":"Tommi Juhani"},{"family":"Vasseghian","given":"Yasser"},{"family":"Venketasubramanian","given":"Narayanaswamy"},{"family":"Violante","given":"Francesco S."},{"family":"Vlassov","given":"Vasily"},{"family":"Vollset","given":"Stein Emil"},{"family":"Vongpradith","given":"Avina"},{"family":"Vukovic","given":"Ana"},{"family":"Vukovic","given":"Rade"},{"family":"Waheed","given":"Yasir"},{"family":"Walters","given":"Madgalene K."},{"family":"Wang","given":"Jiayu"},{"family":"Wang","given":"Yafeng"},{"family":"Wang","given":"Yuan-Pang"},{"family":"Ward","given":"Joseph L."},{"family":"Watson","given":"Alexandrea"},{"family":"Wei","given":"Jingkai"},{"family":"Weintraub","given":"Robert G."},{"family":"Weiss","given":"Daniel J."},{"family":"Weiss","given":"Jordan"},{"family":"Westerman","given":"Ronny"},{"family":"Whisnant","given":"Joanna L."},{"family":"Whiteford","given":"Harvey A."},{"family":"Wiangkham","given":"Taweewat"},{"family":"Wiens","given":"Kirsten E."},{"family":"Wijeratne","given":"Tissa"},{"family":"Wilner","given":"Lauren B."},{"family":"Wilson","given":"Shadrach"},{"family":"Wojtyniak","given":"Bogdan"},{"family":"Wolfe","given":"Charles D. A."},{"family":"Wool","given":"Eve E."},{"family":"Wu","given":"Ai-Min"},{"family":"Hanson","given":"Sarah Wulf"},{"family":"Wunrow","given":"Han Yong"},{"family":"Xu","given":"Gelin"},{"family":"Xu","given":"Rixing"},{"family":"Yadgir","given":"Simon"},{"family":"Jabbari","given":"Seyed Hossein Yahyazadeh"},{"family":"Yamagishi","given":"Kazumasa"},{"family":"Yaminfirooz","given":"Mousa"},{"family":"Yano","given":"Yuichiro"},{"family":"Yaya","given":"Sanni"},{"family":"Yazdi-Feyzabadi","given":"Vahid"},{"family":"Yearwood","given":"Jamal A."},{"family":"Yeheyis","given":"Tomas Y."},{"family":"Yeshitila","given":"Yordanos Gizachew"},{"family":"Yip","given":"Paul"},{"family":"Yonemoto","given":"Naohiro"},{"family":"Yoon","given":"Seok-Jun"},{"family":"Lebni","given":"Javad Yoosefi"},{"family":"Younis","given":"Mustafa Z."},{"family":"Younker","given":"Theodore Patrick"},{"family":"Yousefi","given":"Zabihollah"},{"family":"Yousefifard","given":"Mahmoud"},{"family":"Yousefinezhadi","given":"Taraneh"},{"family":"Yousuf","given":"Abdilahi Yousuf"},{"family":"Yu","given":"Chuanhua"},{"family":"Yusefzadeh","given":"Hasan"},{"family":"Moghadam","given":"Telma Zahirian"},{"family":"Zaki","given":"Leila"},{"family":"Zaman","given":"Sojib Bin"},{"family":"Zamani","given":"Mohammad"},{"family":"Zamanian","given":"Maryam"},{"family":"Zandian","given":"Hamed"},{"family":"Zangeneh","given":"Alireza"},{"family":"Zastrozhin","given":"Mikhail Sergeevich"},{"family":"Zewdie","given":"Kaleab Alemayehu"},{"family":"Zhang","given":"Yunquan"},{"family":"Zhang","given":"Zhi-Jiang"},{"family":"Zhao","given":"Jeff T."},{"family":"Zhao","given":"Yingxi"},{"family":"Zheng","given":"Peng"},{"family":"Zhou","given":"Maigeng"},{"family":"Ziapour","given":"Arash"},{"family":"Zimsen","given":"Stephanie R. M."},{"family":"Naghavi","given":"Mohsen"},{"family":"Murray","given":"Christopher J. L."}],"issued":{"date-parts":[["2020",10,17]]}},"locator":"20"}],"schema":"https://github.com/citation-style-language/schema/raw/master/csl-citation.json"} </w:instrText>
            </w:r>
            <w:r w:rsidRPr="008E4595">
              <w:rPr>
                <w:rFonts w:eastAsia="Times New Roman"/>
                <w:sz w:val="18"/>
                <w:szCs w:val="18"/>
                <w:lang w:val="en-US" w:eastAsia="en-GB"/>
              </w:rPr>
              <w:fldChar w:fldCharType="separate"/>
            </w:r>
            <w:r w:rsidRPr="008E4595">
              <w:rPr>
                <w:rFonts w:eastAsia="Times New Roman"/>
                <w:sz w:val="18"/>
                <w:szCs w:val="18"/>
                <w:lang w:val="en-US" w:eastAsia="en-GB"/>
              </w:rPr>
              <w:t>[1]</w:t>
            </w:r>
            <w:r w:rsidRPr="008E4595">
              <w:rPr>
                <w:rFonts w:eastAsia="Times New Roman"/>
                <w:sz w:val="18"/>
                <w:szCs w:val="18"/>
                <w:lang w:val="en-US" w:eastAsia="en-GB"/>
              </w:rPr>
              <w:fldChar w:fldCharType="end"/>
            </w:r>
            <w:r w:rsidRPr="008E4595">
              <w:rPr>
                <w:rFonts w:eastAsia="Times New Roman"/>
                <w:sz w:val="18"/>
                <w:szCs w:val="18"/>
                <w:lang w:val="en-US" w:eastAsia="en-GB"/>
              </w:rPr>
              <w:t xml:space="preserve">. GERD, characterized by recurrent heartburn and acid reflux episodes, impacts approximately 18% of the global populace </w:t>
            </w:r>
            <w:r w:rsidRPr="008E4595">
              <w:rPr>
                <w:rFonts w:eastAsia="Times New Roman"/>
                <w:sz w:val="18"/>
                <w:szCs w:val="18"/>
                <w:lang w:val="en-US" w:eastAsia="en-GB"/>
              </w:rPr>
              <w:fldChar w:fldCharType="begin"/>
            </w:r>
            <w:r w:rsidRPr="008E4595">
              <w:rPr>
                <w:rFonts w:eastAsia="Times New Roman"/>
                <w:sz w:val="18"/>
                <w:szCs w:val="18"/>
                <w:lang w:val="en-US" w:eastAsia="en-GB"/>
              </w:rPr>
              <w:instrText xml:space="preserve"> ADDIN ZOTERO_ITEM CSL_CITATION {"citationID":"XPJ2AzbA","properties":{"formattedCitation":"[2]","plainCitation":"[2]","noteIndex":0},"citationItems":[{"id":995,"uris":["http://zotero.org/users/11893546/items/A4DD83A5"],"itemData":{"id":995,"type":"article-journal","container-title":"The Lancet Gastroenterology &amp; Hepatology","DOI":"10.1016/S2468-1253(19)30408-X","ISSN":"2468-1253, 2468-1156","issue":"6","journalAbbreviation":"The Lancet Gastroenterology &amp; Hepatology","language":"English","note":"publisher: Elsevier\nPMID: 32178772","page":"561-581","source":"www.thelancet.com","title":"The global, regional, and national burden of gastro-oesophageal reflux disease in 195 countries and territories, 1990–2017: a systematic analysis for the Global Burden of Disease Study 2017","title-short":"The global, regional, and national burden of gastro-oesophageal reflux disease in 195 countries and territories, 1990–2017","volume":"5","author":[{"family":"Dirac","given":"M. Ashworth"},{"family":"Safiri","given":"Saeid"},{"family":"Tsoi","given":"Derrick"},{"family":"Adedoyin","given":"Rufus Adesoji"},{"family":"Afshin","given":"Ashkan"},{"family":"Akhlaghi","given":"Narjes"},{"family":"Alahdab","given":"Fares"},{"family":"Almulhim","given":"Abdulaziz M."},{"family":"Amini","given":"Saeed"},{"family":"Ausloos","given":"Floriane"},{"family":"Bacha","given":"Umar"},{"family":"Banach","given":"Maciej"},{"family":"Bhagavathula","given":"Akshaya Srikanth"},{"family":"Bijani","given":"Ali"},{"family":"Biondi","given":"Antonio"},{"family":"Borzì","given":"Antonio Maria"},{"family":"Colombara","given":"Danny"},{"family":"Corey","given":"Kathleen Elizabeth"},{"family":"Dagnew","given":"Baye"},{"family":"Daryani","given":"Ahmad"},{"family":"Davitoiu","given":"Dragos Virgil"},{"family":"Demeke","given":"Feleke Mekonnen"},{"family":"Demoz","given":"Gebre Teklemariam"},{"family":"Do","given":"Huyen Phuc"},{"family":"Etemadi","given":"Arash"},{"family":"Farzadfar","given":"Farshad"},{"family":"Fischer","given":"Florian"},{"family":"Gebre","given":"Abadi Kahsu"},{"family":"Gebremariam","given":"Hadush"},{"family":"Gebremichael","given":"Berhe"},{"family":"Ghashghaee","given":"Ahmad"},{"family":"Ghoshal","given":"Uday C."},{"family":"Hamidi","given":"Samer"},{"family":"Hasankhani","given":"Milad"},{"family":"Hassan","given":"Shoaib"},{"family":"Hay","given":"Simon I."},{"family":"Hoang","given":"Chi Linh"},{"family":"Hole","given":"Michael K."},{"family":"Ikuta","given":"Kevin S."},{"family":"Ilesanmi","given":"Olayinka Stephen"},{"family":"Irvani","given":"Seyed Sina Naghibi"},{"family":"James","given":"Spencer L."},{"family":"Joukar","given":"Farahnaz"},{"family":"Kabir","given":"Ali"},{"family":"Kassaye","given":"Hagazi Gebremedhin"},{"family":"Kavetskyy","given":"Taras"},{"family":"Kengne","given":"Andre Pascal"},{"family":"Khalilov","given":"Rovshan"},{"family":"Khan","given":"Muhammad U."},{"family":"Khan","given":"Ejaz Ahmad"},{"family":"Khan","given":"Maseer"},{"family":"Khater","given":"Amir"},{"family":"Kimokoti","given":"Ruth W."},{"family":"Koyanagi","given":"Ai"},{"family":"Manda","given":"Ana-Laura"},{"family":"Mehta","given":"Dhruv"},{"family":"Mehta","given":"Varshil"},{"family":"Meretoja","given":"Tuomo J."},{"family":"Mestrovic","given":"Tomislav"},{"family":"Mirrakhimov","given":"Erkin M."},{"family":"Mithra","given":"Prasanna"},{"family":"Mohammadian-Hafshejani","given":"Abdollah"},{"family":"Mohammadoo-Khorasani","given":"Milad"},{"family":"Mokdad","given":"Ali H."},{"family":"Moossavi","given":"Maryam"},{"family":"Moradi","given":"Ghobad"},{"family":"Mustafa","given":"Ghulam"},{"family":"Naimzada","given":"Mukhammad David"},{"family":"Nasseri-Moghaddam","given":"Siavosh"},{"family":"Nazari","given":"Javad"},{"family":"Negoi","given":"Ionut"},{"family":"Nguyen","given":"Cuong Tat"},{"family":"Nguyen","given":"Huong Lan Thi"},{"family":"Nixon","given":"Molly R."},{"family":"Olum","given":"Solomon"},{"family":"Pourshams","given":"Akram"},{"family":"Poustchi","given":"Hossein"},{"family":"Rabiee","given":"Mohammad"},{"family":"Rabiee","given":"Navid"},{"family":"Rafiei","given":"Alireza"},{"family":"Rawaf","given":"Salman"},{"family":"Rawaf","given":"David Laith"},{"family":"Roberts","given":"Nicholas L. S."},{"family":"Roshandel","given":"Gholamreza"},{"family":"Safari","given":"Saeed"},{"family":"Salimzadeh","given":"Hamideh"},{"family":"Sartorius","given":"Benn"},{"family":"Sarveazad","given":"Arash"},{"family":"Sepanlou","given":"Sadaf G."},{"family":"Sharifi","given":"Amrollah"},{"family":"Soheili","given":"Amin"},{"family":"Suleria","given":"Hafiz Ansar Rasul"},{"family":"Tadesse","given":"Degena Bahrey"},{"family":"Tela","given":"Freweini Gebrearegay G."},{"family":"Tesfay","given":"Berhe Etsay"},{"family":"Thakur","given":"Bhaskar"},{"family":"Tran","given":"Bach Xuan"},{"family":"Vacante","given":"Marco"},{"family":"Vahedi","given":"Parviz"},{"family":"Veisani","given":"Yousef"},{"family":"Vos","given":"Theo"},{"family":"Vosoughi","given":"Kia"},{"family":"Werdecker","given":"Andrea"},{"family":"Wondmieneh","given":"Adam Belay"},{"family":"Yeshitila","given":"Yordanos Gizachew"},{"family":"Zamani","given":"Mohammad"},{"family":"Zewdie","given":"Kaleab Alemayehu"},{"family":"Zhang","given":"Zhi-Jiang"},{"family":"Malekzadeh","given":"Reza"},{"family":"Naghavi","given":"Mohsen"}],"issued":{"date-parts":[["2020",6,1]]}}}],"schema":"https://github.com/citation-style-language/schema/raw/master/csl-citation.json"} </w:instrText>
            </w:r>
            <w:r w:rsidRPr="008E4595">
              <w:rPr>
                <w:rFonts w:eastAsia="Times New Roman"/>
                <w:sz w:val="18"/>
                <w:szCs w:val="18"/>
                <w:lang w:val="en-US" w:eastAsia="en-GB"/>
              </w:rPr>
              <w:fldChar w:fldCharType="separate"/>
            </w:r>
            <w:r w:rsidRPr="008E4595">
              <w:rPr>
                <w:rFonts w:eastAsia="Times New Roman"/>
                <w:sz w:val="18"/>
                <w:szCs w:val="18"/>
                <w:lang w:val="en-US" w:eastAsia="en-GB"/>
              </w:rPr>
              <w:t>[2]</w:t>
            </w:r>
            <w:r w:rsidRPr="008E4595">
              <w:rPr>
                <w:rFonts w:eastAsia="Times New Roman"/>
                <w:sz w:val="18"/>
                <w:szCs w:val="18"/>
                <w:lang w:val="en-US" w:eastAsia="en-GB"/>
              </w:rPr>
              <w:fldChar w:fldCharType="end"/>
            </w:r>
            <w:r w:rsidRPr="008E4595">
              <w:rPr>
                <w:rFonts w:eastAsia="Times New Roman"/>
                <w:sz w:val="18"/>
                <w:szCs w:val="18"/>
                <w:lang w:val="en-US" w:eastAsia="en-GB"/>
              </w:rPr>
              <w:t xml:space="preserve">. OA, identified as a predominant musculoskeletal disorder, leads to joint discomfort and diminished </w:t>
            </w:r>
            <w:r w:rsidRPr="008E4595">
              <w:rPr>
                <w:rFonts w:eastAsia="Times New Roman"/>
                <w:sz w:val="18"/>
                <w:szCs w:val="18"/>
                <w:lang w:val="en-US" w:eastAsia="en-GB"/>
              </w:rPr>
              <w:lastRenderedPageBreak/>
              <w:t>mobility, affecting roughly 528 million people globally</w:t>
            </w:r>
            <w:r w:rsidRPr="008E4595">
              <w:rPr>
                <w:rFonts w:eastAsia="Times New Roman"/>
                <w:sz w:val="18"/>
                <w:szCs w:val="18"/>
                <w:lang w:val="en-US" w:eastAsia="en-GB"/>
              </w:rPr>
              <w:fldChar w:fldCharType="begin"/>
            </w:r>
            <w:r w:rsidRPr="008E4595">
              <w:rPr>
                <w:rFonts w:eastAsia="Times New Roman"/>
                <w:sz w:val="18"/>
                <w:szCs w:val="18"/>
                <w:lang w:val="en-US" w:eastAsia="en-GB"/>
              </w:rPr>
              <w:instrText xml:space="preserve"> ADDIN ZOTERO_ITEM CSL_CITATION {"citationID":"8Pt7U86y","properties":{"formattedCitation":"[1]","plainCitation":"[1]","noteIndex":0},"citationItems":[{"id":989,"uris":["http://zotero.org/users/11893546/items/HCWHVQIC"],"itemData":{"id":989,"type":"article-journal","container-title":"The Lancet","DOI":"10.1016/S0140-6736(20)30925-9","ISSN":"0140-6736, 1474-547X","issue":"10258","journalAbbreviation":"The Lancet","language":"English","note":"publisher: Elsevier\nPMID: 33069326","page":"1204-1222","source":"www.thelancet.com","title":"Global burden of 369 diseases and injuries in 204 countries and territories, 1990–2019: a systematic analysis for the Global Burden of Disease Study 2019","title-short":"Global burden of 369 diseases and injuries in 204 countries and territories, 1990–2019","volume":"396","author":[{"family":"Vos","given":"Theo"},{"family":"Lim","given":"Stephen S."},{"family":"Abbafati","given":"Cristiana"},{"family":"Abbas","given":"Kaja M."},{"family":"Abbasi","given":"Mohammad"},{"family":"Abbasifard","given":"Mitra"},{"family":"Abbasi-Kangevari","given":"Mohsen"},{"family":"Abbastabar","given":"Hedayat"},{"family":"Abd-Allah","given":"Foad"},{"family":"Abdelalim","given":"Ahmed"},{"family":"Abdollahi","given":"Mohammad"},{"family":"Abdollahpour","given":"Ibrahim"},{"family":"Abolhassani","given":"Hassan"},{"family":"Aboyans","given":"Victor"},{"family":"Abrams","given":"Elissa M."},{"family":"Abreu","given":"Lucas Guimarães"},{"family":"Abrigo","given":"Michael R. M."},{"family":"Abu-Raddad","given":"Laith Jamal"},{"family":"Abushouk","given":"Abdelrahman I."},{"family":"Acebedo","given":"Alyssa"},{"family":"Ackerman","given":"Ilana N."},{"family":"Adabi","given":"Maryam"},{"family":"Adamu","given":"Abdu A."},{"family":"Adebayo","given":"Oladimeji M."},{"family":"Adekanmbi","given":"Victor"},{"family":"Adelson","given":"Jaimie D."},{"family":"Adetokunboh","given":"Olatunji O."},{"family":"Adham","given":"Davoud"},{"family":"Afshari","given":"Mahdi"},{"family":"Afshin","given":"Ashkan"},{"family":"Agardh","given":"Emilie E."},{"family":"Agarwal","given":"Gina"},{"family":"Agesa","given":"Kareha M."},{"family":"Aghaali","given":"Mohammad"},{"family":"Aghamir","given":"Seyed Mohammad Kazem"},{"family":"Agrawal","given":"Anurag"},{"family":"Ahmad","given":"Tauseef"},{"family":"Ahmadi","given":"Alireza"},{"family":"Ahmadi","given":"Mehdi"},{"family":"Ahmadieh","given":"Hamid"},{"family":"Ahmadpour","given":"Ehsan"},{"family":"Akalu","given":"Temesgen Yihunie"},{"family":"Akinyemi","given":"Rufus Olusola"},{"family":"Akinyemiju","given":"Tomi"},{"family":"Akombi","given":"Blessing"},{"family":"Al-Aly","given":"Ziyad"},{"family":"Alam","given":"Khurshid"},{"family":"Alam","given":"Noore"},{"family":"Alam","given":"Samiah"},{"family":"Alam","given":"Tahiya"},{"family":"Alanzi","given":"Turki M."},{"family":"Albertson","given":"Samuel B."},{"family":"Alcalde-Rabanal","given":"Jacqueline Elizabeth"},{"family":"Alema","given":"Niguse Meles"},{"family":"Ali","given":"Muhammad"},{"family":"Ali","given":"Saqib"},{"family":"Alicandro","given":"Gianfranco"},{"family":"Alijanzadeh","given":"Mehran"},{"family":"Alinia","given":"Cyrus"},{"family":"Alipour","given":"Vahid"},{"family":"Aljunid","given":"Syed Mohamed"},{"family":"Alla","given":"François"},{"family":"Allebeck","given":"Peter"},{"family":"Almasi-Hashiani","given":"Amir"},{"family":"Alonso","given":"Jordi"},{"family":"Al-Raddadi","given":"Rajaa M."},{"family":"Altirkawi","given":"Khalid A."},{"family":"Alvis-Guzman","given":"Nelson"},{"family":"Alvis-Zakzuk","given":"Nelson J."},{"family":"Amini","given":"Saeed"},{"family":"Amini-Rarani","given":"Mostafa"},{"family":"Aminorroaya","given":"Arya"},{"family":"Amiri","given":"Fatemeh"},{"family":"Amit","given":"Arianna Maever L."},{"family":"Amugsi","given":"Dickson A."},{"family":"Amul","given":"Gianna Gayle Herrera"},{"family":"Anderlini","given":"Deanna"},{"family":"Andrei","given":"Catalina Liliana"},{"family":"Andrei","given":"Tudorel"},{"family":"Anjomshoa","given":"Mina"},{"family":"Ansari","given":"Fereshteh"},{"family":"Ansari","given":"Iman"},{"family":"Ansari-Moghaddam","given":"Alireza"},{"family":"Antonio","given":"Carl Abelardo T."},{"family":"Antony","given":"Catherine M."},{"family":"Antriyandarti","given":"Ernoiz"},{"family":"Anvari","given":"Davood"},{"family":"Anwer","given":"Razique"},{"family":"Arabloo","given":"Jalal"},{"family":"Arab-Zozani","given":"Morteza"},{"family":"Aravkin","given":"Aleksandr Y."},{"family":"Ariani","given":"Filippo"},{"family":"Ärnlöv","given":"Johan"},{"family":"Aryal","given":"Krishna K."},{"family":"Arzani","given":"Afsaneh"},{"family":"Asadi-Aliabadi","given":"Mehran"},{"family":"Asadi-Pooya","given":"Ali A."},{"family":"Asghari","given":"Babak"},{"family":"Ashbaugh","given":"Charlie"},{"family":"Atnafu","given":"Desta Debalkie"},{"family":"Atre","given":"Sachin R."},{"family":"Ausloos","given":"Floriane"},{"family":"Ausloos","given":"Marcel"},{"family":"Quintanilla","given":"Beatriz Paulina Ayala"},{"family":"Ayano","given":"Getinet"},{"family":"Ayanore","given":"Martin Amogre"},{"family":"Aynalem","given":"Yared Asmare"},{"family":"Azari","given":"Samad"},{"family":"Azarian","given":"Ghasem"},{"family":"Azene","given":"Zelalem Nigussie"},{"family":"Babaee","given":"Ebrahim"},{"family":"Badawi","given":"Alaa"},{"family":"Bagherzadeh","given":"Mojtaba"},{"family":"Bakhshaei","given":"Mohammad Hossein"},{"family":"Bakhtiari","given":"Ahad"},{"family":"Balakrishnan","given":"Senthilkumar"},{"family":"Balalla","given":"Shivanthi"},{"family":"Balassyano","given":"Shelly"},{"family":"Banach","given":"Maciej"},{"family":"Banik","given":"Palash Chandra"},{"family":"Bannick","given":"Marlena S."},{"family":"Bante","given":"Agegnehu Bante"},{"family":"Baraki","given":"Adhanom Gebreegziabher"},{"family":"Barboza","given":"Miguel A."},{"family":"Barker-Collo","given":"Suzanne Lyn"},{"family":"Barthelemy","given":"Celine M."},{"family":"Barua","given":"Lingkan"},{"family":"Barzegar","given":"Akbar"},{"family":"Basu","given":"Sanjay"},{"family":"Baune","given":"Bernhard T."},{"family":"Bayati","given":"Mohsen"},{"family":"Bazmandegan","given":"Gholamreza"},{"family":"Bedi","given":"Neeraj"},{"family":"Beghi","given":"Ettore"},{"family":"Béjot","given":"Yannick"},{"family":"Bello","given":"Aminu K."},{"family":"Bender","given":"Rose G."},{"family":"Bennett","given":"Derrick A."},{"family":"Bennitt","given":"Fiona B."},{"family":"Bensenor","given":"Isabela M."},{"family":"Benziger","given":"Catherine P."},{"family":"Berhe","given":"Kidanemaryam"},{"family":"Bernabe","given":"Eduardo"},{"family":"Bertolacci","given":"Gregory J."},{"family":"Bhageerathy","given":"Reshmi"},{"family":"Bhala","given":"Neeraj"},{"family":"Bhandari","given":"Dinesh"},{"family":"Bhardwaj","given":"Pankaj"},{"family":"Bhattacharyya","given":"Krittika"},{"family":"Bhutta","given":"Zulfiqar A."},{"family":"Bibi","given":"Sadia"},{"family":"Biehl","given":"Molly H."},{"family":"Bikbov","given":"Boris"},{"family":"Sayeed","given":"Muhammad Shahdaat Bin"},{"family":"Biondi","given":"Antonio"},{"family":"Birihane","given":"Binyam Minuye"},{"family":"Bisanzio","given":"Donal"},{"family":"Bisignano","given":"Catherine"},{"family":"Biswas","given":"Raaj Kishore"},{"family":"Bohlouli","given":"Somayeh"},{"family":"Bohluli","given":"Mehdi"},{"family":"Bolla","given":"Srinivasa Rao Rao"},{"family":"Boloor","given":"Archith"},{"family":"Boon-Dooley","given":"Alexandra S."},{"family":"Borges","given":"Guilherme"},{"family":"Borzì","given":"Antonio Maria"},{"family":"Bourne","given":"Rupert"},{"family":"Brady","given":"Oliver J."},{"family":"Brauer","given":"Michael"},{"family":"Brayne","given":"Carol"},{"family":"Breitborde","given":"Nicholas J. K."},{"family":"Brenner","given":"Hermann"},{"family":"Briant","given":"Paul Svitil"},{"family":"Briggs","given":"Andrew M."},{"family":"Briko","given":"Nikolay Ivanovich"},{"family":"Britton","given":"Gabrielle B."},{"family":"Bryazka","given":"Dana"},{"family":"Buchbinder","given":"Rachelle"},{"family":"Bumgarner","given":"Blair R."},{"family":"Busse","given":"Reinhard"},{"family":"Butt","given":"Zahid A."},{"family":"Santos","given":"Florentino Luciano Caetano","dropping-particle":"dos"},{"family":"Cámera","given":"Luis LA Alberto"},{"family":"Campos-Nonato","given":"Ismael R."},{"family":"Car","given":"Josip"},{"family":"Cárdenas","given":"Rosario"},{"family":"Carreras","given":"Giulia"},{"family":"Carrero","given":"Juan J."},{"family":"Carvalho","given":"Felix"},{"family":"Castaldelli-Maia","given":"Joao Mauricio"},{"family":"Castañeda-Orjuela","given":"Carlos A."},{"family":"Castelpietra","given":"Giulio"},{"family":"Castle","given":"Chris D."},{"family":"Castro","given":"Franz"},{"family":"Catalá-López","given":"Ferrán"},{"family":"Causey","given":"Kate"},{"family":"Cederroth","given":"Christopher R."},{"family":"Cercy","given":"Kelly M."},{"family":"Cerin","given":"Ester"},{"family":"Chandan","given":"Joht Singh"},{"family":"Chang","given":"Alex R."},{"family":"Charlson","given":"Fiona J."},{"family":"Chattu","given":"Vijay Kumar"},{"family":"Chaturvedi","given":"Sarika"},{"family":"Chimed-Ochir","given":"Odgerel"},{"family":"Chin","given":"Ken Lee"},{"family":"Cho","given":"Daniel Youngwhan"},{"family":"Christensen","given":"Hanne"},{"family":"Chu","given":"Dinh-Toi"},{"family":"Chung","given":"Michael T."},{"family":"Cicuttini","given":"Flavia M."},{"family":"Ciobanu","given":"Liliana G."},{"family":"Cirillo","given":"Massimo"},{"family":"Collins","given":"Emma L."},{"family":"Compton","given":"Kelly"},{"family":"Conti","given":"Sara"},{"family":"Cortesi","given":"Paolo Angelo"},{"family":"Costa","given":"Vera Marisa"},{"family":"Cousin","given":"Ewerton"},{"family":"Cowden","given":"Richard G."},{"family":"Cowie","given":"Benjamin C."},{"family":"Cromwell","given":"Elizabeth A."},{"family":"Cross","given":"Di H."},{"family":"Crowe","given":"Christopher Stephen"},{"family":"Cruz","given":"Jessica A."},{"family":"Cunningham","given":"Matthew"},{"family":"Dahlawi","given":"Saad M. A."},{"family":"Damiani","given":"Giovanni"},{"family":"Dandona","given":"Lalit"},{"family":"Dandona","given":"Rakhi"},{"family":"Darwesh","given":"Aso Mohammad"},{"family":"Daryani","given":"Ahmad"},{"family":"Das","given":"Jai K."},{"family":"Gupta","given":"Rajat Das"},{"family":"Neves","given":"José","dropping-particle":"das"},{"family":"Dávila-Cervantes","given":"Claudio Alberto"},{"family":"Davletov","given":"Kairat"},{"family":"Leo","given":"Diego De"},{"family":"Dean","given":"Frances E."},{"family":"DeCleene","given":"Nicole K."},{"family":"Deen","given":"Amanda"},{"family":"Degenhardt","given":"Louisa"},{"family":"Dellavalle","given":"Robert Paul"},{"family":"Demeke","given":"Feleke Mekonnen"},{"family":"Demsie","given":"Desalegn Getnet"},{"family":"Denova-Gutiérrez","given":"Edgar"},{"family":"Dereje","given":"Nebiyu Dereje"},{"family":"Dervenis","given":"Nikolaos"},{"family":"Desai","given":"Rupak"},{"family":"Desalew","given":"Assefa"},{"family":"Dessie","given":"Getenet Ayalew"},{"family":"Dharmaratne","given":"Samath Dhamminda"},{"family":"Dhungana","given":"Govinda Prasad"},{"family":"Dianatinasab","given":"Mostafa"},{"family":"Diaz","given":"Daniel"},{"family":"Forooshani","given":"Zahra Sadat Dibaji"},{"family":"Dingels","given":"Zachary V."},{"family":"Dirac","given":"M. Ashworth"},{"family":"Djalalinia","given":"Shirin"},{"family":"Do","given":"Hoa Thi"},{"family":"Dokova","given":"Klara"},{"family":"Dorostkar","given":"Fariba"},{"family":"Doshi","given":"Chirag P."},{"family":"Doshmangir","given":"Leila"},{"family":"Douiri","given":"Abdel"},{"family":"Doxey","given":"Matthew C."},{"family":"Driscoll","given":"Tim Robert"},{"family":"Dunachie","given":"Susanna J."},{"family":"Duncan","given":"Bruce B."},{"family":"Duraes","given":"Andre Rodrigues"},{"family":"Eagan","given":"Arielle Wilder"},{"family":"Kalan","given":"Mohammad Ebrahimi"},{"family":"Edvardsson","given":"David"},{"family":"Ehrlich","given":"Joshua R."},{"family":"Nahas","given":"Nevine El"},{"family":"Sayed","given":"Iman El"},{"family":"Tantawi","given":"Maha El"},{"family":"Elbarazi","given":"Iffat"},{"family":"Elgendy","given":"Islam Y."},{"family":"Elhabashy","given":"Hala Rashad"},{"family":"El-Jaafary","given":"Shaimaa I."},{"family":"Elyazar","given":"Iqbal RF"},{"family":"Emamian","given":"Mohammad Hassan"},{"family":"Emmons-Bell","given":"Sophia"},{"family":"Erskine","given":"Holly E."},{"family":"Eshrati","given":"Babak"},{"family":"Eskandarieh","given":"Sharareh"},{"family":"Esmaeilnejad","given":"Saman"},{"family":"Esmaeilzadeh","given":"Firooz"},{"family":"Esteghamati","given":"Alireza"},{"family":"Estep","given":"Kara"},{"family":"Etemadi","given":"Arash"},{"family":"Etisso","given":"Atkilt Esaiyas"},{"family":"Farahmand","given":"Mohammad"},{"family":"Faraj","given":"Anwar"},{"family":"Fareed","given":"Mohammad"},{"family":"Faridnia","given":"Roghiyeh"},{"family":"Farinha","given":"Carla Sofia e Sá"},{"family":"Farioli","given":"Andrea"},{"family":"Faro","given":"Andre"},{"family":"Faruque","given":"Mithila"},{"family":"Farzadfar","given":"Farshad"},{"family":"Fattahi","given":"Nazir"},{"family":"Fazlzadeh","given":"Mehdi"},{"family":"Feigin","given":"Valery L."},{"family":"Feldman","given":"Rachel"},{"family":"Fereshtehnejad","given":"Seyed-Mohammad"},{"family":"Fernandes","given":"Eduarda"},{"family":"Ferrari","given":"Alize J."},{"family":"Ferreira","given":"Manuela L."},{"family":"Filip","given":"Irina"},{"family":"Fischer","given":"Florian"},{"family":"Fisher","given":"James L."},{"family":"Fitzgerald","given":"Ryan"},{"family":"Flohr","given":"Carsten"},{"family":"Flor","given":"Luisa Sorio"},{"family":"Foigt","given":"Nataliya A."},{"family":"Folayan","given":"Morenike Oluwatoyin"},{"family":"Force","given":"Lisa M."},{"family":"Fornari","given":"Carla"},{"family":"Foroutan","given":"Masoud"},{"family":"Fox","given":"Jack T."},{"family":"Freitas","given":"Marisa"},{"family":"Fu","given":"Weijia"},{"family":"Fukumoto","given":"Takeshi"},{"family":"Furtado","given":"João M."},{"family":"Gad","given":"Mohamed M."},{"family":"Gakidou","given":"Emmanuela"},{"family":"Galles","given":"Natalie C."},{"family":"Gallus","given":"Silvano"},{"family":"Gamkrelidze","given":"Amiran"},{"family":"Garcia-Basteiro","given":"Alberto L."},{"family":"Gardner","given":"William M."},{"family":"Geberemariyam","given":"Biniyam Sahiledengle"},{"family":"Gebrehiwot","given":"Abiyu Mekonnen"},{"family":"Gebremedhin","given":"Ketema Bizuwork"},{"family":"Gebreslassie","given":"Assefa Ayalew Ayalew Ayalew"},{"family":"Hayoon","given":"Anna Gershberg"},{"family":"Gething","given":"Peter W."},{"family":"Ghadimi","given":"Maryam"},{"family":"Ghadiri","given":"Keyghobad"},{"family":"Ghafourifard","given":"Mansour"},{"family":"Ghajar","given":"Alireza"},{"family":"Ghamari","given":"Farhad"},{"family":"Ghashghaee","given":"Ahmad"},{"family":"Ghiasvand","given":"Hesam"},{"family":"Ghith","given":"Nermin"},{"family":"Gholamian","given":"Asadollah"},{"family":"Gilani","given":"Syed Amir"},{"family":"Gill","given":"Paramjit Singh"},{"family":"Gitimoghaddam","given":"Mojgan"},{"family":"Giussani","given":"Giorgia"},{"family":"Goli","given":"Srinivas"},{"family":"Gomez","given":"Ricardo Santiago"},{"family":"Gopalani","given":"Sameer Vali"},{"family":"Gorini","given":"Giuseppe"},{"family":"Gorman","given":"Taren M."},{"family":"Gottlich","given":"Harrison Chase"},{"family":"Goudarzi","given":"Houman"},{"family":"Goulart","given":"Alessandra C."},{"family":"Goulart","given":"Bárbara Niegia Garcia"},{"family":"Grada","given":"Ayman"},{"family":"Grivna","given":"Michal"},{"family":"Grosso","given":"Giuseppe"},{"family":"Gubari","given":"Mohammed Ibrahim Mohialdeen"},{"family":"Gugnani","given":"Harish Chander"},{"family":"Guimaraes","given":"Andre Luiz Sena"},{"family":"Guimarães","given":"Rafael Alves"},{"family":"Guled","given":"Rashid Abdi"},{"family":"Guo","given":"Gaorui"},{"family":"Guo","given":"Yuming"},{"family":"Gupta","given":"Rajeev"},{"family":"Haagsma","given":"Juanita A."},{"family":"Haddock","given":"Beatrix"},{"family":"Hafezi-Nejad","given":"Nima"},{"family":"Hafiz","given":"Abdul"},{"family":"Hagins","given":"Hailey"},{"family":"Haile","given":"Lydia M."},{"family":"Hall","given":"Brian J."},{"family":"Halvaei","given":"Iman"},{"family":"Hamadeh","given":"Randah R."},{"family":"Abdullah","given":"Kanaan Hamagharib"},{"family":"Hamilton","given":"Erin B."},{"family":"Han","given":"Chieh"},{"family":"Han","given":"Hannah"},{"family":"Hankey","given":"Graeme J."},{"family":"Haro","given":"Josep Maria"},{"family":"Harvey","given":"James D."},{"family":"Hasaballah","given":"Ahmed I."},{"family":"Hasanzadeh","given":"Amir"},{"family":"Hashemian","given":"Maryam"},{"family":"Hassanipour","given":"Soheil"},{"family":"Hassankhani","given":"Hadi"},{"family":"Havmoeller","given":"Rasmus J."},{"family":"Hay","given":"Roderick J."},{"family":"Hay","given":"Simon I."},{"family":"Hayat","given":"Khezar"},{"family":"Heidari","given":"Behnam"},{"family":"Heidari","given":"Golnaz"},{"family":"Heidari-Soureshjani","given":"Reza"},{"family":"Hendrie","given":"Delia"},{"family":"Henrikson","given":"Hannah J."},{"family":"Henry","given":"Nathaniel J."},{"family":"Herteliu","given":"Claudiu"},{"family":"Heydarpour","given":"Fatemeh"},{"family":"Hird","given":"Thomas R."},{"family":"Hoek","given":"Hans W."},{"family":"Hole","given":"Michael K."},{"family":"Holla","given":"Ramesh"},{"family":"Hoogar","given":"Praveen"},{"family":"Hosgood","given":"H. Dean"},{"family":"Hosseinzadeh","given":"Mehdi"},{"family":"Hostiuc","given":"Mihaela"},{"family":"Hostiuc","given":"Sorin"},{"family":"Househ","given":"Mowafa"},{"family":"Hoy","given":"Damian G."},{"family":"Hsairi","given":"Mohamed"},{"family":"Hsieh","given":"Vivian Chia-rong"},{"family":"Hu","given":"Guoqing"},{"family":"Huda","given":"Tanvir M."},{"family":"Hugo","given":"Fernando N."},{"family":"Huynh","given":"Chantal K."},{"family":"Hwang","given":"Bing-Fang"},{"family":"Iannucci","given":"Vincent C."},{"family":"Ibitoye","given":"Segun Emmanuel"},{"family":"Ikuta","given":"Kevin S."},{"family":"Ilesanmi","given":"Olayinka Stephen"},{"family":"Ilic","given":"Irena M."},{"family":"Ilic","given":"Milena D."},{"family":"Inbaraj","given":"Leeberk Raja"},{"family":"Ippolito","given":"Helen"},{"family":"Irvani","given":"Seyed Sina Naghibi"},{"family":"Islam","given":"M. Mofizul"},{"family":"Islam","given":"MdMohaimenul"},{"family":"Islam","given":"Sheikh Mohammed Shariful"},{"family":"Islami","given":"Farhad"},{"family":"Iso","given":"Hiroyasu"},{"family":"Ivers","given":"Rebecca Q."},{"family":"Iwu","given":"Chidozie C. D."},{"family":"Iyamu","given":"Ihoghosa Osamuyi"},{"family":"Jaafari","given":"Jalil"},{"family":"Jacobsen","given":"Kathryn H."},{"family":"Jadidi-Niaragh","given":"Farhad"},{"family":"Jafari","given":"Hussain"},{"family":"Jafarinia","given":"Morteza"},{"family":"Jahagirdar","given":"Deepa"},{"family":"Jahani","given":"Mohammad Ali"},{"family":"Jahanmehr","given":"Nader"},{"family":"Jakovljevic","given":"Mihajlo"},{"family":"Jalali","given":"Amir"},{"family":"Jalilian","given":"Farzad"},{"family":"James","given":"Spencer L."},{"family":"Janjani","given":"Hosna"},{"family":"Janodia","given":"Manthan Dilipkumar"},{"family":"Jayatilleke","given":"Achala Upendra"},{"family":"Jeemon","given":"Panniyammakal"},{"family":"Jenabi","given":"Ensiyeh"},{"family":"Jha","given":"Ravi Prakash"},{"family":"Jha","given":"Vivekanand"},{"family":"Ji","given":"John S."},{"family":"Jia","given":"Peng"},{"family":"John","given":"Oommen"},{"family":"John-Akinola","given":"Yetunde O."},{"family":"Johnson","given":"Catherine Owens"},{"family":"Johnson","given":"Sarah Charlotte"},{"family":"Jonas","given":"Jost B."},{"family":"Joo","given":"Tamas"},{"family":"Joshi","given":"Ankur"},{"family":"Jozwiak","given":"Jacek Jerzy"},{"family":"Jürisson","given":"Mikk"},{"family":"Kabir","given":"Ali"},{"family":"Kabir","given":"Zubair"},{"family":"Kalani","given":"Hamed"},{"family":"Kalani","given":"Rizwan"},{"family":"Kalankesh","given":"Leila R."},{"family":"Kalhor","given":"Rohollah"},{"family":"Kamiab","given":"Zahra"},{"family":"Kanchan","given":"Tanuj"},{"family":"Matin","given":"Behzad Karami"},{"family":"Karch","given":"André"},{"family":"Karim","given":"Mohd Anisul"},{"family":"Karimi","given":"Salah Eddin"},{"family":"Kassa","given":"Getachew Mullu"},{"family":"Kassebaum","given":"Nicholas J."},{"family":"Katikireddi","given":"Srinivasa Vittal"},{"family":"Kawakami","given":"Norito"},{"family":"Kayode","given":"Gbenga A."},{"family":"Keddie","given":"Suzanne H."},{"family":"Keller","given":"Cathleen"},{"family":"Kereselidze","given":"Maia"},{"family":"Khafaie","given":"Morteza Abdullatif"},{"family":"Khalid","given":"Nauman"},{"family":"Khan","given":"Maseer"},{"family":"Khatab","given":"Khaled"},{"family":"Khater","given":"Mona M."},{"family":"Khatib","given":"Mahalaqua Nazli"},{"family":"Khayamzadeh","given":"Maryam"},{"family":"Khodayari","given":"Mohammad Taghi"},{"family":"Khundkar","given":"Roba"},{"family":"Kianipour","given":"Neda"},{"family":"Kieling","given":"Christian"},{"family":"Kim","given":"Daniel"},{"family":"Kim","given":"Young-Eun"},{"family":"Kim","given":"Yun Jin"},{"family":"Kimokoti","given":"Ruth W."},{"family":"Kisa","given":"Adnan"},{"family":"Kisa","given":"Sezer"},{"family":"Kissimova-Skarbek","given":"Katarzyna"},{"family":"Kivimäki","given":"Mika"},{"family":"Kneib","given":"Cameron J."},{"family":"Knudsen","given":"Ann Kristin Skrindo"},{"family":"Kocarnik","given":"Jonathan M."},{"family":"Kolola","given":"Tufa"},{"family":"Kopec","given":"Jacek A."},{"family":"Kosen","given":"Soewarta"},{"family":"Koul","given":"Parvaiz A."},{"family":"Koyanagi","given":"Ai"},{"family":"Kravchenko","given":"Michael A."},{"family":"Krishan","given":"Kewal"},{"family":"Krohn","given":"Kris J."},{"family":"Defo","given":"Barthelemy Kuate"},{"family":"Bicer","given":"Burcu Kucuk"},{"family":"Kumar","given":"G. Anil"},{"family":"Kumar","given":"Manasi"},{"family":"Kumar","given":"Pushpendra"},{"family":"Kumar","given":"Vivek"},{"family":"Kumaresh","given":"Girikumar"},{"family":"Kurmi","given":"Om P."},{"family":"Kusuma","given":"Dian"},{"family":"Kyu","given":"Hmwe Hmwe"},{"family":"Vecchia","given":"Carlo La"},{"family":"Lacey","given":"Ben"},{"family":"Lal","given":"Dharmesh Kumar"},{"family":"Lalloo","given":"Ratilal"},{"family":"Lam","given":"Jennifer O."},{"family":"Lami","given":"Faris Hasan"},{"family":"Landires","given":"Iván"},{"family":"Lang","given":"Justin J."},{"family":"Lansingh","given":"Van Charles"},{"family":"Larson","given":"Samantha Leigh"},{"family":"Larsson","given":"Anders O."},{"family":"Lasrado","given":"Savita"},{"family":"Lassi","given":"Zohra S."},{"family":"Lau","given":"Kathryn Mei-Ming"},{"family":"Lavados","given":"Pablo M."},{"family":"Lazarus","given":"Jeffrey V."},{"family":"Ledesma","given":"Jorge R."},{"family":"Lee","given":"Paul H."},{"family":"Lee","given":"Shaun Wen Huey"},{"family":"LeGrand","given":"Kate E."},{"family":"Leigh","given":"James"},{"family":"Leonardi","given":"Matilde"},{"family":"Lescinsky","given":"Haley"},{"family":"Leung","given":"Janni"},{"family":"Levi","given":"Miriam"},{"family":"Lewington","given":"Sarah"},{"family":"Li","given":"Shanshan"},{"family":"Lim","given":"Lee-Ling"},{"family":"Lin","given":"Christine"},{"family":"Lin","given":"Ro-Ting"},{"family":"Linehan","given":"Christine"},{"family":"Linn","given":"Shai"},{"family":"Liu","given":"Hung-Chun"},{"family":"Liu","given":"Shiwei"},{"family":"Liu","given":"Zichen"},{"family":"Looker","given":"Katharine J."},{"family":"Lopez","given":"Alan D."},{"family":"Lopukhov","given":"Platon D."},{"family":"Lorkowski","given":"Stefan"},{"family":"Lotufo","given":"Paulo A."},{"family":"Lucas","given":"Tim C. D."},{"family":"Lugo","given":"Alessandra"},{"family":"Lunevicius","given":"Raimundas"},{"family":"Lyons","given":"Ronan A."},{"family":"Ma","given":"Jianing"},{"family":"MacLachlan","given":"Jennifer H."},{"family":"Maddison","given":"Emilie R."},{"family":"Maddison","given":"Ralph"},{"family":"Madotto","given":"Fabiana"},{"family":"Mahasha","given":"Phetole Walter"},{"family":"Mai","given":"Hue Thi"},{"family":"Majeed","given":"Azeem"},{"family":"Maled","given":"Venkatesh"},{"family":"Maleki","given":"Shokofeh"},{"family":"Malekzadeh","given":"Reza"},{"family":"Malta","given":"Deborah Carvalho"},{"family":"Mamun","given":"Abdullah A."},{"family":"Manafi","given":"Amir"},{"family":"Manafi","given":"Navid"},{"family":"Manguerra","given":"Helena"},{"family":"Mansouri","given":"Borhan"},{"family":"Mansournia","given":"Mohammad Ali"},{"family":"Herrera","given":"Ana M. Mantilla"},{"family":"Maravilla","given":"Joemer C."},{"family":"Marks","given":"Ashley"},{"family":"Martins-Melo","given":"Francisco Rogerlândio"},{"family":"Martopullo","given":"Ira"},{"family":"Masoumi","given":"Seyedeh Zahra"},{"family":"Massano","given":"João"},{"family":"Massenburg","given":"Benjamin Ballard"},{"family":"Mathur","given":"Manu Raj"},{"family":"Maulik","given":"Pallab K."},{"family":"McAlinden","given":"Colm"},{"family":"McGrath","given":"John J."},{"family":"McKee","given":"Martin"},{"family":"Mehndiratta","given":"Man Mohan"},{"family":"Mehri","given":"Fereshteh"},{"family":"Mehta","given":"Kala M."},{"family":"Meitei","given":"Wahengbam Bigyananda"},{"family":"Memiah","given":"Peter T. N."},{"family":"Mendoza","given":"Walter"},{"family":"Menezes","given":"Ritesh G."},{"family":"Mengesha","given":"Endalkachew Worku"},{"family":"Mengesha","given":"Meresa Berwo"},{"family":"Mereke","given":"Alibek"},{"family":"Meretoja","given":"Atte"},{"family":"Meretoja","given":"Tuomo J."},{"family":"Mestrovic","given":"Tomislav"},{"family":"Miazgowski","given":"Bartosz"},{"family":"Miazgowski","given":"Tomasz"},{"family":"Michalek","given":"Irmina Maria"},{"family":"Mihretie","given":"Kebadnew Mulatu"},{"family":"Miller","given":"Ted R."},{"family":"Mills","given":"Edward J."},{"family":"Mirica","given":"Andreea"},{"family":"Mirrakhimov","given":"Erkin M."},{"family":"Mirzaei","given":"Hamed"},{"family":"Mirzaei","given":"Maryam"},{"family":"Mirzaei-Alavijeh","given":"Mehdi"},{"family":"Misganaw","given":"Awoke Temesgen"},{"family":"Mithra","given":"Prasanna"},{"family":"Moazen","given":"Babak"},{"family":"Moghadaszadeh","given":"Masoud"},{"family":"Mohamadi","given":"Efat"},{"family":"Mohammad","given":"Dara K."},{"family":"Mohammad","given":"Yousef"},{"family":"Mezerji","given":"Naser Mohammad Gholi"},{"family":"Mohammadian-Hafshejani","given":"Abdollah"},{"family":"Mohammadifard","given":"Noushin"},{"family":"Mohammadpourhodki","given":"Reza"},{"family":"Mohammed","given":"Shafiu"},{"family":"Mokdad","given":"Ali H."},{"family":"Molokhia","given":"Mariam"},{"family":"Momen","given":"Natalie C."},{"family":"Monasta","given":"Lorenzo"},{"family":"Mondello","given":"Stefania"},{"family":"Mooney","given":"Meghan D."},{"family":"Moosazadeh","given":"Mahmood"},{"family":"Moradi","given":"Ghobad"},{"family":"Moradi","given":"Masoud"},{"family":"Moradi-Lakeh","given":"Maziar"},{"family":"Moradzadeh","given":"Rahmatollah"},{"family":"Moraga","given":"Paula"},{"family":"Morales","given":"Linda"},{"family":"Morawska","given":"Lidia"},{"family":"Velásquez","given":"Ilais Moreno"},{"family":"Morgado-da-Costa","given":"Joana"},{"family":"Morrison","given":"Shane Douglas"},{"family":"Mosser","given":"Jonathan F."},{"family":"Mouodi","given":"Simin"},{"family":"Mousavi","given":"Seyyed Meysam"},{"family":"Khaneghah","given":"Amin Mousavi"},{"family":"Mueller","given":"Ulrich Otto"},{"family":"Munro","given":"Sandra B."},{"family":"Muriithi","given":"Moses K."},{"family":"Musa","given":"Kamarul Imran"},{"family":"Muthupandian","given":"Saravanan"},{"family":"Naderi","given":"Mehdi"},{"family":"Nagarajan","given":"Ahamarshan Jayaraman"},{"family":"Nagel","given":"Gabriele"},{"family":"Naghshtabrizi","given":"Behshad"},{"family":"Nair","given":"Sanjeev"},{"family":"Nandi","given":"Anita K."},{"family":"Nangia","given":"Vinay"},{"family":"Nansseu","given":"Jobert Richie"},{"family":"Nayak","given":"Vinod C."},{"family":"Nazari","given":"Javad"},{"family":"Negoi","given":"Ionut"},{"family":"Negoi","given":"Ruxandra Irina"},{"family":"Netsere","given":"Henok Biresaw Netsere"},{"family":"Ngunjiri","given":"Josephine W."},{"family":"Nguyen","given":"Cuong Tat"},{"family":"Nguyen","given":"Jason"},{"family":"Nguyen","given":"Michele"},{"family":"Nguyen","given":"Minh"},{"family":"Nichols","given":"Emma"},{"family":"Nigatu","given":"Dabere"},{"family":"Nigatu","given":"Yeshambel T."},{"family":"Nikbakhsh","given":"Rajan"},{"family":"Nixon","given":"Molly R."},{"family":"Nnaji","given":"Chukwudi A."},{"family":"Nomura","given":"Shuhei"},{"family":"Norrving","given":"Bo"},{"family":"Noubiap","given":"Jean Jacques"},{"family":"Nowak","given":"Christoph"},{"family":"Nunez-Samudio","given":"Virginia"},{"family":"Oţoiu","given":"Adrian"},{"family":"Oancea","given":"Bogdan"},{"family":"Odell","given":"Christopher M."},{"family":"Ogbo","given":"Felix Akpojene"},{"family":"Oh","given":"In-Hwan"},{"family":"Okunga","given":"Emmanuel Wandera"},{"family":"Oladnabi","given":"Morteza"},{"family":"Olagunju","given":"Andrew T."},{"family":"Olusanya","given":"Bolajoko Olubukunola"},{"family":"Olusanya","given":"Jacob Olusegun"},{"family":"Oluwasanu","given":"Mojisola Morenike"},{"family":"Bali","given":"Ahmed Omar"},{"family":"Omer","given":"Muktar Omer"},{"family":"Ong","given":"Kanyin L."},{"family":"Onwujekwe","given":"Obinna E."},{"family":"Orji","given":"Aislyn U."},{"family":"Orpana","given":"Heather M."},{"family":"Ortiz","given":"Alberto"},{"family":"Ostroff","given":"Samuel M."},{"family":"Otstavnov","given":"Nikita"},{"family":"Otstavnov","given":"Stanislav S."},{"family":"Øverland","given":"Simon"},{"family":"Owolabi","given":"Mayowa O."},{"family":"A","given":"Mahesh P."},{"family":"Padubidri","given":"Jagadish Rao"},{"family":"Pakhare","given":"Abhijit P."},{"family":"Palladino","given":"Raffaele"},{"family":"Pana","given":"Adrian"},{"family":"Panda-Jonas","given":"Songhomitra"},{"family":"Pandey","given":"Anamika"},{"family":"Park","given":"Eun-Kee"},{"family":"Parmar","given":"Priya G. Kumari"},{"family":"Pasupula","given":"Deepak Kumar"},{"family":"Patel","given":"Sangram Kishor"},{"family":"Paternina-Caicedo","given":"Angel J."},{"family":"Pathak","given":"Ashish"},{"family":"Pathak","given":"Mona"},{"family":"Patten","given":"Scott B."},{"family":"Patton","given":"George C."},{"family":"Paudel","given":"Deepak"},{"family":"Toroudi","given":"Hamidreza Pazoki"},{"family":"Peden","given":"Amy E."},{"family":"Pennini","given":"Alyssa"},{"family":"Pepito","given":"Veincent Christian Filipino"},{"family":"Peprah","given":"Emmanuel K."},{"family":"Pereira","given":"Alexandre"},{"family":"Pereira","given":"David M."},{"family":"Perico","given":"Norberto"},{"family":"Pham","given":"Hai Quang"},{"family":"Phillips","given":"Michael R."},{"family":"Pigott","given":"David M."},{"family":"Pilgrim","given":"Thomas"},{"family":"Pilz","given":"Tessa M."},{"family":"Pirsaheb","given":"Meghdad"},{"family":"Plana-Ripoll","given":"Oleguer"},{"family":"Plass","given":"Dietrich"},{"family":"Pokhrel","given":"Khem Narayan"},{"family":"Polibin","given":"Roman V."},{"family":"Polinder","given":"Suzanne"},{"family":"Polkinghorne","given":"Kevan R."},{"family":"Postma","given":"Maarten J."},{"family":"Pourjafar","given":"Hadi"},{"family":"Pourmalek","given":"Farshad"},{"family":"Kalhori","given":"Reza Pourmirza"},{"family":"Pourshams","given":"Akram"},{"family":"Poznańska","given":"Anna"},{"family":"Prada","given":"Sergio I."},{"family":"Prakash","given":"V."},{"family":"Pribadi","given":"Dimas Ria Angga"},{"family":"Pupillo","given":"Elisabetta"},{"family":"Syed","given":"Zahiruddin Quazi"},{"family":"Rabiee","given":"Mohammad"},{"family":"Rabiee","given":"Navid"},{"family":"Radfar","given":"Amir"},{"family":"Rafiee","given":"Ata"},{"family":"Rafiei","given":"Alireza"},{"family":"Raggi","given":"Alberto"},{"family":"Rahimi-Movaghar","given":"Afarin"},{"family":"Rahman","given":"Muhammad Aziz"},{"family":"Rajabpour-Sanati","given":"Ali"},{"family":"Rajati","given":"Fatemeh"},{"family":"Ramezanzadeh","given":"Kiana"},{"family":"Ranabhat","given":"Chhabi Lal"},{"family":"Rao","given":"Puja C."},{"family":"Rao","given":"Sowmya J."},{"family":"Rasella","given":"Davide"},{"family":"Rastogi","given":"Prateek"},{"family":"Rathi","given":"Priya"},{"family":"Rawaf","given":"David Laith"},{"family":"Rawaf","given":"Salman"},{"family":"Rawal","given":"Lal"},{"family":"Razo","given":"Christian"},{"family":"Redford","given":"Sofia Boston"},{"family":"Reiner","given":"Robert C."},{"family":"Reinig","given":"Nickolas"},{"family":"Reitsma","given":"Marissa Bettay"},{"family":"Remuzzi","given":"Giuseppe"},{"family":"Renjith","given":"Vishnu"},{"family":"Renzaho","given":"Andre M. N."},{"family":"Resnikoff","given":"Serge"},{"family":"Rezaei","given":"Nima"},{"family":"Rezai","given":"Mohammad","dropping-particle":"sadegh"},{"family":"Rezapour","given":"Aziz"},{"family":"Rhinehart","given":"Phoebe-Anne"},{"family":"Riahi","given":"Seyed Mohammad"},{"family":"Ribeiro","given":"Antonio Luiz P."},{"family":"Ribeiro","given":"Daniel Cury"},{"family":"Ribeiro","given":"Daniela"},{"family":"Rickard","given":"Jennifer"},{"family":"Roberts","given":"Nicholas L. S."},{"family":"Roberts","given":"Shaun"},{"family":"Robinson","given":"Stephen R."},{"family":"Roever","given":"Leonardo"},{"family":"Rolfe","given":"Sam"},{"family":"Ronfani","given":"Luca"},{"family":"Roshandel","given":"Gholamreza"},{"family":"Roth","given":"Gregory A."},{"family":"Rubagotti","given":"Enrico"},{"family":"Rumisha","given":"Susan Fred"},{"family":"Sabour","given":"Siamak"},{"family":"Sachdev","given":"Perminder S."},{"family":"Saddik","given":"Basema"},{"family":"Sadeghi","given":"Ehsan"},{"family":"Sadeghi","given":"Masoumeh"},{"family":"Saeidi","given":"Shahram"},{"family":"Safi","given":"Sare"},{"family":"Safiri","given":"Saeid"},{"family":"Sagar","given":"Rajesh"},{"family":"Sahebkar","given":"Amirhossein"},{"family":"Sahraian","given":"Mohammad Ali"},{"family":"Sajadi","given":"S. Mohammad"},{"family":"Salahshoor","given":"Mohammad Reza"},{"family":"Salamati","given":"Payman"},{"family":"Zahabi","given":"Saleh Salehi"},{"family":"Salem","given":"Hosni"},{"family":"Salem","given":"Marwa R. Rashad"},{"family":"Salimzadeh","given":"Hamideh"},{"family":"Salomon","given":"Joshua A."},{"family":"Salz","given":"Inbal"},{"family":"Samad","given":"Zainab"},{"family":"Samy","given":"Abdallah M."},{"family":"Sanabria","given":"Juan"},{"family":"Santomauro","given":"Damian Francesco"},{"family":"Santos","given":"Itamar S."},{"family":"Santos","given":"João Vasco"},{"family":"Santric-Milicevic","given":"Milena M."},{"family":"Saraswathy","given":"Sivan Yegnanarayana Iyer"},{"family":"Sarmiento-Suárez","given":"Rodrigo"},{"family":"Sarrafzadegan","given":"Nizal"},{"family":"Sartorius","given":"Benn"},{"family":"Sarveazad","given":"Arash"},{"family":"Sathian","given":"Brijesh"},{"family":"Sathish","given":"Thirunavukkarasu"},{"family":"Sattin","given":"Davide"},{"family":"Sbarra","given":"Alyssa N."},{"family":"Schaeffer","given":"Lauren E."},{"family":"Schiavolin","given":"Silvia"},{"family":"Schmidt","given":"Maria Inês"},{"family":"Schutte","given":"Aletta Elisabeth"},{"family":"Schwebel","given":"David C."},{"family":"Schwendicke","given":"Falk"},{"family":"Senbeta","given":"Anbissa Muleta"},{"family":"Senthilkumaran","given":"Subramanian"},{"family":"Sepanlou","given":"Sadaf G."},{"family":"Shackelford","given":"Katya Anne"},{"family":"Shadid","given":"Jamileh"},{"family":"Shahabi","given":"Saeed"},{"family":"Shaheen","given":"Amira A."},{"family":"Shaikh","given":"Masood Ali"},{"family":"Shalash","given":"Ali S."},{"family":"Shams-Beyranvand","given":"Mehran"},{"family":"Shamsizadeh","given":"Morteza"},{"family":"Shannawaz","given":"Mohammed"},{"family":"Sharafi","given":"Kiomars"},{"family":"Sharara","given":"Fablina"},{"family":"Sheena","given":"Brittney S."},{"family":"Sheikhtaheri","given":"Abbas"},{"family":"Shetty","given":"Ranjitha S."},{"family":"Shibuya","given":"Kenji"},{"family":"Shiferaw","given":"Wondimeneh Shibabaw"},{"family":"Shigematsu","given":"Mika"},{"family":"Shin","given":"Jae Il"},{"family":"Shiri","given":"Rahman"},{"family":"Shirkoohi","given":"Reza"},{"family":"Shrime","given":"Mark G."},{"family":"Shuval","given":"Kerem"},{"family":"Siabani","given":"Soraya"},{"family":"Sigfusdottir","given":"Inga Dora"},{"family":"Sigurvinsdottir","given":"Rannveig"},{"family":"Silva","given":"João Pedro"},{"family":"Simpson","given":"Kyle E."},{"family":"Singh","given":"Ambrish"},{"family":"Singh","given":"Jasvinder A."},{"family":"Skiadaresi","given":"Eirini"},{"family":"Skou","given":"Søren T."},{"family":"Skryabin","given":"Valentin Yurievich"},{"family":"Sobngwi","given":"Eugene"},{"family":"Sokhan","given":"Anton"},{"family":"Soltani","given":"Shahin"},{"family":"Sorensen","given":"Reed J. D."},{"family":"Soriano","given":"Joan B."},{"family":"Sorrie","given":"Muluken Bekele"},{"family":"Soyiri","given":"Ireneous N."},{"family":"Sreeramareddy","given":"Chandrashekhar T."},{"family":"Stanaway","given":"Jeffrey D."},{"family":"Stark","given":"Benjamin A."},{"family":"Ştefan","given":"Simona Cătălina"},{"family":"Stein","given":"Caroline"},{"family":"Steiner","given":"Caitlyn"},{"family":"Steiner","given":"Timothy J."},{"family":"Stokes","given":"Mark A."},{"family":"Stovner","given":"Lars Jacob"},{"family":"Stubbs","given":"Jacob L."},{"family":"Sudaryanto","given":"Agus"},{"family":"Sufiyan","given":"Mu'awiyyah Babale"},{"family":"Sulo","given":"Gerhard"},{"family":"Sultan","given":"Iyad"},{"family":"Sykes","given":"Bryan L."},{"family":"Sylte","given":"Dillon O."},{"family":"Szócska","given":"Miklós"},{"family":"Tabarés-Seisdedos","given":"Rafael"},{"family":"Tabb","given":"Karen M."},{"family":"Tadakamadla","given":"Santosh Kumar"},{"family":"Taherkhani","given":"Amir"},{"family":"Tajdini","given":"Masih"},{"family":"Takahashi","given":"Ken"},{"family":"Taveira","given":"Nuno"},{"family":"Teagle","given":"Whitney L."},{"family":"Teame","given":"Hirut"},{"family":"Tehrani-Banihashemi","given":"Arash"},{"family":"Teklehaimanot","given":"Berhane Fseha"},{"family":"Terrason","given":"Sonyah"},{"family":"Tessema","given":"Zemenu Tadesse"},{"family":"Thankappan","given":"Kavumpurathu Raman"},{"family":"Thomson","given":"Azalea M."},{"family":"Tohidinik","given":"Hamid Reza"},{"family":"Tonelli","given":"Marcello"},{"family":"Topor-Madry","given":"Roman"},{"family":"Torre","given":"Anna E."},{"family":"Touvier","given":"Mathilde"},{"family":"Tovani-Palone","given":"Marcos Roberto Roberto"},{"family":"Tran","given":"Bach Xuan"},{"family":"Travillian","given":"Ravensara"},{"family":"Troeger","given":"Christopher E."},{"family":"Truelsen","given":"Thomas Clement"},{"family":"Tsai","given":"Alexander C."},{"family":"Tsatsakis","given":"Aristidis"},{"family":"Car","given":"Lorainne Tudor"},{"family":"Tyrovolas","given":"Stefanos"},{"family":"Uddin","given":"Riaz"},{"family":"Ullah","given":"Saif"},{"family":"Undurraga","given":"Eduardo A."},{"family":"Unnikrishnan","given":"Bhaskaran"},{"family":"Vacante","given":"Marco"},{"family":"Vakilian","given":"Alireza"},{"family":"Valdez","given":"Pascual R."},{"family":"Varughese","given":"Santosh"},{"family":"Vasankari","given":"Tommi Juhani"},{"family":"Vasseghian","given":"Yasser"},{"family":"Venketasubramanian","given":"Narayanaswamy"},{"family":"Violante","given":"Francesco S."},{"family":"Vlassov","given":"Vasily"},{"family":"Vollset","given":"Stein Emil"},{"family":"Vongpradith","given":"Avina"},{"family":"Vukovic","given":"Ana"},{"family":"Vukovic","given":"Rade"},{"family":"Waheed","given":"Yasir"},{"family":"Walters","given":"Madgalene K."},{"family":"Wang","given":"Jiayu"},{"family":"Wang","given":"Yafeng"},{"family":"Wang","given":"Yuan-Pang"},{"family":"Ward","given":"Joseph L."},{"family":"Watson","given":"Alexandrea"},{"family":"Wei","given":"Jingkai"},{"family":"Weintraub","given":"Robert G."},{"family":"Weiss","given":"Daniel J."},{"family":"Weiss","given":"Jordan"},{"family":"Westerman","given":"Ronny"},{"family":"Whisnant","given":"Joanna L."},{"family":"Whiteford","given":"Harvey A."},{"family":"Wiangkham","given":"Taweewat"},{"family":"Wiens","given":"Kirsten E."},{"family":"Wijeratne","given":"Tissa"},{"family":"Wilner","given":"Lauren B."},{"family":"Wilson","given":"Shadrach"},{"family":"Wojtyniak","given":"Bogdan"},{"family":"Wolfe","given":"Charles D. A."},{"family":"Wool","given":"Eve E."},{"family":"Wu","given":"Ai-Min"},{"family":"Hanson","given":"Sarah Wulf"},{"family":"Wunrow","given":"Han Yong"},{"family":"Xu","given":"Gelin"},{"family":"Xu","given":"Rixing"},{"family":"Yadgir","given":"Simon"},{"family":"Jabbari","given":"Seyed Hossein Yahyazadeh"},{"family":"Yamagishi","given":"Kazumasa"},{"family":"Yaminfirooz","given":"Mousa"},{"family":"Yano","given":"Yuichiro"},{"family":"Yaya","given":"Sanni"},{"family":"Yazdi-Feyzabadi","given":"Vahid"},{"family":"Yearwood","given":"Jamal A."},{"family":"Yeheyis","given":"Tomas Y."},{"family":"Yeshitila","given":"Yordanos Gizachew"},{"family":"Yip","given":"Paul"},{"family":"Yonemoto","given":"Naohiro"},{"family":"Yoon","given":"Seok-Jun"},{"family":"Lebni","given":"Javad Yoosefi"},{"family":"Younis","given":"Mustafa Z."},{"family":"Younker","given":"Theodore Patrick"},{"family":"Yousefi","given":"Zabihollah"},{"family":"Yousefifard","given":"Mahmoud"},{"family":"Yousefinezhadi","given":"Taraneh"},{"family":"Yousuf","given":"Abdilahi Yousuf"},{"family":"Yu","given":"Chuanhua"},{"family":"Yusefzadeh","given":"Hasan"},{"family":"Moghadam","given":"Telma Zahirian"},{"family":"Zaki","given":"Leila"},{"family":"Zaman","given":"Sojib Bin"},{"family":"Zamani","given":"Mohammad"},{"family":"Zamanian","given":"Maryam"},{"family":"Zandian","given":"Hamed"},{"family":"Zangeneh","given":"Alireza"},{"family":"Zastrozhin","given":"Mikhail Sergeevich"},{"family":"Zewdie","given":"Kaleab Alemayehu"},{"family":"Zhang","given":"Yunquan"},{"family":"Zhang","given":"Zhi-Jiang"},{"family":"Zhao","given":"Jeff T."},{"family":"Zhao","given":"Yingxi"},{"family":"Zheng","given":"Peng"},{"family":"Zhou","given":"Maigeng"},{"family":"Ziapour","given":"Arash"},{"family":"Zimsen","given":"Stephanie R. M."},{"family":"Naghavi","given":"Mohsen"},{"family":"Murray","given":"Christopher J. L."}],"issued":{"date-parts":[["2020",10,17]]}},"locator":"20"}],"schema":"https://github.com/citation-style-language/schema/raw/master/csl-citation.json"} </w:instrText>
            </w:r>
            <w:r w:rsidRPr="008E4595">
              <w:rPr>
                <w:rFonts w:eastAsia="Times New Roman"/>
                <w:sz w:val="18"/>
                <w:szCs w:val="18"/>
                <w:lang w:val="en-US" w:eastAsia="en-GB"/>
              </w:rPr>
              <w:fldChar w:fldCharType="separate"/>
            </w:r>
            <w:r w:rsidRPr="008E4595">
              <w:rPr>
                <w:rFonts w:eastAsia="Times New Roman"/>
                <w:sz w:val="18"/>
                <w:szCs w:val="18"/>
                <w:lang w:val="en-US" w:eastAsia="en-GB"/>
              </w:rPr>
              <w:t>[1]</w:t>
            </w:r>
            <w:r w:rsidRPr="008E4595">
              <w:rPr>
                <w:rFonts w:eastAsia="Times New Roman"/>
                <w:sz w:val="18"/>
                <w:szCs w:val="18"/>
                <w:lang w:val="en-US" w:eastAsia="en-GB"/>
              </w:rPr>
              <w:fldChar w:fldCharType="end"/>
            </w:r>
            <w:r w:rsidRPr="008E4595">
              <w:rPr>
                <w:rFonts w:eastAsia="Times New Roman"/>
                <w:sz w:val="18"/>
                <w:szCs w:val="18"/>
                <w:lang w:val="en-US" w:eastAsia="en-GB"/>
              </w:rPr>
              <w:t xml:space="preserve">. </w:t>
            </w:r>
          </w:p>
          <w:p w14:paraId="3834BC14" w14:textId="77777777" w:rsidR="008E4595" w:rsidRPr="008E4595" w:rsidRDefault="008E4595" w:rsidP="008E4595">
            <w:pPr>
              <w:spacing w:beforeLines="40" w:before="96" w:afterLines="40" w:after="96" w:line="24" w:lineRule="atLeast"/>
              <w:rPr>
                <w:rFonts w:eastAsia="Times New Roman"/>
                <w:sz w:val="18"/>
                <w:szCs w:val="18"/>
                <w:lang w:val="en-US" w:eastAsia="en-GB"/>
              </w:rPr>
            </w:pPr>
            <w:r w:rsidRPr="008E4595">
              <w:rPr>
                <w:rFonts w:eastAsia="Times New Roman"/>
                <w:sz w:val="18"/>
                <w:szCs w:val="18"/>
                <w:lang w:val="en-US" w:eastAsia="en-GB"/>
              </w:rPr>
              <w:t>Recent research suggests intricate correlations among asthma, GERD, and OA, driven by shared inflammatory mechanisms, genetic factors, and treatment strategies.  These conditions often coexist</w:t>
            </w:r>
            <w:r w:rsidRPr="008E4595">
              <w:rPr>
                <w:rFonts w:eastAsia="Times New Roman"/>
                <w:sz w:val="18"/>
                <w:szCs w:val="18"/>
                <w:lang w:val="en-US" w:eastAsia="en-GB"/>
              </w:rPr>
              <w:fldChar w:fldCharType="begin"/>
            </w:r>
            <w:r w:rsidRPr="008E4595">
              <w:rPr>
                <w:rFonts w:eastAsia="Times New Roman"/>
                <w:sz w:val="18"/>
                <w:szCs w:val="18"/>
                <w:lang w:val="en-US" w:eastAsia="en-GB"/>
              </w:rPr>
              <w:instrText xml:space="preserve"> ADDIN ZOTERO_ITEM CSL_CITATION {"citationID":"ObiO8Z3z","properties":{"formattedCitation":"[3\\uc0\\u8211{}5]","plainCitation":"[3–5]","noteIndex":0},"citationItems":[{"id":869,"uris":["http://zotero.org/users/11893546/items/9M4N932A"],"itemData":{"id":869,"type":"article-journal","abstract":"Endometriosis is a common condition associated with debilitating pelvic pain and infertility. A genome-wide association study meta-analysis, including 60,674 cases and 701,926 controls of European and East Asian descent, identified 42 genome-wide significant loci comprising 49 distinct association signals. Effect sizes were largest for stage 3/4 disease, driven by ovarian endometriosis. Identified signals explained up to 5.01% of disease variance and regulated expression or methylation of genes in endometrium and blood, many of which were associated with pain perception/maintenance (SRP14/BMF, GDAP1, MLLT10, BSN and NGF). We observed significant genetic correlations between endometriosis and 11 pain conditions, including migraine, back and multisite chronic pain (MCP), as well as inflammatory conditions, including asthma and osteoarthritis. Multitrait genetic analyses identified substantial sharing of variants associated with endometriosis and MCP/migraine. Targeted investigations of genetically regulated mechanisms shared between endometriosis and other pain conditions are needed to aid the development of new treatments and facilitate early symptomatic intervention.","container-title":"Nature Genetics","DOI":"10.1038/s41588-023-01323-z","ISSN":"1546-1718","issue":"3","journalAbbreviation":"Nat Genet","language":"eng","note":"PMID: 36914876\nPMCID: PMC10042257","page":"423-436","source":"PubMed","title":"The genetic basis of endometriosis and comorbidity with other pain and inflammatory conditions","volume":"55","author":[{"family":"Rahmioglu","given":"Nilufer"},{"family":"Mortlock","given":"Sally"},{"family":"Ghiasi","given":"Marzieh"},{"family":"Møller","given":"Peter L."},{"family":"Stefansdottir","given":"Lilja"},{"family":"Galarneau","given":"Geneviève"},{"family":"Turman","given":"Constance"},{"family":"Danning","given":"Rebecca"},{"family":"Law","given":"Matthew H."},{"family":"Sapkota","given":"Yadav"},{"family":"Christofidou","given":"Paraskevi"},{"family":"Skarp","given":"Sini"},{"family":"Giri","given":"Ayush"},{"family":"Banasik","given":"Karina"},{"family":"Krassowski","given":"Michal"},{"family":"Lepamets","given":"Maarja"},{"family":"Marciniak","given":"Błażej"},{"family":"Nõukas","given":"Margit"},{"family":"Perro","given":"Danielle"},{"family":"Sliz","given":"Eeva"},{"family":"Sobalska-Kwapis","given":"Marta"},{"family":"Thorleifsson","given":"Gudmar"},{"family":"Topbas-Selcuki","given":"Nura F."},{"family":"Vitonis","given":"Allison"},{"family":"Westergaard","given":"David"},{"family":"Arnadottir","given":"Ragnheidur"},{"family":"Burgdorf","given":"Kristoffer S."},{"family":"Campbell","given":"Archie"},{"family":"Cheuk","given":"Cecilia S. K."},{"family":"Clementi","given":"Caterina"},{"family":"Cook","given":"James"},{"family":"De Vivo","given":"Immaculata"},{"family":"DiVasta","given":"Amy"},{"family":"Dorien","given":"O."},{"family":"Donoghue","given":"Jacqueline F."},{"family":"Edwards","given":"Todd"},{"family":"Fontanillas","given":"Pierre"},{"family":"Fung","given":"Jenny N."},{"family":"Geirsson","given":"Reynir T."},{"family":"Girling","given":"Jane E."},{"family":"Harkki","given":"Paivi"},{"family":"Harris","given":"Holly R."},{"family":"Healey","given":"Martin"},{"family":"Heikinheimo","given":"Oskari"},{"family":"Holdsworth-Carson","given":"Sarah"},{"family":"Hostettler","given":"Isabel C."},{"family":"Houlden","given":"Henry"},{"family":"Houshdaran","given":"Sahar"},{"family":"Irwin","given":"Juan C."},{"family":"Jarvelin","given":"Marjo-Riitta"},{"family":"Kamatani","given":"Yoichiro"},{"family":"Kennedy","given":"Stephen H."},{"family":"Kepka","given":"Ewa"},{"family":"Kettunen","given":"Johannes"},{"family":"Kubo","given":"Michiaki"},{"family":"Kulig","given":"Bartosz"},{"family":"Kurra","given":"Venla"},{"family":"Laivuori","given":"Hannele"},{"family":"Laufer","given":"Marc R."},{"family":"Lindgren","given":"Cecilia M."},{"family":"MacGregor","given":"Stuart"},{"family":"Mangino","given":"Massimo"},{"family":"Martin","given":"Nicholas G."},{"family":"Matalliotaki","given":"Charoula"},{"family":"Matalliotakis","given":"Michail"},{"family":"Murray","given":"Alison D."},{"family":"Ndungu","given":"Anne"},{"family":"Nezhat","given":"Camran"},{"family":"Olsen","given":"Catherine M."},{"family":"Opoku-Anane","given":"Jessica"},{"family":"Padmanabhan","given":"Sandosh"},{"family":"Paranjpe","given":"Manish"},{"family":"Peters","given":"Maire"},{"family":"Polak","given":"Grzegorz"},{"family":"Porteous","given":"David J."},{"family":"Rabban","given":"Joseph"},{"family":"Rexrode","given":"Kathyrn M."},{"family":"Romanowicz","given":"Hanna"},{"family":"Saare","given":"Merli"},{"family":"Saavalainen","given":"Liisu"},{"family":"Schork","given":"Andrew J."},{"family":"Sen","given":"Sushmita"},{"family":"Shafrir","given":"Amy L."},{"family":"Siewierska-Górska","given":"Anna"},{"family":"Słomka","given":"Marcin"},{"family":"Smith","given":"Blair H."},{"family":"Smolarz","given":"Beata"},{"family":"Szaflik","given":"Tomasz"},{"family":"Szyłło","given":"Krzysztof"},{"family":"Takahashi","given":"Atsushi"},{"family":"Terry","given":"Kathryn L."},{"family":"Tomassetti","given":"Carla"},{"family":"Treloar","given":"Susan A."},{"family":"Vanhie","given":"Arne"},{"family":"Vincent","given":"Katy"},{"family":"Vo","given":"Kim C."},{"family":"Werring","given":"David J."},{"family":"Zeggini","given":"Eleftheria"},{"family":"Zervou","given":"Maria I."},{"literal":"DBDS Genomic Consortium"},{"literal":"FinnGen Study"},{"literal":"FinnGen Endometriosis Taskforce"},{"literal":"Celmatix Research Team"},{"literal":"23andMe Research Team"},{"family":"Adachi","given":"Sosuke"},{"family":"Buring","given":"Julie E."},{"family":"Ridker","given":"Paul M."},{"family":"D'Hooghe","given":"Thomas"},{"family":"Goulielmos","given":"George N."},{"family":"Hapangama","given":"Dharani K."},{"family":"Hayward","given":"Caroline"},{"family":"Horne","given":"Andrew W."},{"family":"Low","given":"Siew-Kee"},{"family":"Martikainen","given":"Hannu"},{"family":"Chasman","given":"Daniel I."},{"family":"Rogers","given":"Peter A. W."},{"family":"Saunders","given":"Philippa T."},{"family":"Sirota","given":"Marina"},{"family":"Spector","given":"Tim"},{"family":"Strapagiel","given":"Dominik"},{"family":"Tung","given":"Joyce Y."},{"family":"Whiteman","given":"David C."},{"family":"Giudice","given":"Linda C."},{"family":"Velez-Edwards","given":"Digna R."},{"family":"Uimari","given":"Outi"},{"family":"Kraft","given":"Peter"},{"family":"Salumets","given":"Andres"},{"family":"Nyholt","given":"Dale R."},{"family":"Mägi","given":"Reedik"},{"family":"Stefansson","given":"Kari"},{"family":"Becker","given":"Christian M."},{"family":"Yurttas-Beim","given":"Piraye"},{"family":"Steinthorsdottir","given":"Valgerdur"},{"family":"Nyegaard","given":"Mette"},{"family":"Missmer","given":"Stacey A."},{"family":"Montgomery","given":"Grant W."},{"family":"Morris","given":"Andrew P."},{"family":"Zondervan","given":"Krina T."}],"issued":{"date-parts":[["2023",3]]}}},{"id":877,"uris":["http://zotero.org/users/11893546/items/3M3F5ELE"],"itemData":{"id":877,"type":"article-journal","abstract":"OBJECTIVES: To determine the incidence of osteoarthrits (OA) in patients with atopic disease compared with matched non-exposed patients.\nMETHODS: We conducted a retrospective cohort study with propensity score matching using claims data from Optum's de-identified Clinformatics Data Mart (CDM) (January 2003 to June 2019) and electronic health record data from the Stanford Research Repository (STARR) (January 2010 to December 2020). We included adult patients without pre-existing OA or inflammatory arthritis who were exposed to atopic disease or who were non-exposed. The primary outcome was the development of incident OA.\nRESULTS: In Optum CDM, we identified 117 346 exposed patients with asthma or atopic dermatitis (mean age 52 years; 60% female) and 1 247 196 non-exposed patients (mean age 50 years; 48% female). After propensity score matching (n=1 09 899 per group), OA incidence was higher in patients with asthma or atopic dermatitis (26.9 per 1000 person-years) compared with non-exposed patients (19.1 per 1000 person-years), with an adjusted odds ratio (aOR) of 1.58 (95% CI 1.55 to 1.62) for developing OA. This effect was even more pronounced in patients with both asthma and atopic dermatitis compared with non-exposed patients (aOR=2.15; 95% CI 1.93 to 2.39) and in patients with asthma compared with patients with chronic obstructive pulmonary disease (aOR=1.83; 95% CI 1.73 to 1.95). We replicated our results in an independent dataset (STARR), which provided the added richness of body mass index data. The aOR of developing OA in patients with asthma or atopic dermatitis versus non-exposed patients in STARR was 1.42 (95% CI 1.36 to 1.48).\nCONCLUSIONS: This study demonstrates an increased incidence of OA in patients with atopic disease. Future interventional studies may consider targeting allergic pathways for the prevention or treatment of OA.","container-title":"Annals of the Rheumatic Diseases","DOI":"10.1136/ard-2022-223640","ISSN":"1468-2060","issue":"6","journalAbbreviation":"Ann Rheum Dis","language":"eng","note":"PMID: 36987654\nPMCID: PMC10314085","page":"866-872","source":"PubMed","title":"Increased risk of osteoarthritis in patients with atopic disease","volume":"82","author":[{"family":"Baker","given":"Matthew C."},{"family":"Sheth","given":"Khushboo"},{"family":"Lu","given":"Rong"},{"family":"Lu","given":"Di"},{"family":"Kaeppler","given":"Ericka P.","non-dropping-particle":"von"},{"family":"Bhat","given":"Archana"},{"family":"Felson","given":"David T."},{"family":"Robinson","given":"William H."}],"issued":{"date-parts":[["2023",6]]}}},{"id":"ga4GnxTX/vikhSOcd","uris":["http://zotero.org/users/local/k7mguTBH/items/E9HR4SZP"],"itemData":{"id":"QIv5iBTo/GveNFvox","type":"article-journal","abstract":"The presence of comorbidity can be associated with poorer asthma outcomes. Previous prevalence studies focused on a limited selection of comorbid conditions in asthma only. We aimed to determine age- and sex-specific pr</w:instrText>
            </w:r>
            <w:r w:rsidRPr="008E4595">
              <w:rPr>
                <w:rFonts w:eastAsia="Times New Roman" w:hint="eastAsia"/>
                <w:sz w:val="18"/>
                <w:szCs w:val="18"/>
                <w:lang w:val="en-US" w:eastAsia="en-GB"/>
              </w:rPr>
              <w:instrText xml:space="preserve">evalence estimates for the full range of chronic comorbid conditions in adult asthma patients by performing a retrospective cohort study based on 32,787 medical records of patients aged ≥16 years with asthma from 179 general practices in the Netherlands. </w:instrText>
            </w:r>
            <w:r w:rsidRPr="008E4595">
              <w:rPr>
                <w:rFonts w:eastAsia="Times New Roman"/>
                <w:sz w:val="18"/>
                <w:szCs w:val="18"/>
                <w:lang w:val="en-US" w:eastAsia="en-GB"/>
              </w:rPr>
              <w:instrText xml:space="preserve">Age- and sex-specific prevalence estimates of 76 chronic comorbidities and 14 disease categories based on International Classification of Primary Care codes were determined. Chronic comorbidity was present in 65.3% of male asthma patients and 72.8% of female asthma patients, with female patients having a higher mean (SD) of 2.0 (2.1) comorbidities compared to male patients (1.7 (2.0)). This mean increased to 5.0 (2.7) conditions in the 75+ age group. Most prevalent comorbidities were hypertension (20.1%), osteoarthritis (11.5%), eczema (11.5%) and dyspepsia (10.7%). Compared to male asthma patients, female asthma patients showed higher odds for the presence of other chronic conditions in eight disease categories. Neurological (odds ratio [OR]; 95% confidence interval 2.01; 1.76–2.29), blood forming/lymphatics (OR 1.83; 1.38–2.42) and musculoskeletal diseases (OR 1.82; 1.69–1.95) showed the highest association with female sex. In conclusion, the presence of chronic comorbidity is the norm in adults with asthma and it is more prevalent in female than in male asthma patients. The odds of having a specific comorbid condition may differ between the sexes. Attention in guidelines on how to handle comorbidities may lead to a more targeted treatment for comorbidities and more patient-centred asthma management.","container-title":"NPJ Primary Care Respiratory Medicine","DOI":"10.1038/s41533-019-0127-9","ISSN":"2055-1010","journalAbbreviation":"NPJ Prim Care Respir Med","note":"PMID: 31036820\nPMCID: PMC6488608","page":"14","source":"PubMed Central","title":"Age- and sex-specific prevalence of chronic comorbidity in adult patients with asthma: A real-life study","title-short":"Age- and sex-specific prevalence of chronic comorbidity in adult patients with asthma","volume":"29","author":[{"family":"Veenendaal","given":"Mathijs"},{"family":"Westerik","given":"Janine A. M."},{"family":"Bemt","given":"Lisette","non-dropping-particle":"van den"},{"family":"Kocks","given":"Janwillem W. H."},{"family":"Bischoff","given":"Erik W."},{"family":"Schermer","given":"Tjard R."}],"issued":{"date-parts":[["2019",4,29]]}}}],"schema":"https://github.com/citation-style-language/schema/raw/master/csl-citation.json"} </w:instrText>
            </w:r>
            <w:r w:rsidRPr="008E4595">
              <w:rPr>
                <w:rFonts w:eastAsia="Times New Roman"/>
                <w:sz w:val="18"/>
                <w:szCs w:val="18"/>
                <w:lang w:val="en-US" w:eastAsia="en-GB"/>
              </w:rPr>
              <w:fldChar w:fldCharType="separate"/>
            </w:r>
            <w:r w:rsidRPr="008E4595">
              <w:rPr>
                <w:rFonts w:eastAsia="Times New Roman"/>
                <w:sz w:val="18"/>
                <w:szCs w:val="18"/>
                <w:lang w:val="en-US" w:eastAsia="en-GB"/>
              </w:rPr>
              <w:t>[3–5]</w:t>
            </w:r>
            <w:r w:rsidRPr="008E4595">
              <w:rPr>
                <w:rFonts w:eastAsia="Times New Roman"/>
                <w:sz w:val="18"/>
                <w:szCs w:val="18"/>
                <w:lang w:val="en-US" w:eastAsia="en-GB"/>
              </w:rPr>
              <w:fldChar w:fldCharType="end"/>
            </w:r>
            <w:r w:rsidRPr="008E4595">
              <w:rPr>
                <w:rFonts w:eastAsia="Times New Roman"/>
                <w:sz w:val="18"/>
                <w:szCs w:val="18"/>
                <w:lang w:val="en-US" w:eastAsia="en-GB"/>
              </w:rPr>
              <w:t>, with theories proposing a common inflammatory pathway that links asthma's airway inflammation to OA's joint inflammation</w:t>
            </w:r>
            <w:r w:rsidRPr="008E4595">
              <w:rPr>
                <w:rFonts w:eastAsia="Times New Roman"/>
                <w:sz w:val="18"/>
                <w:szCs w:val="18"/>
                <w:lang w:val="en-US" w:eastAsia="en-GB"/>
              </w:rPr>
              <w:fldChar w:fldCharType="begin"/>
            </w:r>
            <w:r w:rsidRPr="008E4595">
              <w:rPr>
                <w:rFonts w:eastAsia="Times New Roman"/>
                <w:sz w:val="18"/>
                <w:szCs w:val="18"/>
                <w:lang w:val="en-US" w:eastAsia="en-GB"/>
              </w:rPr>
              <w:instrText xml:space="preserve"> ADDIN ZOTERO_ITEM CSL_CITATION {"citationID":"jRpP33PE","properties":{"formattedCitation":"[6,7]","plainCitation":"[6,7]","noteIndex":0},"citationItems":[{"id":881,"uris":["http://zotero.org/users/11893546/items/A7BP9N85"],"itemData":{"id":881,"type":"article-journal","abstract":"BACKGROUND: Asthma and osteoarthritis (OA) are medical conditions that inhibit physical activity and adversely affect quality of life. Despite the high prevalence, there are limited studies focusing on the comorbid condition and association between asthma and OA. The aim of this study was to assess the prevalence of OA co-occurring with asthma and to identify the relevant clinical considerations.\nMETHODS: Adult participants aged over 40 years who completed questionnaire assessments and spirometry tests were enrolled from the Korean National Health and Nutrition Examination Survey. Asthma and OA were defined based on the medical history of a diagnosis made by a doctor. Radiographic severities of OA were measured using the Kellgren-Lawrence grading system. Chronic obstructive pulmonary disease (COPD), as a comparative respiratory disease, was diagnosed based on the spirometric results.\nRESULTS: A total of 9344 subjects were enrolled, and the prevalence of asthma and COPD were 4.6% ± 0.3% and 12.0% ± 0.5%, respectively. The prevalence of OA in the asthma group was 31.9% ± 2.8%, which was significantly higher than that in the COPD (17.8% ± 1.5%) or control (16.2% ± 0.6%) groups. OA was more prevalent in patients with asthma after adjusting for age, sex, body mass index, and smoking status (OR 1.65; 95% CI 1.27-2.13). Furthermore, after adjustment of this model for the prescription of OA medication, OA remained independently associated with asthma (OR 1.56; 95% CI 1.10-2.20). Conversely, the relationship of OA medication with asthma was not significant (P = 0.64). This relationship was evident in patients with asthma without airflow limitation measured by spirometry (OR 1.97; 95% CI 1.32-2.93). Moreover, the radiographic severity of knee OA correlated with asthma (OR 1.10; 95% CI 1.0-‍‍1.21).\nCONCLUSIONS: OA shows a high prevalence in patients with asthma, higher than in patients with COPD or the controls. The comorbid characteristics of these two conditions need to be considered in clinical practice.","container-title":"BMC pulmonary medicine","DOI":"10.1186/s12890-021-01425-6","ISSN":"1471-2466","issue":"1","journalAbbreviation":"BMC Pulm Med","language":"eng","note":"PMID: 33593334\nPMCID: PMC7885236","page":"59","source":"PubMed","title":"Novel association between asthma and osteoarthritis: a nationwide health and nutrition examination survey","title-short":"Novel association between asthma and osteoarthritis","volume":"21","author":[{"family":"Koo","given":"Hyeon-Kyoung"},{"family":"Song","given":"Pamela"},{"family":"Lee","given":"Joo-Hyun"}],"issued":{"date-parts":[["2021",2,16]]}}},{"id":872,"uris":["http://zotero.org/users/11893546/items/4WQWDB23"],"itemData":{"id":872,"type":"article-journal","abstract":"The circadian clock is a collection of endogenous oscillators with a periodicity of ~ 24 h. Recently, our understanding of circadian rhythms and their regulation at genomic and physiologic scales has grown significantly. Knowledge of the circadian influence on biological processes has provided new possibilities for novel pharmacological strategies. Directly targeting the biological clock or its downstream targets, and/or using timing as a variable in drug therapy are now important pharmacological considerations. The circadian machinery mediates many aspects of the inflammatory response and, reciprocally, an inflammatory environment can disrupt circadian rhythms. Therefore, intense interest exists in leveraging circadian biology as a means to treat chronic inflammatory diseases such as sepsis, asthma, rheumatoid arthritis, osteoarthritis, and cardiovascular disease, which all display some type of circadian signature. The purpose of this review is to evaluate the crosstalk between circadian rhythms, inflammatory diseases, and their pharmacological treatment. Evidence suggests that carefully rationalized application of chronotherapy strategies - alone or in combination with small molecule modulators of circadian clock components - can improve efficacy and reduce toxicity, thus warranting further investigation and use.","container-title":"Biochemical Pharmacology","DOI":"10.1016/j.bcp.2020.114254","ISSN":"1873-2968","journalAbbreviation":"Biochem Pharmacol","language":"eng","note":"PMID: 33010213","page":"114254","source":"PubMed","title":"Therapeutics on the clock: Circadian medicine in the treatment of chronic inflammatory diseases","title-short":"Therapeutics on the clock","volume":"182","author":[{"family":"Jacob","given":"Haritha"},{"family":"Curtis","given":"Annie M."},{"family":"Kearney","given":"Cathal J."}],"issued":{"date-parts":[["2020",12]]}}}],"schema":"https://github.com/citation-style-language/schema/raw/master/csl-citation.json"} </w:instrText>
            </w:r>
            <w:r w:rsidRPr="008E4595">
              <w:rPr>
                <w:rFonts w:eastAsia="Times New Roman"/>
                <w:sz w:val="18"/>
                <w:szCs w:val="18"/>
                <w:lang w:val="en-US" w:eastAsia="en-GB"/>
              </w:rPr>
              <w:fldChar w:fldCharType="separate"/>
            </w:r>
            <w:r w:rsidRPr="008E4595">
              <w:rPr>
                <w:rFonts w:eastAsia="Times New Roman"/>
                <w:sz w:val="18"/>
                <w:szCs w:val="18"/>
                <w:lang w:val="en-US" w:eastAsia="en-GB"/>
              </w:rPr>
              <w:t>[6,7]</w:t>
            </w:r>
            <w:r w:rsidRPr="008E4595">
              <w:rPr>
                <w:rFonts w:eastAsia="Times New Roman"/>
                <w:sz w:val="18"/>
                <w:szCs w:val="18"/>
                <w:lang w:val="en-US" w:eastAsia="en-GB"/>
              </w:rPr>
              <w:fldChar w:fldCharType="end"/>
            </w:r>
            <w:r w:rsidRPr="008E4595">
              <w:rPr>
                <w:rFonts w:eastAsia="Times New Roman"/>
                <w:sz w:val="18"/>
                <w:szCs w:val="18"/>
                <w:lang w:val="en-US" w:eastAsia="en-GB"/>
              </w:rPr>
              <w:t xml:space="preserve">. Molecular markers like YKL-40 and histone K, found in both asthma and OA, imply a shared immune response </w:t>
            </w:r>
            <w:r w:rsidRPr="008E4595">
              <w:rPr>
                <w:rFonts w:eastAsia="Times New Roman"/>
                <w:sz w:val="18"/>
                <w:szCs w:val="18"/>
                <w:lang w:val="en-US" w:eastAsia="en-GB"/>
              </w:rPr>
              <w:fldChar w:fldCharType="begin"/>
            </w:r>
            <w:r w:rsidRPr="008E4595">
              <w:rPr>
                <w:rFonts w:eastAsia="Times New Roman"/>
                <w:sz w:val="18"/>
                <w:szCs w:val="18"/>
                <w:lang w:val="en-US" w:eastAsia="en-GB"/>
              </w:rPr>
              <w:instrText xml:space="preserve"> ADDIN ZOTERO_ITEM CSL_CITATION {"citationID":"rNHsBNmU","properties":{"formattedCitation":"[8\\uc0\\u8211{}10]","plainCitation":"[8–10]","noteIndex":0},"citationItems":[{"id":"ga4GnxTX/LAHdLvI4","uris":["http://zotero.org/users/local/k7mguTBH/items/V84NYA62"],"itemData":{"id":4068,"type":"article-journal","abstract":"Objective: To investigate quantitatively the mRNA expression levels of YKL-40, an established marker of rheumatoid and osteoarthritic cartilage degeneration in synovial fluid and serum, and a closely related molecule YKL-39, in articular chondrocytes.\nMethods: cDNA array and online quantitative polymerase chain reaction (PCR) were used to measure mRNA expression levels of YKL-39 and YKL-40 in chondrocytes in normal, early degenerative, and late stage osteoarthritic cartilage samples.\nResults: Expression analysis showed high levels of both proteins in normal articular chondrocytes, with lower levels of YKL-39 than YKL-40. Whereas YKL-40 was significantly down regulated in late stage osteoarthritic chondrocytes, YKL-39 was significantly up regulated. In vitro both YKLs were down regulated by interleukin 1β.\nConclusions: The up regulation of YKL-39 in osteoarthritic cartilage suggests that YKL-39 may be a more accurate marker of chondrocyte activation than YKL-40, although it has yet to be established as a suitable marker in synovial fluid and serum. The decreased expression of YKL-40 by osteoarthritic chondrocytes is surprising as increased levels have been reported in rheumatoid and osteoarthritic synovial fluid, where it may derive from activated synovial cells or osteophytic tissue or by increased matrix destruction in the osteoarthritic joint. YKL-39 and YKL-40 are potentially interesting marker molecules for arthritic joint disease because they are abundantly expressed by both normal and osteoarthritic chondrocytes.","container-title":"Annals of the Rheumatic Diseases","DOI":"10.1136/ard.62.10.995","ISSN":"0003-4967, 1468-2060","issue":"10","language":"en","license":"Copyright 2003 by Annals of the Rheumatic Diseases","note":"publisher: BMJ Publishing Group Ltd\nsection: Concise report\nPMID: 12972480","page":"995-998","source":"ard.bmj.com","title":"YKL-39 (chitinase 3-like protein 2), but not YKL-40 (chitinase 3-like protein 1), is up regulated in osteoarthritic chondrocytes","volume":"62","author":[{"family":"Knorr","given":"T."},{"family":"Obermayr","given":"F."},{"family":"Bartnik","given":"E."},{"family":"Zien","given":"A."},{"family":"Aigner","given":"T."}],"issued":{"date-parts":[["2003",10,1]]}},"label":"page"},{"id":"ga4GnxTX/tiVn4H4f","uris":["http://zotero.org/users/local/k7mguTBH/items/8WKIMYZI"],"itemData":{"id":4071,"type":"article-journal","abstract":"YKL-40 is associated with tissue injury and inflammation, and consequently to diseases in which these mechanisms lead to tissue degradation, for example, asthma and rheumatoid arthritis. The purpose of the present study was to investigate if YKL-40 is also a significant factor in osteoarthritis (OA) by assessing associations of YKL-40 with mediators related to the pathogenesis of OA: cartilage destructing matrix metalloproteinases (MMPs) and proinflammatory cytokines interleukin-6 (IL-6) and interleukin-17 (IL-17). Cartilage, synovial fluid (SF), and plasma samples were obtained from 100 OA patients undergoing total knee replacement surgery. SF levels of YKL-40 (1027.9 ± 78.3 ng/mL) were considerably higher than plasma levels (67.2 ± 4.5 ng/mL) and correlated with YKL-40 released from cartilage samples obtained from the same patients (r = 0.37, P = 0.010), indicating that YKL-40 is produced by OA cartilage. Interestingly, YKL-40 concentrations in OA SF correlated positively with MMP-1 (r = 0.36, P = 0.014), MMP-3 (r = 0.46, P = 0.001), IL-6 (r = 0.57, P &lt; 0.001), and IL-17 (r = 0.52, P = 0.010) levels. Moreover, IL-6 and IL-17 enhanced YKL-40 production in human primary chondrocyte cultures. The present study introduces YKL-40 as a cartilage-derived factor associated with mediators of inflammation and cartilage destruction involved in the pathogenesis of OA.","container-title":"Mediators of Inflammation","DOI":"10.1155/2014/215140","ISSN":"0962-9351","journalAbbreviation":"Mediators Inflamm","note":"PMID: 25132728\nPMCID: PMC4124234","page":"215140","source":"PubMed Central","title":"YKL-40 as a Novel Factor Associated with Inflammation and Catabolic Mechanisms in Osteoarthritic Joints","volume":"2014","author":[{"family":"Väänänen","given":"Tuija"},{"family":"Koskinen","given":"Anna"},{"family":"Paukkeri","given":"Erja-Leena"},{"family":"Hämäläinen","given":"Mari"},{"family":"Moilanen","given":"Teemu"},{"family":"Moilanen","given":"Eeva"},{"family":"Vuolteenaho","given":"Katriina"}],"issued":{"date-parts":[["2014"]]}},"label":"page"},{"id":"ga4GnxTX/qw0zQOhi","uris":["http://zotero.org/users/local/k7mguTBH/items/V3IY2E6L"],"itemData":{"id":4076,"type":"article-journal","abstract":"Europe PMC is an archive of life sciences journal literature.","container-title":"Current Pharmaceutical Design","DOI":"10.2174/138161207780162962","ISSN":"1381-6128, 1873-4286","issue":"4","journalAbbreviation":"Curr Pharm Des","language":"English","note":"PMID: 17311556","page":"387-403","source":"europepmc.org","title":"Emerging roles of cysteine cathepsins in disease and their potential as drug targets.","volume":"13","author":[{"family":"O","given":"Vasiljeva"},{"family":"T","given":"Reinheckel"},{"family":"C","given":"Peters"},{"family":"D","given":"Turk"},{"family":"V","given":"Turk"},{"family":"B","given":"Turk"}],"issued":{"date-parts":[["2007",1,1]]}}}],"schema":"https://github.com/citation-style-language/schema/raw/master/csl-citation.json"} </w:instrText>
            </w:r>
            <w:r w:rsidRPr="008E4595">
              <w:rPr>
                <w:rFonts w:eastAsia="Times New Roman"/>
                <w:sz w:val="18"/>
                <w:szCs w:val="18"/>
                <w:lang w:val="en-US" w:eastAsia="en-GB"/>
              </w:rPr>
              <w:fldChar w:fldCharType="separate"/>
            </w:r>
            <w:r w:rsidRPr="008E4595">
              <w:rPr>
                <w:rFonts w:eastAsia="Times New Roman"/>
                <w:sz w:val="18"/>
                <w:szCs w:val="18"/>
                <w:lang w:val="en-US" w:eastAsia="en-GB"/>
              </w:rPr>
              <w:t>[8–10]</w:t>
            </w:r>
            <w:r w:rsidRPr="008E4595">
              <w:rPr>
                <w:rFonts w:eastAsia="Times New Roman"/>
                <w:sz w:val="18"/>
                <w:szCs w:val="18"/>
                <w:lang w:val="en-US" w:eastAsia="en-GB"/>
              </w:rPr>
              <w:fldChar w:fldCharType="end"/>
            </w:r>
            <w:r w:rsidRPr="008E4595">
              <w:rPr>
                <w:rFonts w:eastAsia="Times New Roman" w:hint="eastAsia"/>
                <w:sz w:val="18"/>
                <w:szCs w:val="18"/>
                <w:lang w:val="en-US" w:eastAsia="en-GB"/>
              </w:rPr>
              <w:t>.</w:t>
            </w:r>
            <w:r w:rsidRPr="008E4595">
              <w:rPr>
                <w:rFonts w:eastAsia="Times New Roman"/>
                <w:sz w:val="18"/>
                <w:szCs w:val="18"/>
                <w:lang w:val="en-US" w:eastAsia="en-GB"/>
              </w:rPr>
              <w:t xml:space="preserve"> Furthermore, the use of </w:t>
            </w:r>
            <w:proofErr w:type="spellStart"/>
            <w:r w:rsidRPr="008E4595">
              <w:rPr>
                <w:rFonts w:eastAsia="Times New Roman"/>
                <w:sz w:val="18"/>
                <w:szCs w:val="18"/>
                <w:lang w:val="en-US" w:eastAsia="en-GB"/>
              </w:rPr>
              <w:t>Icatibant</w:t>
            </w:r>
            <w:proofErr w:type="spellEnd"/>
            <w:r w:rsidRPr="008E4595">
              <w:rPr>
                <w:rFonts w:eastAsia="Times New Roman"/>
                <w:sz w:val="18"/>
                <w:szCs w:val="18"/>
                <w:lang w:val="en-US" w:eastAsia="en-GB"/>
              </w:rPr>
              <w:t xml:space="preserve"> acetate for both conditions underscores a potential connection, while initial findings hint at interactions between non-steroidal anti-inflammatory drugs (NSAIDs), used in OA treatment, and asthma.</w:t>
            </w:r>
            <w:r w:rsidRPr="008E4595">
              <w:rPr>
                <w:rFonts w:eastAsia="Times New Roman"/>
                <w:sz w:val="18"/>
                <w:szCs w:val="18"/>
                <w:lang w:val="en-US" w:eastAsia="en-GB"/>
              </w:rPr>
              <w:fldChar w:fldCharType="begin"/>
            </w:r>
            <w:r w:rsidRPr="008E4595">
              <w:rPr>
                <w:rFonts w:eastAsia="Times New Roman"/>
                <w:sz w:val="18"/>
                <w:szCs w:val="18"/>
                <w:lang w:val="en-US" w:eastAsia="en-GB"/>
              </w:rPr>
              <w:instrText xml:space="preserve"> ADDIN ZOTERO_ITEM CSL_CITATION {"citationID":"3VdP9tAX","properties":{"formattedCitation":"[6,11,12]","plainCitation":"[6,11,12]","noteIndex":0},"citationItems":[{"id":881,"uris":["http://zotero.org/users/11893546/items/A7BP9N85"],"itemData":{"id":881,"type":"article-journal","abstract":"BACKGROUND: Asthma and osteoarthritis (OA) are medical conditions that inhibit physical activity and adversely affect quality of life. Despite the high prevalence, there are limited studies focusing on the comorbid condition and association between asthma and OA. The aim of this study was to assess the prevalence of OA co-occurring with asthma and to identify the relevant clinical considerations.\nMETHODS: Adult participants aged over 40 years who completed questionnaire assessments and spirometry tests were enrolled from the Korean National Health and Nutrition Examination Survey. Asthma and OA were defined based on the medical history of a diagnosis made by a doctor. Radiographic severities of OA were measured using the Kellgren-Lawrence grading system. Chronic obstructive pulmonary disease (COPD), as a comparative respiratory disease, was diagnosed based on the spirometric results.\nRESULTS: A total of 9344 subjects were enrolled, and the prevalence of asthma and COPD were 4.6% ± 0.3% and 12.0% ± 0.5%, respectively. The prevalence of OA in the asthma group was 31.9% ± 2.8%, which was significantly higher than that in the COPD (17.8% ± 1.5%) or control (16.2% ± 0.6%) groups. OA was more prevalent in patients with asthma after adjusting for age, sex, body mass index, and smoking status (OR 1.65; 95% CI 1.27-2.13). Furthermore, after adjustment of this model for the prescription of OA medication, OA remained independently associated with asthma (OR 1.56; 95% CI 1.10-2.20). Conversely, the relationship of OA medication with asthma was not significant (P = 0.64). This relationship was evident in patients with asthma without airflow limitation measured by spirometry (OR 1.97; 95% CI 1.32-2.93). Moreover, the radiographic severity of knee OA correlated with asthma (OR 1.10; 95% CI 1.0-‍‍1.21).\nCONCLUSIONS: OA shows a high prevalence in patients with asthma, higher than in patients with COPD or the controls. The comorbid characteristics of these two conditions need to be considered in clinical practice.","container-title":"BMC pulmonary medicine","DOI":"10.1186/s12890-021-01425-6","ISSN":"1471-2466","issue":"1","journalAbbreviation":"BMC Pulm Med","language":"eng","note":"PMID: 33593334\nPMCID: PMC7885236","page":"59","source":"PubMed","title":"Novel association between asthma and osteoarthritis: a nationwide health and nutrition examination survey","title-short":"Novel association between asthma and osteoarthritis","volume":"21","author":[{"family":"Koo","given":"Hyeon-Kyoung"},{"family":"Song","given":"Pamela"},{"family":"Lee","given":"Joo-Hyun"}],"issued":{"date-parts":[["2021",2,16]]}}},{"id":961,"uris":["http://zotero.org/users/11893546/items/ETIWJ8RT"],"itemData":{"id":961,"type":"article-journal","abstract":"The endogenous kinin bradykinin (BK) is known to exert both pathophysiological and beneficial physiological effects, the majority of which are transduced through activation of the ubiquitously distributed G-protein-coupled 7-transmembrane BK B 2 receptor subtype. The B 2 receptor mediates BK-stimulated hypotension, vasodilatation, increased vascular permeability and inflammatory pain. Antagonism of this receptor could result in antiinflammatory, antiallergic and antihyperalgesic actions and may represent an attractive approach for the treatment of many disorders involving B 2 receptor activation. Icatibant (Hoe-140, JE-049) is a B 2 antagonist that shows particular promise. It is a second-generation 10-residue peptide antagonist that displays affinity for the B 2 receptor comparable to that of BK itself. Icatibant has exhibited potent antiinflammatory, antiallergic and antihyperalgesic activity in vitro and in vivo in a number of pathological models and was chosen for further development. It has also shown significant activity clinically as a treatment for hereditary angioedema (HAE), cirrhosis, osteoarthritis pain and asthma, and is undergoing phase III development for HAE as the initial indication.","container-title":"Drugs of The Future","source":"Semantic Scholar","title":"Icatibant acetate. Treatment of hereditary angioedema agent for liver cirrhosis antiasthmatic drug treatment of osteoarthritis pain bradykinin B2 antagonist","URL":"https://www.semanticscholar.org/paper/Icatibant-acetate.-Treatment-of-hereditary-agent-of-Sorbera-Fern%C3%A1ndez-Forner/8a71faf211b21e2a4decf6e0d00933fe9a2cd0db#citing-papers","author":[{"family":"Sorbera","given":"L."},{"family":"Fernández-Forner","given":"D."},{"family":"Bayes","given":"M."}],"accessed":{"date-parts":[["2023",9,13]]},"issued":{"date-parts":[["2006"]]}}},{"id":966,"uris":["http://zotero.org/users/11893546/items/IR9C6D6B"],"itemData":{"id":966,"type":"article-journal","abstract":"SC-84536, a selective inhibitor of inducible nitric oxide synthase (INOS), is targeted for the treatment of osteoarthritis, neuropathic pain and asthma. This report describes our effort toward developing an alternative synthetic route for preparation of SC-84536. In the process, we also developed a new and simple method for the preparation of phthalimide 6, a potentially useful synthon.","container-title":"Journal of the Iranian Chemical Society","DOI":"10.1007/BF03246122","ISSN":"1735-2428","issue":"2","journalAbbreviation":"JICS","language":"en","page":"306-308","source":"Springer Link","title":"A new and more practical approach to the synthesis of the precursor of SC-84536, a selective inducible nitric oxide synthase inhibitor","volume":"5","author":[{"family":"Wuts","given":"P. G. M."}],"issued":{"date-parts":[["2008",6,1]]}}}],"schema":"https://github.com/citation-style-language/schema/raw/master/csl-citation.json"} </w:instrText>
            </w:r>
            <w:r w:rsidRPr="008E4595">
              <w:rPr>
                <w:rFonts w:eastAsia="Times New Roman"/>
                <w:sz w:val="18"/>
                <w:szCs w:val="18"/>
                <w:lang w:val="en-US" w:eastAsia="en-GB"/>
              </w:rPr>
              <w:fldChar w:fldCharType="separate"/>
            </w:r>
            <w:r w:rsidRPr="008E4595">
              <w:rPr>
                <w:rFonts w:eastAsia="Times New Roman"/>
                <w:sz w:val="18"/>
                <w:szCs w:val="18"/>
                <w:lang w:val="en-US" w:eastAsia="en-GB"/>
              </w:rPr>
              <w:t>[6,11,12]</w:t>
            </w:r>
            <w:r w:rsidRPr="008E4595">
              <w:rPr>
                <w:rFonts w:eastAsia="Times New Roman"/>
                <w:sz w:val="18"/>
                <w:szCs w:val="18"/>
                <w:lang w:val="en-US" w:eastAsia="en-GB"/>
              </w:rPr>
              <w:fldChar w:fldCharType="end"/>
            </w:r>
            <w:r w:rsidRPr="008E4595">
              <w:rPr>
                <w:rFonts w:eastAsia="Times New Roman"/>
                <w:sz w:val="18"/>
                <w:szCs w:val="18"/>
                <w:lang w:val="en-US" w:eastAsia="en-GB"/>
              </w:rPr>
              <w:t>. Additionally, allergic pathways may increase OA risk among individuals with asthma, potentially compounded by physical constraints from severe asthma</w:t>
            </w:r>
            <w:r w:rsidRPr="008E4595">
              <w:rPr>
                <w:rFonts w:eastAsia="Times New Roman"/>
                <w:sz w:val="18"/>
                <w:szCs w:val="18"/>
                <w:lang w:val="en-US" w:eastAsia="en-GB"/>
              </w:rPr>
              <w:fldChar w:fldCharType="begin"/>
            </w:r>
            <w:r w:rsidRPr="008E4595">
              <w:rPr>
                <w:rFonts w:eastAsia="Times New Roman"/>
                <w:sz w:val="18"/>
                <w:szCs w:val="18"/>
                <w:lang w:val="en-US" w:eastAsia="en-GB"/>
              </w:rPr>
              <w:instrText xml:space="preserve"> ADDIN ZOTERO_ITEM CSL_CITATION {"citationID":"TQPKrKzK","properties":{"formattedCitation":"[4,6]","plainCitation":"[4,6]","noteIndex":0},"citationItems":[{"id":881,"uris":["http://zotero.org/users/11893546/items/A7BP9N85"],"itemData":{"id":881,"type":"article-journal","abstract":"BACKGROUND: Asthma and osteoarthritis (OA) are medical conditions that inhibit physical activity and adversely affect quality of life. Despite the high prevalence, there are limited studies focusing on the comorbid condition and association between asthma and OA. The aim of this study was to assess the prevalence of OA co-occurring with asthma and to identify the relevant clinical considerations.\nMETHODS: Adult participants aged over 40 years who completed questionnaire assessments and spirometry tests were enrolled from the Korean National Health and Nutrition Examination Survey. Asthma and OA were defined based on the medical history of a diagnosis made by a doctor. Radiographic severities of OA were measured using the Kellgren-Lawrence grading system. Chronic obstructive pulmonary disease (COPD), as a comparative respiratory disease, was diagnosed based on the spirometric results.\nRESULTS: A total of 9344 subjects were enrolled, and the prevalence of asthma and COPD were 4.6% ± 0.3% and 12.0% ± 0.5%, respectively. The prevalence of OA in the asthma group was 31.9% ± 2.8%, which was significantly higher than that in the COPD (17.8% ± 1.5%) or control (16.2% ± 0.6%) groups. OA was more prevalent in patients with asthma after adjusting for age, sex, body mass index, and smoking status (OR 1.65; 95% CI 1.27-2.13). Furthermore, after adjustment of this model for the prescription of OA medication, OA remained independently associated with asthma (OR 1.56; 95% CI 1.10-2.20). Conversely, the relationship of OA medication with asthma was not significant (P = 0.64). This relationship was evident in patients with asthma without airflow limitation measured by spirometry (OR 1.97; 95% CI 1.32-2.93). Moreover, the radiographic severity of knee OA correlated with asthma (OR 1.10; 95% CI 1.0-‍‍1.21).\nCONCLUSIONS: OA shows a high prevalence in patients with asthma, higher than in patients with COPD or the controls. The comorbid characteristics of these two conditions need to be considered in clinical practice.","container-title":"BMC pulmonary medicine","DOI":"10.1186/s12890-021-01425-6","ISSN":"1471-2466","issue":"1","journalAbbreviation":"BMC Pulm Med","language":"eng","note":"PMID: 33593334\nPMCID: PMC7885236","page":"59","source":"PubMed","title":"Novel association between asthma and osteoarthritis: a nationwide health and nutrition examination survey","title-short":"Novel association between asthma and osteoarthritis","volume":"21","author":[{"family":"Koo","given":"Hyeon-Kyoung"},{"family":"Song","given":"Pamela"},{"family":"Lee","given":"Joo-Hyun"}],"issued":{"date-parts":[["2021",2,16]]}}},{"id":877,"uris":["http://zotero.org/users/11893546/items/3M3F5ELE"],"itemData":{"id":877,"type":"article-journal","abstract":"OBJECTIVES: To determine the incidence of osteoarthrits (OA) in patients with atopic disease compared with matched non-exposed patients.\nMETHODS: We conducted a retrospective cohort study with propensity score matching using claims data from Optum's de-identified Clinformatics Data Mart (CDM) (January 2003 to June 2019) and electronic health record data from the Stanford Research Repository (STARR) (January 2010 to December 2020). We included adult patients without pre-existing OA or inflammatory arthritis who were exposed to atopic disease or who were non-exposed. The primary outcome was the development of incident OA.\nRESULTS: In Optum CDM, we identified 117 346 exposed patients with asthma or atopic dermatitis (mean age 52 years; 60% female) and 1 247 196 non-exposed patients (mean age 50 years; 48% female). After propensity score matching (n=1 09 899 per group), OA incidence was higher in patients with asthma or atopic dermatitis (26.9 per 1000 person-years) compared with non-exposed patients (19.1 per 1000 person-years), with an adjusted odds ratio (aOR) of 1.58 (95% CI 1.55 to 1.62) for developing OA. This effect was even more pronounced in patients with both asthma and atopic dermatitis compared with non-exposed patients (aOR=2.15; 95% CI 1.93 to 2.39) and in patients with asthma compared with patients with chronic obstructive pulmonary disease (aOR=1.83; 95% CI 1.73 to 1.95). We replicated our results in an independent dataset (STARR), which provided the added richness of body mass index data. The aOR of developing OA in patients with asthma or atopic dermatitis versus non-exposed patients in STARR was 1.42 (95% CI 1.36 to 1.48).\nCONCLUSIONS: This study demonstrates an increased incidence of OA in patients with atopic disease. Future interventional studies may consider targeting allergic pathways for the prevention or treatment of OA.","container-title":"Annals of the Rheumatic Diseases","DOI":"10.1136/ard-2022-223640","ISSN":"1468-2060","issue":"6","journalAbbreviation":"Ann Rheum Dis","language":"eng","note":"PMID: 36987654\nPMCID: PMC10314085","page":"866-872","source":"PubMed","title":"Increased risk of osteoarthritis in patients with atopic disease","volume":"82","author":[{"family":"Baker","given":"Matthew C."},{"family":"Sheth","given":"Khushboo"},{"family":"Lu","given":"Rong"},{"family":"Lu","given":"Di"},{"family":"Kaeppler","given":"Ericka P.","non-dropping-particle":"von"},{"family":"Bhat","given":"Archana"},{"family":"Felson","given":"David T."},{"family":"Robinson","given":"William H."}],"issued":{"date-parts":[["2023",6]]}}}],"schema":"https://github.com/citation-style-language/schema/raw/master/csl-citation.json"} </w:instrText>
            </w:r>
            <w:r w:rsidRPr="008E4595">
              <w:rPr>
                <w:rFonts w:eastAsia="Times New Roman"/>
                <w:sz w:val="18"/>
                <w:szCs w:val="18"/>
                <w:lang w:val="en-US" w:eastAsia="en-GB"/>
              </w:rPr>
              <w:fldChar w:fldCharType="separate"/>
            </w:r>
            <w:r w:rsidRPr="008E4595">
              <w:rPr>
                <w:rFonts w:eastAsia="Times New Roman"/>
                <w:sz w:val="18"/>
                <w:szCs w:val="18"/>
                <w:lang w:val="en-US" w:eastAsia="en-GB"/>
              </w:rPr>
              <w:t>[4,6]</w:t>
            </w:r>
            <w:r w:rsidRPr="008E4595">
              <w:rPr>
                <w:rFonts w:eastAsia="Times New Roman"/>
                <w:sz w:val="18"/>
                <w:szCs w:val="18"/>
                <w:lang w:val="en-US" w:eastAsia="en-GB"/>
              </w:rPr>
              <w:fldChar w:fldCharType="end"/>
            </w:r>
            <w:r w:rsidRPr="008E4595">
              <w:rPr>
                <w:rFonts w:eastAsia="Times New Roman"/>
                <w:sz w:val="18"/>
                <w:szCs w:val="18"/>
                <w:lang w:val="en-US" w:eastAsia="en-GB"/>
              </w:rPr>
              <w:t xml:space="preserve">. </w:t>
            </w:r>
          </w:p>
          <w:p w14:paraId="5A2020E8" w14:textId="77777777" w:rsidR="008E4595" w:rsidRPr="008E4595" w:rsidRDefault="008E4595" w:rsidP="008E4595">
            <w:pPr>
              <w:spacing w:beforeLines="40" w:before="96" w:afterLines="40" w:after="96" w:line="24" w:lineRule="atLeast"/>
              <w:rPr>
                <w:rFonts w:eastAsia="Times New Roman"/>
                <w:sz w:val="18"/>
                <w:szCs w:val="18"/>
                <w:lang w:val="en-US" w:eastAsia="en-GB"/>
              </w:rPr>
            </w:pPr>
            <w:r w:rsidRPr="008E4595">
              <w:rPr>
                <w:rFonts w:eastAsia="Times New Roman"/>
                <w:sz w:val="18"/>
                <w:szCs w:val="18"/>
                <w:lang w:val="en-US" w:eastAsia="en-GB"/>
              </w:rPr>
              <w:t>Research has also spotlighted a potential association between GERD and OA</w:t>
            </w:r>
            <w:r w:rsidRPr="008E4595">
              <w:rPr>
                <w:rFonts w:eastAsia="Times New Roman"/>
                <w:sz w:val="18"/>
                <w:szCs w:val="18"/>
                <w:lang w:val="en-US" w:eastAsia="en-GB"/>
              </w:rPr>
              <w:fldChar w:fldCharType="begin"/>
            </w:r>
            <w:r w:rsidRPr="008E4595">
              <w:rPr>
                <w:rFonts w:eastAsia="Times New Roman"/>
                <w:sz w:val="18"/>
                <w:szCs w:val="18"/>
                <w:lang w:val="en-US" w:eastAsia="en-GB"/>
              </w:rPr>
              <w:instrText xml:space="preserve"> ADDIN ZOTERO_ITEM CSL_CITATION {"citationID":"AIKkmL98","properties":{"formattedCitation":"[13\\uc0\\u8211{}16]","plainCitation":"[13–16]","noteIndex":0},"citationItems":[{"id":942,"uris":["http://zotero.org/users/11893546/items/IRCWTAJJ"],"itemData":{"id":942,"type":"article-journal","abstract":"OBJECTIVE: To report the design and implementation of the first 3 years of enrollment of the Mayo Clinic Biobank.\nPATIENTS AND METHODS: Preparations for this biobank began with a 4-day Deliberative Community Engagement with local residents to obtain community input into the design and governance of the biobank. Recruitment, which began in April 2009, is ongoing, with a target goal of 50,000. Any Mayo Clinic patient who is 18 years or older, able to consent, and a US resident is eligible to participate. Each participant completes a health history questionnaire, provides a blood sample, and allows access to existing tissue specimens and all data from their Mayo Clinic electronic medical record. A community advisory board provides ongoing advice and guidance on complex decisions.\nRESULTS: After 3 years of recruitment, 21,736 individuals have enrolled. Fifty-eight percent (12,498) of participants are female and 95% (20,541) of European ancestry. Median participant age is 62 years. Seventy-four percent (16,171) live in Minnesota, with 42% (9157) from Olmsted County, where the Mayo Clinic in Rochester, Minnesota, is located. The 5 most commonly self-reported conditions are hyperlipidemia (8979, 41%), hypertension (8174, 38%), osteoarthritis (6448, 30%), any cancer (6224, 29%), and gastroesophageal reflux disease (5669, 26%). Among patients with self-reported cancer, the 5 most common types are nonmelanoma skin cancer (2950, 14%), prostate cancer (1107, 12% in men), breast cancer (941, 4%), melanoma (692, 3%), and cervical cancer (240, 2% in women). Fifty-six percent (12,115) of participants have at least 15 years of electronic medical record history. To date, more than 60 projects and more than 69,000 samples have been approved for use.\nCONCLUSION: The Mayo Clinic Biobank has quickly been established as a valuable resource for researchers.","container-title":"Mayo Clinic Proceedings","DOI":"10.1016/j.mayocp.2013.06.006","ISSN":"1942-5546","issue":"9","journalAbbreviation":"Mayo Clin Proc","language":"eng","note":"PMID: 24001487\nPMCID: PMC4258707","page":"952-962","source":"PubMed","title":"The Mayo Clinic Biobank: a building block for individualized medicine","title-short":"The Mayo Clinic Biobank","volume":"88","author":[{"family":"Olson","given":"Janet E."},{"family":"Ryu","given":"Euijung"},{"family":"Johnson","given":"Kiley J."},{"family":"Koenig","given":"Barbara A."},{"family":"Maschke","given":"Karen J."},{"family":"Morrisette","given":"Jody A."},{"family":"Liebow","given":"Mark"},{"family":"Takahashi","given":"Paul Y."},{"family":"Fredericksen","given":"Zachary S."},{"family":"Sharma","given":"Ruchi G."},{"family":"Anderson","given":"Kari S."},{"family":"Hathcock","given":"Matthew A."},{"family":"Carnahan","given":"Jason A."},{"family":"Pathak","given":"Jyotishman"},{"family":"Lindor","given":"Noralane M."},{"family":"Beebe","given":"Timothy J."},{"family":"Thibodeau","given":"Stephen N."},{"family":"Cerhan","given":"James R."}],"issued":{"date-parts":[["2013",9]]}}},{"id":895,"uris":["http://zotero.org/users/11893546/items/6MZXAUKK"],"itemData":{"id":895,"type":"article-journal","abstract":"OBJECTIVES: To investigate the association between depressive symptoms and several medical morbidities, and their combination, in a large older population.\nDESIGN: Cross-sectional study of baseline data from the ASPirin in Reducing Events in the Elderly (ASPREE) trial.\nSETTING: Multicentric study conducted in Australia and the United States.\nPARTICIPANTS: A total of 19,110 older adults (mean age = 75 years [standard deviation = ±4.5]).\nMEASUREMENTS: Depressive symptoms were measured using the Center for Epidemiological Studies Depression (CES-D 10) scale. Medical morbidities were defined according to condition-specific methods. Logistic regression was used to calculate odds ratios (ORs) with 95% confidence intervals (CIs) to test associations before and after accounting for possible confounders.\nRESULTS: Depressive symptoms were significantly associated with obesity (OR = 1.19; 95% CI = 1.07-1.32), diabetes (OR = 1.22; 95% CI = 1.05-1.42), gastroesophageal reflux disease (GERD) (OR = 1.41; 95% CI = 1.28-1.57), metabolic syndrome (OR = 1.16; 95% CI = 1.03-1.29), osteoarthritis (OR = 1.41; 95% CI = 1.27-1.57), respiratory conditions (OR = 1.25; 95% CI = 1.10-1.42), history of cancer (OR = 1.19; 95% CI = 1.05-1.34), Parkinson's disease (OR = 2.56; 95% CI = 1.83-3.56), polypharmacy (OR = 1.60; 95% CI = 1.44-1.79), and multimorbidity (OR = 1.29; 95% CI = 1.12-1.49). No significant association was observed between depressive symptoms and hypertension, chronic kidney disease, dyslipidemia, and gout (P &gt; .05). A significant dose-response relationship was evident between the number of medical comorbidities and the prevalence of depression (OR = 1.18; 95% CI = 1.13-1.22).\nCONCLUSION: Late-life depressive symptoms are significantly associated with several medical morbidities, and there appears to be a cumulative effect of the number of somatic diseases on the prevalence of depression. These findings augment the evidence for a complex relationship between mental and physical health in an otherwise healthy older population and might guide clinicians toward early recognition of high-risk individuals. J Am Geriatr Soc 68:1834-1841, 2020.","container-title":"Journal of the American Geriatrics Society","DOI":"10.1111/jgs.16468","ISSN":"1532-5415","issue":"8","journalAbbreviation":"J Am Geriatr Soc","language":"eng","note":"PMID: 32402115\nPMCID: PMC7879564","page":"1834-1841","source":"PubMed","title":"Patterns of Association between Depressive Symptoms and Chronic Medical Morbidities in Older Adults","volume":"68","author":[{"family":"Agustini","given":"Bruno"},{"family":"Lotfaliany","given":"Mojtaba"},{"family":"Woods","given":"Robyn L."},{"family":"McNeil","given":"John J."},{"family":"Nelson","given":"Mark R."},{"family":"Shah","given":"Raj C."},{"family":"Murray","given":"Anne M."},{"family":"Ernst","given":"Michael E."},{"family":"Reid","given":"Christopher M."},{"family":"Tonkin","given":"Andrew"},{"family":"Lockery","given":"Jessica E."},{"family":"Williams","given":"Lana J."},{"family":"Berk","given":"Michael"},{"family":"Mohebbi","given":"Mohammadreza"},{"literal":"ASPREE Investigator Group"}],"issued":{"date-parts":[["2020",8]]}}},{"id":900,"uris":["http://zotero.org/users/11893546/items/TPEU5VHH"],"itemData":{"id":900,"type":"article-journal","abstract":"The purpose of this cross-sectional study was to examine the number and type of active medical conditions among psychiatric patients treated by an assertive community treatment (ACT) team in an urban setting. Psychiatric hospitalization admission and discharge summaries of 70 patients were reviewed, and case managers on the treatment team were interviewed. Patients had a median of three active medical conditions. Osteoarthritis, hypertension, viral Hepatitis C infection, gastroesophageal reflux disease (GERD), and reactive airway disease were the most common active medical illnesses. The majority of patients were cigarette smokers and were diagnosed with alcohol or illicit substance use disorders, which were associated with viral hepatitis C infection and reactive airway disease in this patient population.","container-title":"Community Mental Health Journal","DOI":"10.1007/s10597-005-9019-2","ISSN":"0010-3853","issue":"2","journalAbbreviation":"Community Ment Health J","language":"eng","note":"PMID: 16404683","page":"205-211","source":"PubMed","title":"Active medical conditions among patients on an assertive community treatment team","volume":"42","author":[{"family":"Ceilley","given":"John W."},{"family":"Cruz","given":"Mario"},{"family":"Denko","given":"Tim"}],"issued":{"date-parts":[["2006",4]]}}},{"id":902,"uris":["http://zotero.org/users/11893546/items/2LDXNREJ"],"itemData":{"id":902,"type":"article-journal","abstract":"OBJECTIVE: To identify the leading predictors of co-occurring cardiovascular or gastrointestinal disorders (CV-GID) in a real-world cohort of elderly with osteoarthritis (OA).\nMETHOD: An observational retrospective cohort study using data from Optum's deidentified Clinformatics® Data Mart was conducted. Elderly with OA were identified in 2015 and were followed for two years to identify co-occurring CV-GID including ischemic heart disease, stroke, heart failure, dyspepsia, gastroesophageal reflux disorder, and peptic ulcer disease. Random Forest (RF) and Partial Dependence Plots (PDP) were used to identify the leading predictors of CV-GID and to examine their associations. Multivariable logistic regression was also used to examine the association of the leading predictors with CV-GID.\nRESULTS: Our study cohort consisted of 45,385 elderly with OA (mean age 76.0 years). CV-GID were present in 59% of elderly. Using RF, age was found to be the strongest predictor of CV-GID followed by cardiac arrhythmia, duration of opioid use, number of orthopedist or physical therapy visits, number of intra-articular corticosteroid injections, polypharmacy, duration of non-selective nonsteroidal anti-inflammatory drugs or oral corticosteroids, and hypertension. The PDPs demonstrated that higher age, cardiac arrhythmia, longer durations of opioid or oral corticosteroids, higher number of physical therapy visits or intra-articular corticosteroid use, polypharmacy, and hypertension were associated with a higher risk of CV-GID.\nCONCLUSION: CV-GIDs are common among elderly with OA and can be predicted based on certain clinical factors. Machine learning methods with PDPs can be used to improve the interpretability and inform decision-making.","container-title":"Osteoarthritis and Cartilage Open","DOI":"10.1016/j.ocarto.2021.100148","ISSN":"2665-9131","issue":"2","journalAbbreviation":"Osteoarthr Cartil Open","language":"eng","note":"PMID: 36474979\nPMCID: PMC9718072","page":"100148","source":"PubMed","title":"Predictors of Co-occurring Cardiovascular and Gastrointestinal Disorders among Elderly with Osteoarthritis","volume":"3","author":[{"family":"Patel","given":"Jayeshkumar"},{"family":"Ladani","given":"Amit"},{"family":"Sambamoorthi","given":"Nethra"},{"family":"LeMasters","given":"Traci"},{"family":"Dwibedi","given":"Nilanjana"},{"family":"Sambamoorthi","given":"Usha"}],"issued":{"date-parts":[["2021",6]]}}}],"schema":"https://github.com/citation-style-language/schema/raw/master/csl-citation.json"} </w:instrText>
            </w:r>
            <w:r w:rsidRPr="008E4595">
              <w:rPr>
                <w:rFonts w:eastAsia="Times New Roman"/>
                <w:sz w:val="18"/>
                <w:szCs w:val="18"/>
                <w:lang w:val="en-US" w:eastAsia="en-GB"/>
              </w:rPr>
              <w:fldChar w:fldCharType="separate"/>
            </w:r>
            <w:r w:rsidRPr="008E4595">
              <w:rPr>
                <w:rFonts w:eastAsia="Times New Roman"/>
                <w:sz w:val="18"/>
                <w:szCs w:val="18"/>
                <w:lang w:val="en-US" w:eastAsia="en-GB"/>
              </w:rPr>
              <w:t>[13–16]</w:t>
            </w:r>
            <w:r w:rsidRPr="008E4595">
              <w:rPr>
                <w:rFonts w:eastAsia="Times New Roman"/>
                <w:sz w:val="18"/>
                <w:szCs w:val="18"/>
                <w:lang w:val="en-US" w:eastAsia="en-GB"/>
              </w:rPr>
              <w:fldChar w:fldCharType="end"/>
            </w:r>
            <w:r w:rsidRPr="008E4595">
              <w:rPr>
                <w:rFonts w:eastAsia="Times New Roman"/>
                <w:sz w:val="18"/>
                <w:szCs w:val="18"/>
                <w:lang w:val="en-US" w:eastAsia="en-GB"/>
              </w:rPr>
              <w:t>. Shared factors, such as systemic inflammation and lifestyle risks like obesity and physical inactivity, have been proposed as potential connectors</w:t>
            </w:r>
            <w:r w:rsidRPr="008E4595">
              <w:rPr>
                <w:rFonts w:eastAsia="Times New Roman"/>
                <w:sz w:val="18"/>
                <w:szCs w:val="18"/>
                <w:lang w:val="en-US" w:eastAsia="en-GB"/>
              </w:rPr>
              <w:fldChar w:fldCharType="begin"/>
            </w:r>
            <w:r w:rsidRPr="008E4595">
              <w:rPr>
                <w:rFonts w:eastAsia="Times New Roman"/>
                <w:sz w:val="18"/>
                <w:szCs w:val="18"/>
                <w:lang w:val="en-US" w:eastAsia="en-GB"/>
              </w:rPr>
              <w:instrText xml:space="preserve"> ADDIN ZOTERO_ITEM CSL_CITATION {"citationID":"rPLm1lkA","properties":{"formattedCitation":"[17,18]","plainCitation":"[17,18]","noteIndex":0},"citationItems":[{"id":898,"uris":["http://zotero.org/users/11893546/items/S2J7PEQF"],"itemData":{"id":898,"type":"article-journal","abstract":"BACKGROUND: Increased morbidity is associated with increasing severity of obesity. However, among morbidly obese patients, comorbid prevalence has been reported primarily in the bariatric surgical literature. This study compares demographic characteristics and selected comorbid conditions of morbidly obese patients discharged after surgical obesity procedures and morbidly obese patients discharged after all other hospital procedures.\nMETHODS: The 2002 National Hospital Discharge Survey (a nationally representative sample of hospital discharge records) and the International Classification of Diseases, 9th Revision, Clinical Modification were used to identify and describe all morbidly obese patient discharges (n = 3,473) and to quantify the prevalence of selected obesity-related comorbid conditions.\nRESULTS: Compared with all other morbidly obese patients, the obesity surgery patients (n = 833) were younger (median, 42 vs 48 years; range, 17 to 67) and more female (82.3% vs. 63.7%), with higher rates of sleep apnea (24.0% vs. 11.8%), osteoarthritis (22.9% vs. 11.8%), and gastroesophageal reflux disease (27.7% vs. 11.7%) (all P &lt; .001). The prevalence of type 2 diabetes mellitus was lower in the obesity surgery patients (16.1% vs. 24.3%; P = .003), whereas the rates of hypertension (45.9% vs. 41.0%; P = .13) and asthma (9.6% vs. 12.0%; P = .26) were similar in the two groups.\nCONCLUSIONS: Demographic characteristics and comorbid prevalence of morbidly obese patients discharged after obesity surgery are consistent with reports in the bariatric surgical literature. Obesity surgery patients had a higher prevalence of some comorbid conditions. Possible explanations for this include preferential diagnosis, differential diagnostic coding, or increased severity of morbid obesity. Advancing surgical and insurance guidelines for bariatric surgery will require clinical data that accurately describe and quantify the demographic distribution of obesity and the associated burden of disease.","container-title":"Surgery for Obesity and Related Diseases: Official Journal of the American Society for Bariatric Surgery","DOI":"10.1016/j.soard.2006.01.004","ISSN":"1550-7289","issue":"2","journalAbbreviation":"Surg Obes Relat Dis","language":"eng","note":"PMID: 16925332","page":"105-111","source":"PubMed","title":"Comorbidity among the morbidly obese: a comparative study of 2002 U.S. hospital patient discharges","title-short":"Comorbidity among the morbidly obese","volume":"2","author":[{"family":"Scott","given":"Susanne K."},{"family":"Rabito","given":"Felicia A."},{"family":"Price","given":"Phillip D."},{"family":"Butler","given":"Nancy N."},{"family":"Schwartzbaum","given":"Judith A."},{"family":"Jackson","given":"Benita M."},{"family":"Love","given":"Randi L."},{"family":"Harris","given":"Randall E."}],"issued":{"date-parts":[["2006"]]}}},{"id":904,"uris":["http://zotero.org/users/11893546/items/RE7RBW2J"],"itemData":{"id":904,"type":"article-journal","abstract":"AIM: To study the risk of receiving a new (incident) osteoarthritis (OA) diagnosis in different joint sites based on conditions diagnosed in the 20 years prior the OA diagnosis.\nMETHODS: We used register data for the entire population of the Skåne region (Sweden) to perform a nested case-control study. The outcome was newly diagnosed (incident) OA in peripheral joints, i.e. knee (ICD-10 code M17), hip (M16) and other joints (M15, M18, M19), diagnosed in 2018 or 2019 in persons aged 45+ years with 20 years of register coverage. For each OA case, we sampled 1 control matched on age (1-year strata), sex and residential area in the year of index date using incidence density sampling. The exposures of interest comprised 50 comorbidities. We used adjusted conditional logistic regression for analysis.\nRESULTS: Between January 1st, 2018 and December 31st, 2019, we identified 7 201, 2 895, and 7863 persons, respectively, with newly diagnosed knee, hip and other OA. Hypertension, back pain, gout, allergy, depression, anxiety and migraine were all associated with increased risk of knee OA diagnosis, while only gastroesophageal reflux disease and back pain were associated with newly diagnosed hip OA. Interestingly, many of the analysed conditions were associated with increased risk of OA diagnosis in other peripheral joints, including diagnosed generalised OA.\nCONCLUSIONS: The risk of being diagnosed with OA increases with the presence of multimorbidity earlier in life, but the associations seem to differ between weight-bearing and non-weight-bearing joints.","container-title":"Osteoarthritis and Cartilage Open","DOI":"10.1016/j.ocarto.2022.100265","ISSN":"2665-9131","issue":"2","journalAbbreviation":"Osteoarthr Cartil Open","language":"eng","note":"PMID: 36475291\nPMCID: PMC9718144","page":"100265","source":"PubMed","title":"The association between preexisting conditions and osteoarthritis development in peripheral joints: A population based nested case-control study","title-short":"The association between preexisting conditions and osteoarthritis development in peripheral joints","volume":"4","author":[{"family":"Dell'Isola","given":"Andrea"},{"family":"Turkiewicz","given":"Aleksandra"},{"family":"Zhang","given":"Weiya"},{"family":"Bierma-Zeinstra","given":"Sita"},{"family":"Runhaar","given":"Jos"},{"family":"Prieto-Alhambra","given":"Daniel"},{"family":"Swain","given":"Subhashisa"},{"family":"Kiadaliri","given":"Ali"},{"family":"Englund","given":"Martin"}],"issued":{"date-parts":[["2022",6]]}}}],"schema":"https://github.com/citation-style-language/schema/raw/master/csl-citation.json"} </w:instrText>
            </w:r>
            <w:r w:rsidRPr="008E4595">
              <w:rPr>
                <w:rFonts w:eastAsia="Times New Roman"/>
                <w:sz w:val="18"/>
                <w:szCs w:val="18"/>
                <w:lang w:val="en-US" w:eastAsia="en-GB"/>
              </w:rPr>
              <w:fldChar w:fldCharType="separate"/>
            </w:r>
            <w:r w:rsidRPr="008E4595">
              <w:rPr>
                <w:rFonts w:eastAsia="Times New Roman"/>
                <w:sz w:val="18"/>
                <w:szCs w:val="18"/>
                <w:lang w:val="en-US" w:eastAsia="en-GB"/>
              </w:rPr>
              <w:t>[17,18]</w:t>
            </w:r>
            <w:r w:rsidRPr="008E4595">
              <w:rPr>
                <w:rFonts w:eastAsia="Times New Roman"/>
                <w:sz w:val="18"/>
                <w:szCs w:val="18"/>
                <w:lang w:val="en-US" w:eastAsia="en-GB"/>
              </w:rPr>
              <w:fldChar w:fldCharType="end"/>
            </w:r>
            <w:r w:rsidRPr="008E4595">
              <w:rPr>
                <w:rFonts w:eastAsia="Times New Roman"/>
                <w:sz w:val="18"/>
                <w:szCs w:val="18"/>
                <w:lang w:val="en-US" w:eastAsia="en-GB"/>
              </w:rPr>
              <w:t>. Variations in biomechanical stresses and genetic predispositions might account for the differential associations observed between GERD and specific OA subtypes, namely hip osteoarthritis (HOA) and knee osteoarthritis (KOA)</w:t>
            </w:r>
            <w:r w:rsidRPr="008E4595">
              <w:rPr>
                <w:rFonts w:eastAsia="Times New Roman"/>
                <w:sz w:val="18"/>
                <w:szCs w:val="18"/>
                <w:lang w:val="en-US" w:eastAsia="en-GB"/>
              </w:rPr>
              <w:fldChar w:fldCharType="begin"/>
            </w:r>
            <w:r w:rsidRPr="008E4595">
              <w:rPr>
                <w:rFonts w:eastAsia="Times New Roman"/>
                <w:sz w:val="18"/>
                <w:szCs w:val="18"/>
                <w:lang w:val="en-US" w:eastAsia="en-GB"/>
              </w:rPr>
              <w:instrText xml:space="preserve"> ADDIN ZOTERO_ITEM CSL_CITATION {"citationID":"6uwqebaX","properties":{"formattedCitation":"[18]","plainCitation":"[18]","noteIndex":0},"citationItems":[{"id":904,"uris":["http://zotero.org/users/11893546/items/RE7RBW2J"],"itemData":{"id":904,"type":"article-journal","abstract":"AIM: To study the risk of receiving a new (incident) osteoarthritis (OA) diagnosis in different joint sites based on conditions diagnosed in the 20 years prior the OA diagnosis.\nMETHODS: We used register data for the entire population of the Skåne region (Sweden) to perform a nested case-control study. The outcome was newly diagnosed (incident) OA in peripheral joints, i.e. knee (ICD-10 code M17), hip (M16) and other joints (M15, M18, M19), diagnosed in 2018 or 2019 in persons aged 45+ years with 20 years of register coverage. For each OA case, we sampled 1 control matched on age (1-year strata), sex and residential area in the year of index date using incidence density sampling. The exposures of interest comprised 50 comorbidities. We used adjusted conditional logistic regression for analysis.\nRESULTS: Between January 1st, 2018 and December 31st, 2019, we identified 7 201, 2 895, and 7863 persons, respectively, with newly diagnosed knee, hip and other OA. Hypertension, back pain, gout, allergy, depression, anxiety and migraine were all associated with increased risk of knee OA diagnosis, while only gastroesophageal reflux disease and back pain were associated with newly diagnosed hip OA. Interestingly, many of the analysed conditions were associated with increased risk of OA diagnosis in other peripheral joints, including diagnosed generalised OA.\nCONCLUSIONS: The risk of being diagnosed with OA increases with the presence of multimorbidity earlier in life, but the associations seem to differ between weight-bearing and non-weight-bearing joints.","container-title":"Osteoarthritis and Cartilage Open","DOI":"10.1016/j.ocarto.2022.100265","ISSN":"2665-9131","issue":"2","journalAbbreviation":"Osteoarthr Cartil Open","language":"eng","note":"PMID: 36475291\nPMCID: PMC9718144","page":"100265","source":"PubMed","title":"The association between preexisting conditions and osteoarthritis development in peripheral joints: A population based nested case-control study","title-short":"The association between preexisting conditions and osteoarthritis development in peripheral joints","volume":"4","author":[{"family":"Dell'Isola","given":"Andrea"},{"family":"Turkiewicz","given":"Aleksandra"},{"family":"Zhang","given":"Weiya"},{"family":"Bierma-Zeinstra","given":"Sita"},{"family":"Runhaar","given":"Jos"},{"family":"Prieto-Alhambra","given":"Daniel"},{"family":"Swain","given":"Subhashisa"},{"family":"Kiadaliri","given":"Ali"},{"family":"Englund","given":"Martin"}],"issued":{"date-parts":[["2022",6]]}}}],"schema":"https://github.com/citation-style-language/schema/raw/master/csl-citation.json"} </w:instrText>
            </w:r>
            <w:r w:rsidRPr="008E4595">
              <w:rPr>
                <w:rFonts w:eastAsia="Times New Roman"/>
                <w:sz w:val="18"/>
                <w:szCs w:val="18"/>
                <w:lang w:val="en-US" w:eastAsia="en-GB"/>
              </w:rPr>
              <w:fldChar w:fldCharType="separate"/>
            </w:r>
            <w:r w:rsidRPr="008E4595">
              <w:rPr>
                <w:rFonts w:eastAsia="Times New Roman"/>
                <w:sz w:val="18"/>
                <w:szCs w:val="18"/>
                <w:lang w:val="en-US" w:eastAsia="en-GB"/>
              </w:rPr>
              <w:t>[18]</w:t>
            </w:r>
            <w:r w:rsidRPr="008E4595">
              <w:rPr>
                <w:rFonts w:eastAsia="Times New Roman"/>
                <w:sz w:val="18"/>
                <w:szCs w:val="18"/>
                <w:lang w:val="en-US" w:eastAsia="en-GB"/>
              </w:rPr>
              <w:fldChar w:fldCharType="end"/>
            </w:r>
            <w:r w:rsidRPr="008E4595">
              <w:rPr>
                <w:rFonts w:eastAsia="Times New Roman"/>
                <w:sz w:val="18"/>
                <w:szCs w:val="18"/>
                <w:lang w:val="en-US" w:eastAsia="en-GB"/>
              </w:rPr>
              <w:t xml:space="preserve"> The need for long-term NSAIDs for pain in patients with OA may prolong the duration of acid reflux, which can lead to the development of GERD</w:t>
            </w:r>
            <w:r w:rsidRPr="008E4595">
              <w:rPr>
                <w:rFonts w:eastAsia="Times New Roman"/>
                <w:sz w:val="18"/>
                <w:szCs w:val="18"/>
                <w:lang w:val="en-US" w:eastAsia="en-GB"/>
              </w:rPr>
              <w:fldChar w:fldCharType="begin"/>
            </w:r>
            <w:r w:rsidRPr="008E4595">
              <w:rPr>
                <w:rFonts w:eastAsia="Times New Roman"/>
                <w:sz w:val="18"/>
                <w:szCs w:val="18"/>
                <w:lang w:val="en-US" w:eastAsia="en-GB"/>
              </w:rPr>
              <w:instrText xml:space="preserve"> ADDIN ZOTERO_ITEM CSL_CITATION {"citationID":"YcfAk4iS","properties":{"formattedCitation":"[16,18]","plainCitation":"[16,18]","noteIndex":0},"citationItems":[{"id":902,"uris":["http://zotero.org/users/11893546/items/2LDXNREJ"],"itemData":{"id":902,"type":"article-journal","abstract":"OBJECTIVE: To identify the leading predictors of co-occurring cardiovascular or gastrointestinal disorders (CV-GID) in a real-world cohort of elderly with osteoarthritis (OA).\nMETHOD: An observational retrospective cohort study using data from Optum's deidentified Clinformatics® Data Mart was conducted. Elderly with OA were identified in 2015 and were followed for two years to identify co-occurring CV-GID including ischemic heart disease, stroke, heart failure, dyspepsia, gastroesophageal reflux disorder, and peptic ulcer disease. Random Forest (RF) and Partial Dependence Plots (PDP) were used to identify the leading predictors of CV-GID and to examine their associations. Multivariable logistic regression was also used to examine the association of the leading predictors with CV-GID.\nRESULTS: Our study cohort consisted of 45,385 elderly with OA (mean age 76.0 years). CV-GID were present in 59% of elderly. Using RF, age was found to be the strongest predictor of CV-GID followed by cardiac arrhythmia, duration of opioid use, number of orthopedist or physical therapy visits, number of intra-articular corticosteroid injections, polypharmacy, duration of non-selective nonsteroidal anti-inflammatory drugs or oral corticosteroids, and hypertension. The PDPs demonstrated that higher age, cardiac arrhythmia, longer durations of opioid or oral corticosteroids, higher number of physical therapy visits or intra-articular corticosteroid use, polypharmacy, and hypertension were associated with a higher risk of CV-GID.\nCONCLUSION: CV-GIDs are common among elderly with OA and can be predicted based on certain clinical factors. Machine learning methods with PDPs can be used to improve the interpretability and inform decision-making.","container-title":"Osteoarthritis and Cartilage Open","DOI":"10.1016/j.ocarto.2021.100148","ISSN":"2665-9131","issue":"2","journalAbbreviation":"Osteoarthr Cartil Open","language":"eng","note":"PMID: 36474979\nPMCID: PMC9718072","page":"100148","source":"PubMed","title":"Predictors of Co-occurring Cardiovascular and Gastrointestinal Disorders among Elderly with Osteoarthritis","volume":"3","author":[{"family":"Patel","given":"Jayeshkumar"},{"family":"Ladani","given":"Amit"},{"family":"Sambamoorthi","given":"Nethra"},{"family":"LeMasters","given":"Traci"},{"family":"Dwibedi","given":"Nilanjana"},{"family":"Sambamoorthi","given":"Usha"}],"issued":{"date-parts":[["2021",6]]}}},{"id":904,"uris":["http://zotero.org/users/11893546/items/RE7RBW2J"],"itemData":{"id":904,"type":"article-journal","abstract":"AIM: To study the risk of receiving a new (incident) osteoarthritis (OA) diagnosis in different joint sites based on conditions diagnosed in the 20 years prior the OA diagnosis.\nMETHODS: We used register data for the entire population of the Skåne region (Sweden) to perform a nested case-control study. The outcome was newly diagnosed (incident) OA in peripheral joints, i.e. knee (ICD-10 code M17), hip (M16) and other joints (M15, M18, M19), diagnosed in 2018 or 2019 in persons aged 45+ years with 20 years of register coverage. For each OA case, we sampled 1 control matched on age (1-year strata), sex and residential area in the year of index date using incidence density sampling. The exposures of interest comprised 50 comorbidities. We used adjusted conditional logistic regression for analysis.\nRESULTS: Between January 1st, 2018 and December 31st, 2019, we identified 7 201, 2 895, and 7863 persons, respectively, with newly diagnosed knee, hip and other OA. Hypertension, back pain, gout, allergy, depression, anxiety and migraine were all associated with increased risk of knee OA diagnosis, while only gastroesophageal reflux disease and back pain were associated with newly diagnosed hip OA. Interestingly, many of the analysed conditions were associated with increased risk of OA diagnosis in other peripheral joints, including diagnosed generalised OA.\nCONCLUSIONS: The risk of being diagnosed with OA increases with the presence of multimorbidity earlier in life, but the associations seem to differ between weight-bearing and non-weight-bearing joints.","container-title":"Osteoarthritis and Cartilage Open","DOI":"10.1016/j.ocarto.2022.100265","ISSN":"2665-9131","issue":"2","journalAbbreviation":"Osteoarthr Cartil Open","language":"eng","note":"PMID: 36475291\nPMCID: PMC9718144","page":"100265","source":"PubMed","title":"The association between preexisting conditions and osteoarthritis development in peripheral joints: A population based nested case-control study","title-short":"The association between preexisting conditions and osteoarthritis development in peripheral joints","volume":"4","author":[{"family":"Dell'Isola","given":"Andrea"},{"family":"Turkiewicz","given":"Aleksandra"},{"family":"Zhang","given":"Weiya"},{"family":"Bierma-Zeinstra","given":"Sita"},{"family":"Runhaar","given":"Jos"},{"family":"Prieto-Alhambra","given":"Daniel"},{"family":"Swain","given":"Subhashisa"},{"family":"Kiadaliri","given":"Ali"},{"family":"Englund","given":"Martin"}],"issued":{"date-parts":[["2022",6]]}}}],"schema":"https://github.com/citation-style-language/schema/raw/master/csl-citation.json"} </w:instrText>
            </w:r>
            <w:r w:rsidRPr="008E4595">
              <w:rPr>
                <w:rFonts w:eastAsia="Times New Roman"/>
                <w:sz w:val="18"/>
                <w:szCs w:val="18"/>
                <w:lang w:val="en-US" w:eastAsia="en-GB"/>
              </w:rPr>
              <w:fldChar w:fldCharType="separate"/>
            </w:r>
            <w:r w:rsidRPr="008E4595">
              <w:rPr>
                <w:rFonts w:eastAsia="Times New Roman"/>
                <w:sz w:val="18"/>
                <w:szCs w:val="18"/>
                <w:lang w:val="en-US" w:eastAsia="en-GB"/>
              </w:rPr>
              <w:t>[16,18]</w:t>
            </w:r>
            <w:r w:rsidRPr="008E4595">
              <w:rPr>
                <w:rFonts w:eastAsia="Times New Roman"/>
                <w:sz w:val="18"/>
                <w:szCs w:val="18"/>
                <w:lang w:val="en-US" w:eastAsia="en-GB"/>
              </w:rPr>
              <w:fldChar w:fldCharType="end"/>
            </w:r>
            <w:r w:rsidRPr="008E4595">
              <w:rPr>
                <w:rFonts w:eastAsia="Times New Roman"/>
                <w:sz w:val="18"/>
                <w:szCs w:val="18"/>
                <w:lang w:val="en-US" w:eastAsia="en-GB"/>
              </w:rPr>
              <w:t xml:space="preserve">. </w:t>
            </w:r>
            <w:bookmarkStart w:id="6" w:name="_Hlk157849378"/>
            <w:bookmarkStart w:id="7" w:name="_Hlk158130728"/>
            <w:r w:rsidRPr="008E4595">
              <w:rPr>
                <w:rFonts w:eastAsia="Times New Roman"/>
                <w:sz w:val="18"/>
                <w:szCs w:val="18"/>
                <w:lang w:val="en-US" w:eastAsia="en-GB"/>
              </w:rPr>
              <w:t>Observational studies suggest that OA may independently increase the risk of GERD, even beyond the effects of medication</w:t>
            </w:r>
            <w:r w:rsidRPr="008E4595">
              <w:rPr>
                <w:rFonts w:eastAsia="Times New Roman"/>
                <w:sz w:val="18"/>
                <w:szCs w:val="18"/>
                <w:lang w:val="en-US" w:eastAsia="en-GB"/>
              </w:rPr>
              <w:fldChar w:fldCharType="begin"/>
            </w:r>
            <w:r w:rsidRPr="008E4595">
              <w:rPr>
                <w:rFonts w:eastAsia="Times New Roman"/>
                <w:sz w:val="18"/>
                <w:szCs w:val="18"/>
                <w:lang w:val="en-US" w:eastAsia="en-GB"/>
              </w:rPr>
              <w:instrText xml:space="preserve"> ADDIN ZOTERO_ITEM CSL_CITATION {"citationID":"C1JBI9pa","properties":{"formattedCitation":"[19]","plainCitation":"[19]","noteIndex":0},"citationItems":[{"id":1265,"uris":["http://zotero.org/users/11893546/items/M4WIZKLU"],"itemData":{"id":1265,"type":"article-journal","abstract":"To describe the prevalence of comorbidities in a population referred to standardised first-line intervention (patient education and exercise) for hip and knee osteoarthritis (OA), in comparison with the general population. Furthermore, we aimed to evaluate ...","container-title":"BMJ Open","DOI":"10.1136/bmjopen-2021-049476","issue":"9","language":"en","note":"publisher: BMJ Publishing Group\nPMID: 34518262","source":"www.ncbi.nlm.nih.gov","title":"Original research: Health status of individuals referred to first-line intervention for hip and knee osteoarthritis compared with the general population: an observational register-based study","title-short":"Original research","URL":"https://www.ncbi.nlm.nih.gov/pmc/articles/PMC8438840/","volume":"11","author":[{"family":"Gustafsson","given":"Kristin"},{"family":"Kvist","given":"Joanna"},{"family":"Eriksson","given":"Marit"},{"family":"Dell'Isola","given":"Andrea"},{"family":"Zhou","given":"Caddie"},{"family":"Dahlberg","given":"Leif E."},{"family":"Rolfson","given":"Ola"}],"accessed":{"date-parts":[["2024",2,2]]},"issued":{"date-parts":[["2021"]]}}}],"schema":"https://github.com/citation-style-language/schema/raw/master/csl-citation.json"} </w:instrText>
            </w:r>
            <w:r w:rsidRPr="008E4595">
              <w:rPr>
                <w:rFonts w:eastAsia="Times New Roman"/>
                <w:sz w:val="18"/>
                <w:szCs w:val="18"/>
                <w:lang w:val="en-US" w:eastAsia="en-GB"/>
              </w:rPr>
              <w:fldChar w:fldCharType="separate"/>
            </w:r>
            <w:r w:rsidRPr="008E4595">
              <w:rPr>
                <w:rFonts w:eastAsia="Times New Roman"/>
                <w:sz w:val="18"/>
                <w:szCs w:val="18"/>
                <w:lang w:val="en-US" w:eastAsia="en-GB"/>
              </w:rPr>
              <w:t>[19]</w:t>
            </w:r>
            <w:r w:rsidRPr="008E4595">
              <w:rPr>
                <w:rFonts w:eastAsia="Times New Roman"/>
                <w:sz w:val="18"/>
                <w:szCs w:val="18"/>
                <w:lang w:val="en-US" w:eastAsia="en-GB"/>
              </w:rPr>
              <w:fldChar w:fldCharType="end"/>
            </w:r>
            <w:r w:rsidRPr="008E4595">
              <w:rPr>
                <w:rFonts w:eastAsia="Times New Roman"/>
                <w:sz w:val="18"/>
                <w:szCs w:val="18"/>
                <w:lang w:val="en-US" w:eastAsia="en-GB"/>
              </w:rPr>
              <w:t>. Particular patient groups, such as women with generalized OA, are at a higher risk of GERD, indicating the impact of gender and the severity of OA on GERD risk</w:t>
            </w:r>
            <w:r w:rsidRPr="008E4595">
              <w:rPr>
                <w:rFonts w:eastAsia="Times New Roman"/>
                <w:sz w:val="18"/>
                <w:szCs w:val="18"/>
                <w:lang w:val="en-US" w:eastAsia="en-GB"/>
              </w:rPr>
              <w:fldChar w:fldCharType="begin"/>
            </w:r>
            <w:r w:rsidRPr="008E4595">
              <w:rPr>
                <w:rFonts w:eastAsia="Times New Roman"/>
                <w:sz w:val="18"/>
                <w:szCs w:val="18"/>
                <w:lang w:val="en-US" w:eastAsia="en-GB"/>
              </w:rPr>
              <w:instrText xml:space="preserve"> ADDIN ZOTERO_ITEM CSL_CITATION {"citationID":"Ro2NIYRi","properties":{"formattedCitation":"[20]","plainCitation":"[20]","noteIndex":0},"citationItems":[{"id":"ga4GnxTX/zl1d5nmO","uris":["http://zotero.org/users/local/k7mguTBH/items/RERHXVXM"],"itemData":{"id":"yZdohQb7/QNJDEOBw","type":"article-journal","abstract":"Objectives\nTo investigate the prevalence of comorbidities among female patients with generalized osteoarthritis (GOA) in comparison to an age- and sex matched control group. To identify clusters of comorbidities in both groups.\nMethods\nAn observational, cross-sectional study was conducted. Consecutive female patients with hand and knee osteoarthritis according to the American College of Rheumatology (ACR) classification criteria were invited to participate in the study. A control group of participants without musculoskeletal symptoms, history or evidence of osteoarthritis or inflammatory rheumatic disease were also included. Cardiovascular, obstructive pulmonary, gastrointestinal, endocrine, neurological, malignant diseases and depression were recorded in both groups. In both study groups comorbidity cluster and factor analysis was performed.\nResults\nThe study population included 200 GOA and 200 control participants. The following comorbidities were observed adjusted to Bonferroni correction with a significantly higher prevalence among individuals with GOA: hypertension, uterine leiomyoma, gastroesophageal reflux disease, diverticulosis, upper gastrointestinal tract ulcers, depression, diseases with vertigo (benign paroxysmal positional vertigo and vertebrobasilar insufficiency) and surgery due to otoclerosis. In the GOA group 5 clusters were identified with different comorbidity patterns.\nConclusion\nWe report a high comorbidity rate in GOA. Cluster analysis allowed us to identify different comorbidity subsets for vascular, gastrointestinal and malignant gynaecological disorders. Further research is required to understand the links between GOA and non-musculoskeletal comorbidities.","container-title":"Seminars in Arthritis and Rheumatism","DOI":"10.1016/j.semarthrit.2019.09.001","ISSN":"0049-0172","issue":"2","journalAbbreviation":"Seminars in Arthritis and Rheumatism","language":"en","page":"183-191","source":"ScienceDirect","title":"Comorbidity clusters in generalized osteoarthritis among female patients: A cross-sectional study","title-short":"Comorbidity clusters in generalized osteoarthritis among female patients","volume":"50","author":[{"family":"Kovari","given":"E."},{"family":"Kaposi","given":"A."},{"family":"Bekes","given":"G."},{"family":"Kiss","given":"Z."},{"family":"Kurucz","given":"R."},{"family":"Mandl","given":"P."},{"family":"Balint","given":"G. P."},{"family":"Poor","given":"G."},{"family":"Szendroi","given":"M."},{"family":"Balint","given":"P. V."}],"issued":{"date-parts":[["2020",4,1]]}}}],"schema":"https://github.com/citation-style-language/schema/raw/master/csl-citation.json"} </w:instrText>
            </w:r>
            <w:r w:rsidRPr="008E4595">
              <w:rPr>
                <w:rFonts w:eastAsia="Times New Roman"/>
                <w:sz w:val="18"/>
                <w:szCs w:val="18"/>
                <w:lang w:val="en-US" w:eastAsia="en-GB"/>
              </w:rPr>
              <w:fldChar w:fldCharType="separate"/>
            </w:r>
            <w:r w:rsidRPr="008E4595">
              <w:rPr>
                <w:rFonts w:eastAsia="Times New Roman"/>
                <w:sz w:val="18"/>
                <w:szCs w:val="18"/>
                <w:lang w:val="en-US" w:eastAsia="en-GB"/>
              </w:rPr>
              <w:t>[20]</w:t>
            </w:r>
            <w:r w:rsidRPr="008E4595">
              <w:rPr>
                <w:rFonts w:eastAsia="Times New Roman"/>
                <w:sz w:val="18"/>
                <w:szCs w:val="18"/>
                <w:lang w:val="en-US" w:eastAsia="en-GB"/>
              </w:rPr>
              <w:fldChar w:fldCharType="end"/>
            </w:r>
            <w:r w:rsidRPr="008E4595">
              <w:rPr>
                <w:rFonts w:eastAsia="Times New Roman"/>
                <w:sz w:val="18"/>
                <w:szCs w:val="18"/>
                <w:lang w:val="en-US" w:eastAsia="en-GB"/>
              </w:rPr>
              <w:t>.</w:t>
            </w:r>
          </w:p>
          <w:p w14:paraId="5D990A22" w14:textId="083BDCDB" w:rsidR="00D8098C" w:rsidRPr="00795EC6" w:rsidRDefault="008E4595" w:rsidP="008E4595">
            <w:pPr>
              <w:spacing w:beforeLines="40" w:before="96" w:afterLines="40" w:after="96" w:line="24" w:lineRule="atLeast"/>
              <w:rPr>
                <w:rFonts w:eastAsia="Times New Roman"/>
                <w:sz w:val="18"/>
                <w:szCs w:val="18"/>
                <w:lang w:val="en-US" w:eastAsia="en-GB"/>
              </w:rPr>
            </w:pPr>
            <w:bookmarkStart w:id="8" w:name="_Hlk157849417"/>
            <w:bookmarkEnd w:id="6"/>
            <w:r w:rsidRPr="008E4595">
              <w:rPr>
                <w:rFonts w:eastAsia="Times New Roman"/>
                <w:sz w:val="18"/>
                <w:szCs w:val="18"/>
                <w:lang w:val="en-US" w:eastAsia="en-GB"/>
              </w:rPr>
              <w:t>The intricate coexistence of GERD and asthma is supported by epidemiological evidence</w:t>
            </w:r>
            <w:r w:rsidRPr="008E4595">
              <w:rPr>
                <w:rFonts w:eastAsia="Times New Roman"/>
                <w:sz w:val="18"/>
                <w:szCs w:val="18"/>
                <w:lang w:val="en-US" w:eastAsia="en-GB"/>
              </w:rPr>
              <w:fldChar w:fldCharType="begin"/>
            </w:r>
            <w:r w:rsidRPr="008E4595">
              <w:rPr>
                <w:rFonts w:eastAsia="Times New Roman"/>
                <w:sz w:val="18"/>
                <w:szCs w:val="18"/>
                <w:lang w:val="en-US" w:eastAsia="en-GB"/>
              </w:rPr>
              <w:instrText xml:space="preserve"> ADDIN ZOTERO_ITEM CSL_CITATION {"citationID":"MXC2W2e5","properties":{"formattedCitation":"[21\\uc0\\u8211{}24]","plainCitation":"[21–24]","noteIndex":0},"citationItems":[{"id":947,"uris":["http://zotero.org/users/11893546/items/9TWVTMGJ"],"itemData":{"id":947,"type":"article-journal","abstract":"BACKGROUND AND AIMS: Gastro-oesophageal reflux disease (GORD) has been linked to a number of extra-esophageal symptoms and disorders, primarily in the respiratory tract. This systematic review aimed to provide an estimate of the strength and direction of the association between GORD and asthma.\nMETHODS: Studies that assessed the prevalence or incidence of GORD in individuals with asthma, or of asthma in individuals with GORD, were identified in Medline and EMBASE via a systematic search strategy.\nRESULTS: Twenty-eight studies met the selection criteria. The sample size weighted average prevalence of GORD symptoms in asthma patients was 59.2%, whereas in controls it was 38.1%. In patients with asthma, the average prevalence of abnormal oesophageal pH, oesophagitis and hiatal hernia was 50.9%, 37.3% and 51.2%, respectively. The average prevalence of asthma in individuals with GORD was 4.6%, whereas in controls it was 3.9%. Pooling the odds ratios gave an overall ratio of 5.5 (95% CI 1.9-15.8) for studies reporting the prevalence of GORD symptoms in individuals with asthma, and 2.3 (95% CI 1.8-2.8) for those studies measuring the prevalence of asthma in GORD. One longitudinal study showed a significant association between a diagnosis of asthma and a subsequent diagnosis of GORD (relative risk 1.5; 95% CI 1.2-1.8), whereas the two studies that assessed whether GORD precedes asthma gave inconsistent results. The severity-response relationship was examined in only nine studies, with inconsistent findings.\nCONCLUSIONS: This systematic review indicates that there is a significant association between GORD and asthma, but a paucity of data on the direction of causality.","container-title":"Gut","DOI":"10.1136/gut.2007.122465","ISSN":"1468-3288","issue":"12","journalAbbreviation":"Gut","language":"eng","note":"PMID: 17682001\nPMCID: PMC2095717","page":"1654-1664","source":"PubMed","title":"The association between gastro-oesophageal reflux disease and asthma: a systematic review","title-short":"The association between gastro-oesophageal reflux disease and asthma","volume":"56","author":[{"family":"Havemann","given":"B. D."},{"family":"Henderson","given":"C. A."},{"family":"El-Serag","given":"H. B."}],"issued":{"date-parts":[["2007",12]]}},"label":"page"},{"id":1245,"uris":["http://zotero.org/users/11893546/items/L4VTNXWF"],"itemData":{"id":1245,"type":"article-journal","abstract":"Gastroesophageal reflux is a potential trigger of asthma that may be clinically silent. This study examines the prevalence of gastroesophageal reflux in asthma patients without reflux symptoms. This prospective cohort study evaluated 26 patients with stable asthma without reflux symptoms using esophageal manometry and 24-h esophageal pH testing. Gastroesophageal reflux was considered present if esophageal acid contact times were abnormal. Demographic variables were analyzed to determine if they predicted the presence of gastroesophageal reflux. Asthma patients with asymptomatic gastroesophageal reflux were compared with 30 age-matched asthma patients with symptomatic gastroesophageal reflux. The prevalence of abnormal 24-h esophageal pH tests in asthma patients without reflux symptoms was 62% (16 of 26). Demographic variables did not predict abnormal 24-h esophageal pH tests in asthma patients with asymptomatic gastroesophageal reflux. Asthma patients with asymptomatic gastroesophageal reflux had higher amounts of proximal esophageal acid exposure (p &lt; 0.05) compared with asthma patients with symptomatic gastroesophageal reflux. Because demographic variables do not predict abnormal 24-h esophageal pH tests in asthma patients without reflux symptoms, 24-h esophageal pH testing is required. This study suggests that gastroesophageal reflux is present in asthma patients, even in the absence of esophageal symptoms.","container-title":"American Journal of Respiratory and Critical Care Medicine","DOI":"10.1164/ajrccm.162.1.9907072","ISSN":"1073-449X","issue":"1","journalAbbreviation":"Am J Respir Crit Care Med","language":"eng","note":"PMID: 10903216","page":"34-39","source":"PubMed","title":"The prevalence of gastroesophageal reflux in asthma patients without reflux symptoms","volume":"162","author":[{"family":"Harding","given":"S. M."},{"family":"Guzzo","given":"M. R."},{"family":"Richter","given":"J. E."}],"issued":{"date-parts":[["2000",7]]}}},{"id":1249,"uris":["http://zotero.org/users/11893546/items/3MSKN5A4"],"itemData":{"id":1249,"type":"article-journal","abstract":"The Global Initiative for Asthma (GINA) Strategy Report provides clinicians with an annually updated evidence-based strategy for asthma management and prevention, which can be adapted for local circumstances (e.g., medication availability). This article summarizes key recommendations from GINA 2021, and the evidence underpinning recent changes. GINA recommends that asthma in adults and adolescents should not be treated solely with short-acting β2-agonist (SABA), because of the risks of SABA-only treatment and SABA overuse, and evidence for benefit of inhaled corticosteroids (ICS). Large trials show that as-needed combination ICS-formoterol reduces severe exacerbations by </w:instrText>
            </w:r>
            <w:r w:rsidRPr="008E4595">
              <w:rPr>
                <w:rFonts w:ascii="Cambria Math" w:eastAsia="Times New Roman" w:hAnsi="Cambria Math" w:cs="Cambria Math"/>
                <w:sz w:val="18"/>
                <w:szCs w:val="18"/>
                <w:lang w:val="en-US" w:eastAsia="en-GB"/>
              </w:rPr>
              <w:instrText>⩾</w:instrText>
            </w:r>
            <w:r w:rsidRPr="008E4595">
              <w:rPr>
                <w:rFonts w:eastAsia="Times New Roman"/>
                <w:sz w:val="18"/>
                <w:szCs w:val="18"/>
                <w:lang w:val="en-US" w:eastAsia="en-GB"/>
              </w:rPr>
              <w:instrText xml:space="preserve">60% in mild asthma compared with SABA alone, with similar exacerbation, symptom, lung function, and inflammatory outcomes as daily ICS plus as-needed SABA. Key changes in GINA 2021 include division of the treatment figure for adults and adolescents into two tracks. Track 1 (preferred) has low-dose ICS-formoterol as the reliever at all steps: as needed only in Steps 1-2 (mild asthma), and with daily maintenance ICS-formoterol (maintenance-and-reliever therapy, \"MART\") in Steps 3-5. Track 2 (alternative) has as-needed SABA across all steps, plus regular ICS (Step 2) or ICS-long-acting β2-agonist (Steps 3-5). For adults with moderate-to-severe asthma, GINA makes additional recommendations in Step 5 for add-on long-acting muscarinic antagonists and azithromycin, with add-on biologic therapies for severe asthma. For children 6-11 years, new treatment options are added at Steps 3-4. Across all age groups and levels of severity, regular personalized assessment, treatment of modifiable risk factors, self-management education, skills training, appropriate medication adjustment, and review remain essential to optimize asthma outcomes.","container-title":"American Journal of Respiratory and Critical Care Medicine","DOI":"10.1164/rccm.202109-2205PP","ISSN":"1535-4970","issue":"1","journalAbbreviation":"Am J Respir Crit Care Med","language":"eng","note":"PMID: 34658302\nPMCID: PMC8865583","page":"17-35","source":"PubMed","title":"Global Initiative for Asthma Strategy 2021: Executive Summary and Rationale for Key Changes","title-short":"Global Initiative for Asthma Strategy 2021","volume":"205","author":[{"family":"Reddel","given":"Helen K."},{"family":"Bacharier","given":"Leonard B."},{"family":"Bateman","given":"Eric D."},{"family":"Brightling","given":"Christopher E."},{"family":"Brusselle","given":"Guy G."},{"family":"Buhl","given":"Roland"},{"family":"Cruz","given":"Alvaro A."},{"family":"Duijts","given":"Liesbeth"},{"family":"Drazen","given":"Jeffrey M."},{"family":"FitzGerald","given":"J. Mark"},{"family":"Fleming","given":"Louise J."},{"family":"Inoue","given":"Hiromasa"},{"family":"Ko","given":"Fanny W."},{"family":"Krishnan","given":"Jerry A."},{"family":"Levy","given":"Mark L."},{"family":"Lin","given":"Jiangtao"},{"family":"Mortimer","given":"Kevin"},{"family":"Pitrez","given":"Paulo M."},{"family":"Sheikh","given":"Aziz"},{"family":"Yorgancioglu","given":"Arzu A."},{"family":"Boulet","given":"Louis-Philippe"}],"issued":{"date-parts":[["2022",1,1]]}}},{"id":945,"uris":["http://zotero.org/users/11893546/items/PPSJV7NR"],"itemData":{"id":945,"type":"article-journal","abstract":"Rationale: Gastroesophageal reflux disease (GERD) is commonly associated with atopic disorders, but cause-effect relationships remain unclear. Objectives: We applied Mendelian randomization analysis to explore whether GERD is causally related to atopic disorders of the lung (asthma) and/or skin (atopic dermatitis [AD]). Methods: We conducted two-sample bidirectional Mendelian randomization to infer the magnitude and direction of causality between asthma and GERD, using summary statistics from the largest genome-wide association studies conducted on asthma (Ncases = 56,167) and GERD (Ncases = 71,522). In addition, we generated instrumental variables for AD from the latest population-level genome-wide association study meta-analysis (Ncases = 22,474) and assessed their fidelity and confidence of predicting the likely causal pathway(s) leading to asthma and/or GERD. Measurements and Main Results: Applying three different methods, each method revealed similar magnitude of causal estimates that were directionally consistent across the sensitivity analyses. Using an inverse variance-weighted method, the largest effect size was detected for asthma predisposition to AD (odds ratio [OR], 1.46; 95% confidence interval [CI], 1.34-1.59), followed by AD to asthma (OR, 1.34; 95% CI, 1.24-1.45). A significant association was detected for genetically determined asthma on risk of GERD (OR, 1.06; 95% CI, 1.03-1.09) but not genetically determined AD on GERD. In contrast, GERD equally increased risks of asthma (OR, 1.21; 95% CI, 1.09-1.35) and AD (OR, 1.21; 95% CI, 1.07-1.37). Conclusions: This study uncovers previously unrecognized causal pathways that have clinical implications in European-ancestry populations: 1) asthma is a causal risk for AD, and 2) the predisposition to AD, including asthma, can arise from specific pathogenic mechanisms manifested by GERD.","container-title":"American Journal of Respiratory and Critical Care Medicine","DOI":"10.1164/rccm.202205-0951OC","ISSN":"1535-4970","issue":"2","journalAbbreviation":"Am J Respir Crit Care Med","language":"eng","note":"PMID: 36214830\nPMCID: PMC9893317","page":"130-137","source":"PubMed","title":"Mendelian Randomization Analysis Reveals a Complex Genetic Interplay among Atopic Dermatitis, Asthma, and Gastroesophageal Reflux Disease","volume":"207","author":[{"family":"Ahn","given":"Kwangmi"},{"family":"Penn","given":"Raymond B."},{"family":"Rattan","given":"Satish"},{"family":"Panettieri","given":"Reynold A."},{"family":"Voight","given":"Benjamin F."},{"family":"An","given":"Steven S."}],"issued":{"date-parts":[["2023",1,15]]}}}],"schema":"https://github.com/citation-style-language/schema/raw/master/csl-citation.json"} </w:instrText>
            </w:r>
            <w:r w:rsidRPr="008E4595">
              <w:rPr>
                <w:rFonts w:eastAsia="Times New Roman"/>
                <w:sz w:val="18"/>
                <w:szCs w:val="18"/>
                <w:lang w:val="en-US" w:eastAsia="en-GB"/>
              </w:rPr>
              <w:fldChar w:fldCharType="separate"/>
            </w:r>
            <w:r w:rsidRPr="008E4595">
              <w:rPr>
                <w:rFonts w:eastAsia="Times New Roman"/>
                <w:sz w:val="18"/>
                <w:szCs w:val="18"/>
                <w:lang w:val="en-US" w:eastAsia="en-GB"/>
              </w:rPr>
              <w:t>[21–24]</w:t>
            </w:r>
            <w:r w:rsidRPr="008E4595">
              <w:rPr>
                <w:rFonts w:eastAsia="Times New Roman"/>
                <w:sz w:val="18"/>
                <w:szCs w:val="18"/>
                <w:lang w:val="en-US" w:eastAsia="en-GB"/>
              </w:rPr>
              <w:fldChar w:fldCharType="end"/>
            </w:r>
            <w:r w:rsidRPr="008E4595">
              <w:rPr>
                <w:rFonts w:eastAsia="Times New Roman"/>
                <w:sz w:val="18"/>
                <w:szCs w:val="18"/>
                <w:lang w:val="en-US" w:eastAsia="en-GB"/>
              </w:rPr>
              <w:t>. Many individuals with asthma experience GERD symptoms, suggesting a possible connection where asthma may contribute to GERD development</w:t>
            </w:r>
            <w:r w:rsidRPr="008E4595">
              <w:rPr>
                <w:rFonts w:eastAsia="Times New Roman"/>
                <w:sz w:val="18"/>
                <w:szCs w:val="18"/>
                <w:lang w:val="en-US" w:eastAsia="en-GB"/>
              </w:rPr>
              <w:fldChar w:fldCharType="begin"/>
            </w:r>
            <w:r w:rsidRPr="008E4595">
              <w:rPr>
                <w:rFonts w:eastAsia="Times New Roman"/>
                <w:sz w:val="18"/>
                <w:szCs w:val="18"/>
                <w:lang w:val="en-US" w:eastAsia="en-GB"/>
              </w:rPr>
              <w:instrText xml:space="preserve"> ADDIN ZOTERO_ITEM CSL_CITATION {"citationID":"kzdczca7","properties":{"formattedCitation":"[25,26]","plainCitation":"[25,26]","noteIndex":0},"citationItems":[{"id":914,"uris":["http://zotero.org/users/11893546/items/RU92RFJT"],"itemData":{"id":914,"type":"article-journal","abstract":"BACKGROUND: When gastro-oesophageal reflux is causing symptoms or lesions in the oesophagus, this is referred to as gastro-oesophageal reflux disease (GERD). GERD can manifest itself through typical symptoms (heartburn, regurgitation) or may lead to extra-oesophageal symptoms. Extra-oesophageal manifestations of GERD gained increasing attention over the last decade, especially respiratory disorders, because of the prevalent co-occurrence with GERD. The role of GERD in the pathogenesis of respiratory disorders has become a topic of intense discussion.\nAIM: To provide an overview of the current knowledge on the role of GERD in asthma and chronic obstructive pulmonary disease (COPD).\nMETHODS: PubMed was searched for relevant articles using the keywords: GERD, asthma, COPD, prevalence, treatment. Case reports were excluded, only English language articles were considered.\nRESULTS: Estimates for the prevalence of GERD in asthma range from 30% to 90%, compared to an average of 24% in controls. In COPD patients, the prevalence of GERD ranges from 19% to 78% compared to an average of 18% in controls. These data indicate an increased prevalence of GERD in patients with asthma and COPD, although causality is not established and GERD treatment yielded inconsistent effects. Literature supports GERD as a risk factor for COPD-exacerbations and a predictor of the 'frequent-exacerbator'-phenotype.\nCONCLUSIONS: Despite the high prevalence of GERD in asthma and COPD, a causal link is lacking. The results of anti-reflux therapy on pulmonary outcome are inconsistent and contradictory. Future studies will need to identify subgroups of asthmatics and COPD patients that may benefit from anti-reflux therapy (nocturnal or silent reflux).","container-title":"Alimentary Pharmacology &amp; Therapeutics","DOI":"10.1111/apt.14416","ISSN":"1365-2036","issue":"2","journalAbbreviation":"Aliment Pharmacol Ther","language":"eng","note":"PMID: 29193245","page":"176-191","source":"PubMed","title":"Review article: gastro-oesophageal reflux disease in asthma and chronic obstructive pulmonary disease","title-short":"Review article","volume":"47","author":[{"family":"Broers","given":"C."},{"family":"Tack","given":"J."},{"family":"Pauwels","given":"A."}],"issued":{"date-parts":[["2018",1]]}}},{"id":1243,"uris":["http://zotero.org/users/11893546/items/UGF8MT4I"],"itemData":{"id":1243,"type":"article-journal","abstract":"STUDY OBJECTIVES: To determine the prevalence of gastroesophageal reflux disease (GERD)-both symptoms and objective evidence-using 24-h dual-probe pH monitoring in difficult asthma, and the relationship between the presence and treatment of GERD to clinical outcome.\nDESIGN AND SETTING: As part of a systematic evaluation protocol, 68 subjects with difficult-to-control asthma attending a difficult asthma clinic were referred for dual-probe ambulatory pH esophageal monitoring.\nRESULTS: Esophageal probe data were available in 52 patients (76%) with difficult asthma. The prevalence of GERD/GERD-associated asthma symptoms was 75% (39 of 52 patients; 95% confidence interval [CI], 63 to 84.7%). The prevalence of GERD as evidenced by an abnormal pH profile at the distal esophageal probe was 55% (29 of 52 patients; 95% CI, 40 to 69%). The prevalence of GERD at the proximal probe was 34.6% (18 of 52 patients; 95% CI, 23.6 to 51%). The prevalence of GERD was similar in asthmatic subjects who responded to intervention and those who remained difficult to control (therapy resistant). Asymptomatic GERD was present in 9.6% (5 of 52 patients); 16% of cough episodes correlated with acid reflux.\nCONCLUSIONS: In difficult-to-control asthma, GERD is common, but identification and treatment of GERD do not appear to relate to improvement in asthma control in this population.","container-title":"Chest","DOI":"10.1378/chest.127.4.1227","ISSN":"0012-3692","issue":"4","journalAbbreviation":"Chest","language":"eng","note":"PMID: 15821199","page":"1227-1231","source":"PubMed","title":"Prevalence of gastroesophageal reflux in difficult asthma: relationship to asthma outcome","title-short":"Prevalence of gastroesophageal reflux in difficult asthma","volume":"127","author":[{"family":"Leggett","given":"Julian J."},{"family":"Johnston","given":"Brian T."},{"family":"Mills","given":"Moyra"},{"family":"Gamble","given":"Jackie"},{"family":"Heaney","given":"Liam G."}],"issued":{"date-parts":[["2005",4]]}}}],"schema":"https://github.com/citation-style-language/schema/raw/master/csl-citation.json"} </w:instrText>
            </w:r>
            <w:r w:rsidRPr="008E4595">
              <w:rPr>
                <w:rFonts w:eastAsia="Times New Roman"/>
                <w:sz w:val="18"/>
                <w:szCs w:val="18"/>
                <w:lang w:val="en-US" w:eastAsia="en-GB"/>
              </w:rPr>
              <w:fldChar w:fldCharType="separate"/>
            </w:r>
            <w:r w:rsidRPr="008E4595">
              <w:rPr>
                <w:rFonts w:eastAsia="Times New Roman"/>
                <w:sz w:val="18"/>
                <w:szCs w:val="18"/>
                <w:lang w:val="en-US" w:eastAsia="en-GB"/>
              </w:rPr>
              <w:t>[25,26]</w:t>
            </w:r>
            <w:r w:rsidRPr="008E4595">
              <w:rPr>
                <w:rFonts w:eastAsia="Times New Roman"/>
                <w:sz w:val="18"/>
                <w:szCs w:val="18"/>
                <w:lang w:val="en-US" w:eastAsia="en-GB"/>
              </w:rPr>
              <w:fldChar w:fldCharType="end"/>
            </w:r>
            <w:r w:rsidRPr="008E4595">
              <w:rPr>
                <w:rFonts w:eastAsia="Times New Roman"/>
                <w:sz w:val="18"/>
                <w:szCs w:val="18"/>
                <w:lang w:val="en-US" w:eastAsia="en-GB"/>
              </w:rPr>
              <w:t xml:space="preserve">. This connection could be </w:t>
            </w:r>
            <w:r w:rsidRPr="008E4595">
              <w:rPr>
                <w:rFonts w:eastAsia="Times New Roman"/>
                <w:sz w:val="18"/>
                <w:szCs w:val="18"/>
                <w:lang w:val="en-US" w:eastAsia="en-GB"/>
              </w:rPr>
              <w:lastRenderedPageBreak/>
              <w:t>linked to factors like increased thoracic pressure due to asthma or the effects of certain asthma medications on the lower esophageal sphincter (LES), predisposing individuals to GERD</w:t>
            </w:r>
            <w:r w:rsidRPr="008E4595">
              <w:rPr>
                <w:rFonts w:eastAsia="Times New Roman"/>
                <w:sz w:val="18"/>
                <w:szCs w:val="18"/>
                <w:lang w:val="en-US" w:eastAsia="en-GB"/>
              </w:rPr>
              <w:fldChar w:fldCharType="begin"/>
            </w:r>
            <w:r w:rsidRPr="008E4595">
              <w:rPr>
                <w:rFonts w:eastAsia="Times New Roman"/>
                <w:sz w:val="18"/>
                <w:szCs w:val="18"/>
                <w:lang w:val="en-US" w:eastAsia="en-GB"/>
              </w:rPr>
              <w:instrText xml:space="preserve"> ADDIN ZOTERO_ITEM CSL_CITATION {"citationID":"8HZL33kW","properties":{"formattedCitation":"[27]","plainCitation":"[27]","noteIndex":0},"citationItems":[{"id":917,"uris":["http://zotero.org/users/11893546/items/8V4Y59J8"],"itemData":{"id":917,"type":"article-journal","abstract":"Gastroesophageal reflux disease (GERD) occurs in up to one-third of the adult US population. Most affected individuals are either unaware of their condition or do not seek medical help, relying on nonprescription acid suppressants and antacids for relief. GERD, a common disorder of infancy, old age, and pregnancy, is particularly prevalent in patients with asthma. A causal relationship between the two diseases has been postulated by many investigators. The physiologic changes of asthma exacerbations and the actions of some of the medications used to treat asthma both aggravate GERD. The adverse effect of GERD on asthma and the pathophysiology of this relationship are still under debate. Some studies showed no objective improvement by spirometry of asthmatics treated for GERD, but recognized improvement in asthma symptoms and decreased use of asthma medication. Other studies, supporting GERD induction of asthma, have been performed to test two hypotheses: that asthma is exacerbated by endotracheal aspiration of gastric contents or by a reflex response to stimulation of esophageal receptors. Clinical experience has shown that early diagnosis and treatment of GERD often leads to better control of asthma.","container-title":"Allergy","DOI":"10.1111/j.1398-9995.1999.00093.x","ISSN":"0105-4538","issue":"7","journalAbbreviation":"Allergy","language":"eng","note":"PMID: 10442520","page":"651-661","source":"PubMed","title":"Gastroesophageal reflux and asthma: a review of pathogenesis, diagnosis, and therapy","title-short":"Gastroesophageal reflux and asthma","volume":"54","author":[{"family":"Theodoropoulos","given":"D. S."},{"family":"Lockey","given":"R. F."},{"family":"Boyce","given":"H. W."},{"family":"Bukantz","given":"S. C."}],"issued":{"date-parts":[["1999",7]]}}}],"schema":"https://github.com/citation-style-language/schema/raw/master/csl-citation.json"} </w:instrText>
            </w:r>
            <w:r w:rsidRPr="008E4595">
              <w:rPr>
                <w:rFonts w:eastAsia="Times New Roman"/>
                <w:sz w:val="18"/>
                <w:szCs w:val="18"/>
                <w:lang w:val="en-US" w:eastAsia="en-GB"/>
              </w:rPr>
              <w:fldChar w:fldCharType="separate"/>
            </w:r>
            <w:r w:rsidRPr="008E4595">
              <w:rPr>
                <w:rFonts w:eastAsia="Times New Roman"/>
                <w:sz w:val="18"/>
                <w:szCs w:val="18"/>
                <w:lang w:val="en-US" w:eastAsia="en-GB"/>
              </w:rPr>
              <w:t>[27]</w:t>
            </w:r>
            <w:r w:rsidRPr="008E4595">
              <w:rPr>
                <w:rFonts w:eastAsia="Times New Roman"/>
                <w:sz w:val="18"/>
                <w:szCs w:val="18"/>
                <w:lang w:val="en-US" w:eastAsia="en-GB"/>
              </w:rPr>
              <w:fldChar w:fldCharType="end"/>
            </w:r>
            <w:r w:rsidRPr="008E4595">
              <w:rPr>
                <w:rFonts w:eastAsia="Times New Roman"/>
                <w:sz w:val="18"/>
                <w:szCs w:val="18"/>
                <w:lang w:val="en-US" w:eastAsia="en-GB"/>
              </w:rPr>
              <w:t xml:space="preserve">. Conversely, GERD can worsen asthma symptoms by causing bronchoconstriction and airway irritation </w:t>
            </w:r>
            <w:r w:rsidRPr="008E4595">
              <w:rPr>
                <w:rFonts w:eastAsia="Times New Roman"/>
                <w:sz w:val="18"/>
                <w:szCs w:val="18"/>
                <w:lang w:val="en-US" w:eastAsia="en-GB"/>
              </w:rPr>
              <w:fldChar w:fldCharType="begin"/>
            </w:r>
            <w:r w:rsidRPr="008E4595">
              <w:rPr>
                <w:rFonts w:eastAsia="Times New Roman"/>
                <w:sz w:val="18"/>
                <w:szCs w:val="18"/>
                <w:lang w:val="en-US" w:eastAsia="en-GB"/>
              </w:rPr>
              <w:instrText xml:space="preserve"> ADDIN ZOTERO_ITEM CSL_CITATION {"citationID":"zgriE7U9","properties":{"formattedCitation":"[28\\uc0\\u8211{}30]","plainCitation":"[28–30]","noteIndex":0},"citationItems":[{"id":1252,"uris":["http://zotero.org/users/11893546/items/VLHDT2V7"],"itemData":{"id":1252,"type":"article-journal","abstract":"RATIONALE: Reducing asthma exacerbation frequency is an important criterion for approval of asthma therapies, but the clinical features of exacerbation-prone asthma (EPA) remain incompletely defined.\nOBJECTIVES: To describe the clinical, physiologic, inflammatory, and comorbidity factors associated with EPA.\nMETHODS: Baseline data from the NHLBI Severe Asthma Research Program (SARP)-3 were analyzed. An exacerbation was defined as a burst of systemic corticosteroids lasting 3 days or more. Patients were classified by their number of exacerbations in the past year: none, few (one to two), or exacerbation prone (</w:instrText>
            </w:r>
            <w:r w:rsidRPr="008E4595">
              <w:rPr>
                <w:rFonts w:eastAsia="Times New Roman" w:hint="eastAsia"/>
                <w:sz w:val="18"/>
                <w:szCs w:val="18"/>
                <w:lang w:val="en-US" w:eastAsia="en-GB"/>
              </w:rPr>
              <w:instrText>≥</w:instrText>
            </w:r>
            <w:r w:rsidRPr="008E4595">
              <w:rPr>
                <w:rFonts w:eastAsia="Times New Roman"/>
                <w:sz w:val="18"/>
                <w:szCs w:val="18"/>
                <w:lang w:val="en-US" w:eastAsia="en-GB"/>
              </w:rPr>
              <w:instrText xml:space="preserve">3). Replication of a multivariable model was performed with data from the SARP-1 + 2 cohort.\nMEASUREMENTS AND MAIN RESULTS: Of 709 subjects in the SARP-3 cohort, 294 (41%) had no exacerbations and 173 (24%) were exacerbation prone in the prior year. Several factors normally associated with severity (asthma duration, age, sex, race, and socioeconomic status) did not associate with exacerbation frequency in SARP-3; bronchodilator responsiveness also discriminated exacerbation proneness from asthma severity. In the SARP-3 multivariable model, blood eosinophils, body mass index, and bronchodilator responsiveness were positively associated with exacerbation frequency (rate ratios [95% confidence interval], 1.6 [1.2-2.1] for every log unit of eosinophils, 1.3 [1.1-1.4] for every 10 body mass index units, and 1.2 [1.1-1.4] for every 10% increase in bronchodilatory responsiveness). Chronic sinusitis and gastroesophageal reflux were also associated with exacerbation frequency (1.7 [1.4-2.1] and 1.6 [1.3-2.0]), even after adjustment for multiple factors. These effects were replicated in the SARP-1 + 2 multivariable model.\nCONCLUSIONS: EPA may be a distinct susceptibility phenotype with implications for the targeting of exacerbation prevention strategies. Clinical trial registered with www.clinicaltrials.gov (NCT 01760915).","container-title":"American Journal of Respiratory and Critical Care Medicine","DOI":"10.1164/rccm.201602-0419OC","ISSN":"1535-4970","issue":"3","journalAbbreviation":"Am J Respir Crit Care Med","language":"eng","note":"PMID: 27556234\nPMCID: PMC5328178","page":"302-313","source":"PubMed","title":"Inflammatory and Comorbid Features of Patients with Severe Asthma and Frequent Exacerbations","volume":"195","author":[{"family":"Denlinger","given":"Loren C."},{"family":"Phillips","given":"Brenda R."},{"family":"Ramratnam","given":"Sima"},{"family":"Ross","given":"Kristie"},{"family":"Bhakta","given":"Nirav R."},{"family":"Cardet","given":"Juan Carlos"},{"family":"Castro","given":"Mario"},{"family":"Peters","given":"Stephen P."},{"family":"Phipatanakul","given":"Wanda"},{"family":"Aujla","given":"Shean"},{"family":"Bacharier","given":"Leonard B."},{"family":"Bleecker","given":"Eugene R."},{"family":"Comhair","given":"Suzy A. A."},{"family":"Coverstone","given":"Andrea"},{"family":"DeBoer","given":"Mark"},{"family":"Erzurum","given":"Serpil C."},{"family":"Fain","given":"Sean B."},{"family":"Fajt","given":"Merritt"},{"family":"Fitzpatrick","given":"Anne M."},{"family":"Gaffin","given":"Jonathan"},{"family":"Gaston","given":"Benjamin"},{"family":"Hastie","given":"Annette T."},{"family":"Hawkins","given":"Gregory A."},{"family":"Holguin","given":"Fernando"},{"family":"Irani","given":"Anne-Marie"},{"family":"Israel","given":"Elliot"},{"family":"Levy","given":"Bruce D."},{"family":"Ly","given":"Ngoc"},{"family":"Meyers","given":"Deborah A."},{"family":"Moore","given":"Wendy C."},{"family":"Myers","given":"Ross"},{"family":"Opina","given":"Maria Theresa D."},{"family":"Peters","given":"Michael C."},{"family":"Schiebler","given":"Mark L."},{"family":"Sorkness","given":"Ronald L."},{"family":"Teague","given":"W. Gerald"},{"family":"Wenzel","given":"Sally E."},{"family":"Woodruff","given":"Prescott G."},{"family":"Mauger","given":"David T."},{"family":"Fahy","given":"John V."},{"family":"Jarjour","given":"Nizar N."},{"literal":"National Heart, Lung, and Blood Institute’s Severe Asthma Research Program-3 Investigators"}],"issued":{"date-parts":[["2017",2,1]]}}},{"id":1234,"uris":["http://zotero.org/users/11893546/items/YY9RLRB4"],"itemData":{"id":1234,"type":"article-journal","abstract":"Rationale: Silent gastroesophageal reflux (GER) is common in patients with asthma, but it is unclear whether GER is associated with worse asthma symptoms or reduced lung function., Objectives: To determine in patients with poorly controlled asthma, whether proximal or distal esophageal reflux is associated with asthma severity, symptoms, physiology, or functional status., Methods: Baseline asthma characteristics were measured in patients with asthma enrolled in a multicenter trial assessing the effectiveness of esomeprazole on asthma control. All participants underwent 24-hour esophageal pH probe monitoring. Lung function, methacholine responsiveness, asthma symptoms, and quality-of-life scores were compared in subjects with and without GER., Measurements and Main Results: Of 304 participants with probe recordings, 53% had reflux. Of 242 participants with recordings of proximal pH, 38% had proximal reflux. There was no difference in need for short-acting bronchodilators, nocturnal awakenings, dose of inhaled corticosteroid, use of long-acting β-agonists, lung function, or methacholine reactivity between individuals with and without proximal or distal GER. Participants with GER reported more use of oral corticosteroids and had worse asthma quality of life and subjects with proximal GER had significantly worse asthma quality of life and health-related quality of life compared with participants without GER., Conclusions: Asymptomatic GER is not associated with distinguishing asthma symptoms or lower lung function in individuals with suboptimal asthma control who are using inhaled corticosteroids. Patients with proximal reflux report significantly worse asthma and health-related quality of life despite lack of physiologic impairment or increase in asthma symptoms., Clinical trial registered with www.clinicaltrials.gov (NCT00069823).","container-title":"American Journal of Respiratory and Critical Care Medicine","DOI":"10.1164/rccm.200904-0625OC","ISSN":"1073-449X","issue":"9","journalAbbreviation":"Am J Respir Crit Care Med","note":"PMID: 19661245\nPMCID: PMC2773912","page":"809-816","source":"PubMed Central","title":"Effects of Asymptomatic Proximal and Distal Gastroesophageal Reflux on Asthma Severity","volume":"180","author":[{"family":"DiMango","given":"Emily"},{"family":"Holbrook","given":"Janet T."},{"family":"Simpson","given":"Erin"},{"family":"Reibman","given":"Joan"},{"family":"Richter","given":"Joel"},{"family":"Narula","given":"Surinder"},{"family":"Prusakowski","given":"Nancy"},{"family":"Mastronarde","given":"John G."},{"family":"Wise","given":"Robert A."}],"issued":{"date-parts":[["2009",11,1]]}}},{"id":1256,"uris":["http://zotero.org/users/11893546/items/8CMTRLCL"],"itemData":{"id":1256,"type":"article-journal","abstract":"BACKGROUND: Gastroesophageal reflux (GER) may be a trigger for asthma and may be clinically silent. Twenty-four-hour esophageal pH testing accurately diagnoses GER in asthmatics. There are no reports correlating respiratory symptoms with esophageal acid events. This study examines the prevalence and severity of GER in asthmatics with and without reflux symptoms and examines respiratory symptom correlation with esophageal acid.\nMETHODS: All esophageal manometry and 24-h esophageal pH tests performed were reviewed in asthmatics who met entrance criteria from July 1, 1989, through November 1, 1994. GER was present if esophageal pH tests were abnormal. Results of esophageal tests were compared for asthmatics with reflux symptoms and GER and asthmatics without reflux symptoms and GER. Respiratory symptoms correlated with esophageal acid events if the esophageal pH was &lt; 4 simultaneously with the respiratory event or within 5 min before its onset.\nRESULTS: Of 199 asthmatics who qualified for analysis, 164 (82%) had reflux symptoms. The results of 24-h esophageal pH tests were abnormal in 118 of 164 asthmatics with reflux symptoms (72%), compared with 10 of 35 asthmatics without reflux symptoms (29%). Among asthmatics with GER, 119 of 151 respiratory symptoms (78.8%) were associated with esophageal acid. Seventy-six of 84 reported coughs (90.5%) were associated with esophageal acid. Theophylline did not alter esophageal parameters.\nCONCLUSIONS: There is a strong correlation between esophageal acid events and respiratory symptoms in asthmatics with GER. Respiratory symptom correlation with esophageal acid events further supports that GER may be a trigger for asthma.","container-title":"Chest","DOI":"10.1378/chest.115.3.654","ISSN":"0012-3692","issue":"3","journalAbbreviation":"Chest","language":"eng","note":"PMID: 10084471","page":"654-659","source":"PubMed","title":"24-h esophageal pH testing in asthmatics: respiratory symptom correlation with esophageal acid events","title-short":"24-h esophageal pH testing in asthmatics","volume":"115","author":[{"family":"Harding","given":"S. M."},{"family":"Guzzo","given":"M. R."},{"family":"Richter","given":"J. E."}],"issued":{"date-parts":[["1999",3]]}}}],"schema":"https://github.com/citation-style-language/schema/raw/master/csl-citation.json"} </w:instrText>
            </w:r>
            <w:r w:rsidRPr="008E4595">
              <w:rPr>
                <w:rFonts w:eastAsia="Times New Roman"/>
                <w:sz w:val="18"/>
                <w:szCs w:val="18"/>
                <w:lang w:val="en-US" w:eastAsia="en-GB"/>
              </w:rPr>
              <w:fldChar w:fldCharType="separate"/>
            </w:r>
            <w:r w:rsidRPr="008E4595">
              <w:rPr>
                <w:rFonts w:eastAsia="Times New Roman"/>
                <w:sz w:val="18"/>
                <w:szCs w:val="18"/>
                <w:lang w:val="en-US" w:eastAsia="en-GB"/>
              </w:rPr>
              <w:t>[28–30]</w:t>
            </w:r>
            <w:r w:rsidRPr="008E4595">
              <w:rPr>
                <w:rFonts w:eastAsia="Times New Roman"/>
                <w:sz w:val="18"/>
                <w:szCs w:val="18"/>
                <w:lang w:val="en-US" w:eastAsia="en-GB"/>
              </w:rPr>
              <w:fldChar w:fldCharType="end"/>
            </w:r>
            <w:r w:rsidRPr="008E4595">
              <w:rPr>
                <w:rFonts w:eastAsia="Times New Roman"/>
                <w:sz w:val="18"/>
                <w:szCs w:val="18"/>
                <w:lang w:val="en-US" w:eastAsia="en-GB"/>
              </w:rPr>
              <w:t>. This highlights the need to address GERD in asthma management. The coexistence of GERD and asthma in many patients suggests mutual exacerbation, where each condition can worsen the other, possibly due to shared inflammatory pathways and lifestyle factors like obesity</w:t>
            </w:r>
            <w:r w:rsidRPr="008E4595">
              <w:rPr>
                <w:rFonts w:eastAsia="Times New Roman"/>
                <w:sz w:val="18"/>
                <w:szCs w:val="18"/>
                <w:lang w:val="en-US" w:eastAsia="en-GB"/>
              </w:rPr>
              <w:fldChar w:fldCharType="begin"/>
            </w:r>
            <w:r w:rsidRPr="008E4595">
              <w:rPr>
                <w:rFonts w:eastAsia="Times New Roman"/>
                <w:sz w:val="18"/>
                <w:szCs w:val="18"/>
                <w:lang w:val="en-US" w:eastAsia="en-GB"/>
              </w:rPr>
              <w:instrText xml:space="preserve"> ADDIN ZOTERO_ITEM CSL_CITATION {"citationID":"A2OphnQm","properties":{"formattedCitation":"[24,31,32]","plainCitation":"[24,31,32]","noteIndex":0},"citationItems":[{"id":910,"uris":["http://zotero.org/users/11893546/items/AR4E9ZQK"],"itemData":{"id":910,"type":"article-journal","abstract":"BACKGROUND: A relation between gastroesophageal reflux disease (GERD) and asthma has been suggested; however, causality has not been investigated.\nOBJECTIVE: This study aimed to delineate the causal relation between G</w:instrText>
            </w:r>
            <w:r w:rsidRPr="008E4595">
              <w:rPr>
                <w:rFonts w:eastAsia="Times New Roman" w:hint="eastAsia"/>
                <w:sz w:val="18"/>
                <w:szCs w:val="18"/>
                <w:lang w:val="en-US" w:eastAsia="en-GB"/>
              </w:rPr>
              <w:instrText>ERD and asthma.\nMETHODS: Participants of the Korean National Health Insurance Service-National Sample Cohort 2002-2013 who were ≥20 years old were selected for this study. In study I, 116,502 patients with GERD were matched in a 1:2 ratio to 233,004 cont</w:instrText>
            </w:r>
            <w:r w:rsidRPr="008E4595">
              <w:rPr>
                <w:rFonts w:eastAsia="Times New Roman"/>
                <w:sz w:val="18"/>
                <w:szCs w:val="18"/>
                <w:lang w:val="en-US" w:eastAsia="en-GB"/>
              </w:rPr>
              <w:instrText xml:space="preserve">rol I participants, and the hazard ratio (HR) of asthma in patients with GERD was analyzed. In study II, 104,146 patients with asthma were matched in a 1:1 ratio to 104,146 control II participants, and the HR for GERD in patients with asthma was analyzed. A stratified Cox-proportional hazards model was used. Subgroup analyses were performed according to age and sex.\nRESULTS: In study I, 12.5% (14,595 of 116,502) of the GERD group and 7.8% (18,135 of 233,004) of the control I group presented asthma (P &lt; .001). The GERD group demonstrated a 1.46-fold higher HR for asthma than the control I group (95% confidence interval [CI] = 1.42-1.49, P &lt; .001). In study II, 16.9% (17,582 of 104,146) of the asthma group and 11.9% (12,393 of 104,146) of the control II group presented GERD (P &lt; .001). The asthma group showed a 1.36-fold higher HR for GERD than the control II group (95% CI = 1.33-1.39, P &lt; .001). All age and sex subgroups presented consistent results.\nCONCLUSION: GERD and asthma had a bidirectional relation in the study population.","container-title":"The Journal of Allergy and Clinical Immunology. In Practice","DOI":"10.1016/j.jaip.2019.10.043","ISSN":"2213-2201","issue":"3","journalAbbreviation":"J Allergy Clin Immunol Pract","language":"eng","note":"PMID: 31733335","page":"1005-1013.e9","source":"PubMed","title":"Bidirectional Association Between GERD and Asthma: Two Longitudinal Follow-Up Studies Using a National Sample Cohort","title-short":"Bidirectional Association Between GERD and Asthma","volume":"8","author":[{"family":"Kim","given":"So Young"},{"family":"Min","given":"Chanyang"},{"family":"Oh","given":"Dong Jun"},{"family":"Choi","given":"Hyo Geun"}],"issued":{"date-parts":[["2020",3]]}}},{"id":912,"uris":["http://zotero.org/users/11893546/items/53QD7U9J"],"itemData":{"id":912,"type":"article-journal","abstract":"BACKGROUND: The causal relationship between asthma and gastroesophageal reflux disease (GERD) is unknown in children.\nMETHODS: The Korean Health Insurance Review and Assessment Service-National Sample Cohort 2002-2013 was used. The population age &lt;15 years was selected. In study I, 86,096 asthmatic children were 1:1 matched with 86,096 control I participants. In study II, 532 GERD children were 1:2 matched with 1064 control II participants. The stratified Cox proportional hazard ratios for GERD in patients with asthma (study I) and asthma in patients with GERD (study II) were analyzed.\nRESULTS: In total, 0.7% (583/86,096) of the asthma group and 0.5% (430/86,096) of the control I group had GERD (P &lt; 0.001). The asthma group demonstrated a 1.36 times higher HR for GERD than the control I group (95% CI = 1.20-1.54, P &lt; 0.001). Subgroup analyses according to age and sex showed consistent results. In total, 15.0% (80/532) of the GERD group and 10.0% (106/1,064) of the control II group had asthma (P &lt; 0.001). The GERD group showed a 1.62-fold higher HR for asthma than the control II group (95% CI = 1.21-2.18, P &lt; 0.001).\nCONCLUSION: GERD and asthma demonstrated a bidirectional relationship in children.","container-title":"Pediatric Research","DOI":"10.1038/s41390-020-0749-1","ISSN":"1530-0447","issue":"2","journalAbbreviation":"Pediatr Res","language":"eng","note":"PMID: 31923915","page":"320-324","source":"PubMed","title":"Bidirectional association between GERD and asthma in children: two longitudinal follow-up studies using a national sample cohort","title-short":"Bidirectional association between GERD and asthma in children","volume":"88","author":[{"family":"Kim","given":"So Young"},{"family":"Kim","given":"Hye-Rim"},{"family":"Min","given":"Chanyang"},{"family":"Oh","given":"Dong Jun"},{"family":"Park","given":"Bumjung"},{"family":"Choi","given":"Hyo Geun"}],"issued":{"date-parts":[["2020",8]]}},"label":"page"},{"id":945,"uris":["http://zotero.org/users/11893546/items/PPSJV7NR"],"itemData":{"id":945,"type":"article-journal","abstract":"Rationale: Gastroesophageal reflux disease (GERD) is commonly associated with atopic disorders, but cause-effect relationships remain unclear. Objectives: We applied Mendelian randomization analysis to explore whether GERD is causally related to atopic disorders of the lung (asthma) and/or skin (atopic dermatitis [AD]). Methods: We conducted two-sample bidirectional Mendelian randomization to infer the magnitude and direction of causality between asthma and GERD, using summary statistics from the largest genome-wide association studies conducted on asthma (Ncases = 56,167) and GERD (Ncases = 71,522). In addition, we generated instrumental variables for AD from the latest population-level genome-wide association study meta-analysis (Ncases = 22,474) and assessed their fidelity and confidence of predicting the likely causal pathway(s) leading to asthma and/or GERD. Measurements and Main Results: Applying three different methods, each method revealed similar magnitude of causal estimates that were directionally consistent across the sensitivity analyses. Using an inverse variance-weighted method, the largest effect size was detected for asthma predisposition to AD (odds ratio [OR], 1.46; 95% confidence interval [CI], 1.34-1.59), followed by AD to asthma (OR, 1.34; 95% CI, 1.24-1.45). A significant association was detected for genetically determined asthma on risk of GERD (OR, 1.06; 95% CI, 1.03-1.09) but not genetically determined AD on GERD. In contrast, GERD equally increased risks of asthma (OR, 1.21; 95% CI, 1.09-1.35) and AD (OR, 1.21; 95% CI, 1.07-1.37). Conclusions: This study uncovers previously unrecognized causal pathways that have clinical implications in European-ancestry populations: 1) asthma is a causal risk for AD, and 2) the predisposition to AD, including asthma, can arise from specific pathogenic mechanisms manifested by GERD.","container-title":"American Journal of Respiratory and Critical Care Medicine","DOI":"10.1164/rccm.202205-0951OC","ISSN":"1535-4970","issue":"2","journalAbbreviation":"Am J Respir Crit Care Med","language":"eng","note":"PMID: 36214830\nPMCID: PMC9893317","page":"130-137","source":"PubMed","title":"Mendelian Randomization Analysis Reveals a Complex Genetic Interplay among Atopic Dermatitis, Asthma, and Gastroesophageal Reflux Disease","volume":"207","author":[{"family":"Ahn","given":"Kwangmi"},{"family":"Penn","given":"Raymond B."},{"family":"Rattan","given":"Satish"},{"family":"Panettieri","given":"Reynold A."},{"family":"Voight","given":"Benjamin F."},{"family":"An","given":"Steven S."}],"issued":{"date-parts":[["2023",1,15]]}}}],"schema":"https://github.com/citation-style-language/schema/raw/master/csl-citation.json"} </w:instrText>
            </w:r>
            <w:r w:rsidRPr="008E4595">
              <w:rPr>
                <w:rFonts w:eastAsia="Times New Roman"/>
                <w:sz w:val="18"/>
                <w:szCs w:val="18"/>
                <w:lang w:val="en-US" w:eastAsia="en-GB"/>
              </w:rPr>
              <w:fldChar w:fldCharType="separate"/>
            </w:r>
            <w:r w:rsidRPr="008E4595">
              <w:rPr>
                <w:rFonts w:eastAsia="Times New Roman"/>
                <w:sz w:val="18"/>
                <w:szCs w:val="18"/>
                <w:lang w:val="en-US" w:eastAsia="en-GB"/>
              </w:rPr>
              <w:t>[24,31,32]</w:t>
            </w:r>
            <w:r w:rsidRPr="008E4595">
              <w:rPr>
                <w:rFonts w:eastAsia="Times New Roman"/>
                <w:sz w:val="18"/>
                <w:szCs w:val="18"/>
                <w:lang w:val="en-US" w:eastAsia="en-GB"/>
              </w:rPr>
              <w:fldChar w:fldCharType="end"/>
            </w:r>
            <w:r w:rsidRPr="008E4595">
              <w:rPr>
                <w:rFonts w:eastAsia="Times New Roman"/>
                <w:sz w:val="18"/>
                <w:szCs w:val="18"/>
                <w:lang w:val="en-US" w:eastAsia="en-GB"/>
              </w:rPr>
              <w:t>.</w:t>
            </w:r>
            <w:bookmarkEnd w:id="7"/>
            <w:bookmarkEnd w:id="8"/>
            <w:r w:rsidRPr="008E4595">
              <w:rPr>
                <w:rFonts w:eastAsia="Times New Roman"/>
                <w:sz w:val="18"/>
                <w:szCs w:val="18"/>
                <w:lang w:val="en-US" w:eastAsia="en-GB"/>
              </w:rPr>
              <w:t xml:space="preserve"> The relationship among asthma, GERD, and OA becomes even more complex when considering obesity's role. Obesity worsens osteoarticular problems, promoting OA development and increasing intragastric pressure, leading to reflux. Additionally, obesity's inflammatory response may heighten asthma symptoms</w:t>
            </w:r>
            <w:r w:rsidRPr="008E4595">
              <w:rPr>
                <w:rFonts w:eastAsia="Times New Roman"/>
                <w:sz w:val="18"/>
                <w:szCs w:val="18"/>
                <w:lang w:val="en-US" w:eastAsia="en-GB"/>
              </w:rPr>
              <w:fldChar w:fldCharType="begin"/>
            </w:r>
            <w:r w:rsidRPr="008E4595">
              <w:rPr>
                <w:rFonts w:eastAsia="Times New Roman"/>
                <w:sz w:val="18"/>
                <w:szCs w:val="18"/>
                <w:lang w:val="en-US" w:eastAsia="en-GB"/>
              </w:rPr>
              <w:instrText xml:space="preserve"> ADDIN ZOTERO_ITEM CSL_CITATION {"citationID":"rD61jlkF","properties":{"formattedCitation":"[33]","plainCitation":"[33]","noteIndex":0},"citationItems":[{"id":952,"uris":["http://zotero.org/users/11893546/items/9IAQ7SYA"],"itemData":{"id":952,"type":"article-journal","abstract":"BACKGROUND: Some individuals living with obesity may be relatively metabolically healthy, whilst others suffer from multiple conditions that may be linked to adverse metabolic effects or other factors. The extent to which the adverse metabolic component of obesity contributes to disease compared to the non-metabolic components is often uncertain. We aimed to use Mendelian randomisation (MR) and specific genetic variants to separately test the causal roles of higher adiposity with and without its adverse metabolic effects on diseases.\nMETHODS: We selected 37 chronic diseases associated with obesity and genetic variants associated with different aspects of excess weight. These genetic variants included those associated with metabolically 'favourable adiposity' (FA) and 'unfavourable adiposity' (UFA) that are both associated with higher adiposity but with opposite effects on metabolic risk. We used these variants and two sample MR to test the effects on the chronic diseases.\nRESULTS: MR identified two sets of diseases. First, 11 conditions where the metabolic effect of higher adiposity is the likely primary cause of the disease. Here, MR with the FA and UFA genetics showed opposing effects on risk of disease: coronary artery disease, peripheral artery disease, hypertension, stroke, type 2 diabetes, polycystic ovary syndrome, heart failure, atrial fibrillation, chronic kidney disease, renal cancer, and gout. Second, 9 conditions where the non-metabolic effects of excess weight (e.g. mechanical effect) are likely a cause. Here, MR with the FA genetics, despite leading to lower metabolic risk, and MR with the UFA genetics, both indicated higher disease risk: osteoarthritis, rheumatoid arthritis, osteoporosis, gastro-oesophageal reflux disease, gallstones, adult-onset asthma, psoriasis, deep vein thrombosis, and venous thromboembolism.\nCONCLUSIONS: Our results assist in understanding the consequences of higher adiposity uncoupled from its adverse metabolic effects, including the risks to individuals with high body mass index who may be relatively metabolically healthy.\nFUNDING: Diabetes UK, UK Medical Research Council, World Cancer Research Fund, National Cancer Institute.","container-title":"eLife","DOI":"10.7554/eLife.72452","ISSN":"2050-084X","journalAbbreviation":"Elife","language":"eng","note":"PMID: 35074047\nPMCID: PMC8789289","page":"e72452","source":"PubMed","title":"Disease consequences of higher adiposity uncoupled from its adverse metabolic effects using Mendelian randomisation","volume":"11","author":[{"family":"Martin","given":"Susan"},{"family":"Tyrrell","given":"Jessica"},{"family":"Thomas","given":"E. Louise"},{"family":"Bown","given":"Matthew J."},{"family":"Wood","given":"Andrew R."},{"family":"Beaumont","given":"Robin N."},{"family":"Tsoi","given":"Lam C."},{"family":"Stuart","given":"Philip E."},{"family":"Elder","given":"James T."},{"family":"Law","given":"Philip"},{"family":"Houlston","given":"Richard"},{"family":"Kabrhel","given":"Christopher"},{"family":"Papadimitriou","given":"Nikos"},{"family":"Gunter","given":"Marc J."},{"family":"Bull","given":"Caroline J."},{"family":"Bell","given":"Joshua A."},{"family":"Vincent","given":"Emma E."},{"family":"Sattar","given":"Naveed"},{"family":"Dunlop","given":"Malcolm G."},{"family":"Tomlinson","given":"Ian P. M."},{"family":"Lindström","given":"Sara"},{"literal":"INVENT consortium"},{"family":"Bell","given":"Jimmy D."},{"family":"Frayling","given":"Timothy M."},{"family":"Yaghootkar","given":"Hanieh"}],"issued":{"date-parts":[["2022",1,25]]}}}],"schema":"https://github.com/citation-style-language/schema/raw/master/csl-citation.json"} </w:instrText>
            </w:r>
            <w:r w:rsidRPr="008E4595">
              <w:rPr>
                <w:rFonts w:eastAsia="Times New Roman"/>
                <w:sz w:val="18"/>
                <w:szCs w:val="18"/>
                <w:lang w:val="en-US" w:eastAsia="en-GB"/>
              </w:rPr>
              <w:fldChar w:fldCharType="separate"/>
            </w:r>
            <w:r w:rsidRPr="008E4595">
              <w:rPr>
                <w:rFonts w:eastAsia="Times New Roman"/>
                <w:sz w:val="18"/>
                <w:szCs w:val="18"/>
                <w:lang w:val="en-US" w:eastAsia="en-GB"/>
              </w:rPr>
              <w:t>[33]</w:t>
            </w:r>
            <w:r w:rsidRPr="008E4595">
              <w:rPr>
                <w:rFonts w:eastAsia="Times New Roman"/>
                <w:sz w:val="18"/>
                <w:szCs w:val="18"/>
                <w:lang w:val="en-US" w:eastAsia="en-GB"/>
              </w:rPr>
              <w:fldChar w:fldCharType="end"/>
            </w:r>
            <w:r w:rsidRPr="008E4595">
              <w:rPr>
                <w:rFonts w:eastAsia="Times New Roman"/>
                <w:sz w:val="18"/>
                <w:szCs w:val="18"/>
                <w:lang w:val="en-US" w:eastAsia="en-GB"/>
              </w:rPr>
              <w:t>. Drug interactions and shared inflammation are key features in all three conditions</w:t>
            </w:r>
            <w:r w:rsidRPr="008E4595">
              <w:rPr>
                <w:rFonts w:eastAsia="Times New Roman"/>
                <w:sz w:val="18"/>
                <w:szCs w:val="18"/>
                <w:lang w:val="en-US" w:eastAsia="en-GB"/>
              </w:rPr>
              <w:fldChar w:fldCharType="begin"/>
            </w:r>
            <w:r w:rsidRPr="008E4595">
              <w:rPr>
                <w:rFonts w:eastAsia="Times New Roman"/>
                <w:sz w:val="18"/>
                <w:szCs w:val="18"/>
                <w:lang w:val="en-US" w:eastAsia="en-GB"/>
              </w:rPr>
              <w:instrText xml:space="preserve"> ADDIN ZOTERO_ITEM CSL_CITATION {"citationID":"fCobppGE","properties":{"formattedCitation":"[34]","plainCitation":"[34]","noteIndex":0},"citationItems":[{"id":932,"uris":["http://zotero.org/users/11893546/items/7KHYVIUG"],"itemData":{"id":932,"type":"article-journal","abstract":"AIM: To assess the pattern of use of oral corticosteroids (OC) in primary care patients with severe asthma.\nMETHODS: Data derived from the Health Search Database (HSD) gathering information on 700 Italian general practitioners. A cohort of severe asthma patients was identified between 2013 and 2017 and followed-up for one year. The association between candidate predictors and the incident escalation to OC was tested through a multivariate Cox regression model.\nRESULTS: Among patients with asthma (N = 55,075), 284 were diagnosed with severe asthma. Among them, the proportion of OC users decreased from 82.2% in 2013 to 75.3% in 2017. For what concerns the determinants of OC prescriptions, among 284 patients being defined at baseline (2013-2016) as those suffering from severe asthma, 216 (76.1%) were first-ever prescribed with OC at least once during one year of follow-up. The presence of gastroesophageal reflux disease (HR 1.37; 95% CI 1.02-1.85), osteoarthritis (HR 1.54; 95% CI 1.12-2.12) and moderate asthma exacerbations (HR 1.72; 95% CI 1-02-2.93) was significantly associated with the outcome.\nCONCLUSIONS: The optimization of asthma treatment and the management of comorbidities may be potential leverages to reduce the inappropriate use of OC in patients with severe asthma.","container-title":"Respiratory Medicine","DOI":"10.1016/j.rmed.2020.105946","ISSN":"1532-3064","journalAbbreviation":"Respir Med","language":"eng","note":"PMID: 32250874","page":"105946","source":"PubMed","title":"Patterns of oral corticosteroids use in primary care patients with severe asthma","volume":"166","author":[{"family":"Vetrano","given":"Davide L."},{"family":"Zucchelli","given":"Alberto"},{"family":"Bianchini","given":"Elisa"},{"family":"Marconi","given":"Ettore"},{"family":"Lombardo","given":"Francesco P."},{"family":"Cricelli","given":"Claudio"},{"family":"Lapi","given":"Francesco"}],"issued":{"date-parts":[["2020",5]]}}}],"schema":"https://github.com/citation-style-language/schema/raw/master/csl-citation.json"} </w:instrText>
            </w:r>
            <w:r w:rsidRPr="008E4595">
              <w:rPr>
                <w:rFonts w:eastAsia="Times New Roman"/>
                <w:sz w:val="18"/>
                <w:szCs w:val="18"/>
                <w:lang w:val="en-US" w:eastAsia="en-GB"/>
              </w:rPr>
              <w:fldChar w:fldCharType="separate"/>
            </w:r>
            <w:r w:rsidRPr="008E4595">
              <w:rPr>
                <w:rFonts w:eastAsia="Times New Roman"/>
                <w:sz w:val="18"/>
                <w:szCs w:val="18"/>
                <w:lang w:val="en-US" w:eastAsia="en-GB"/>
              </w:rPr>
              <w:t>[34]</w:t>
            </w:r>
            <w:r w:rsidRPr="008E4595">
              <w:rPr>
                <w:rFonts w:eastAsia="Times New Roman"/>
                <w:sz w:val="18"/>
                <w:szCs w:val="18"/>
                <w:lang w:val="en-US" w:eastAsia="en-GB"/>
              </w:rPr>
              <w:fldChar w:fldCharType="end"/>
            </w:r>
            <w:r w:rsidRPr="008E4595">
              <w:rPr>
                <w:rFonts w:eastAsia="Times New Roman"/>
                <w:sz w:val="18"/>
                <w:szCs w:val="18"/>
                <w:lang w:val="en-US" w:eastAsia="en-GB"/>
              </w:rPr>
              <w:t>.</w:t>
            </w:r>
          </w:p>
        </w:tc>
      </w:tr>
      <w:tr w:rsidR="00D8098C" w:rsidRPr="00B853C6" w14:paraId="7907A3D3" w14:textId="5AB948A7" w:rsidTr="00795EC6">
        <w:tc>
          <w:tcPr>
            <w:tcW w:w="587" w:type="dxa"/>
            <w:tcBorders>
              <w:bottom w:val="single" w:sz="6" w:space="0" w:color="7F7F7F"/>
            </w:tcBorders>
            <w:shd w:val="clear" w:color="auto" w:fill="auto"/>
          </w:tcPr>
          <w:p w14:paraId="4F63B03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3</w:t>
            </w:r>
          </w:p>
        </w:tc>
        <w:tc>
          <w:tcPr>
            <w:tcW w:w="1810" w:type="dxa"/>
            <w:tcBorders>
              <w:bottom w:val="single" w:sz="6" w:space="0" w:color="7F7F7F"/>
            </w:tcBorders>
            <w:shd w:val="clear" w:color="auto" w:fill="auto"/>
          </w:tcPr>
          <w:p w14:paraId="3E6B9EE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Objectives</w:t>
            </w:r>
          </w:p>
        </w:tc>
        <w:tc>
          <w:tcPr>
            <w:tcW w:w="6491" w:type="dxa"/>
            <w:tcBorders>
              <w:bottom w:val="single" w:sz="6" w:space="0" w:color="7F7F7F"/>
            </w:tcBorders>
            <w:shd w:val="clear" w:color="auto" w:fill="auto"/>
          </w:tcPr>
          <w:p w14:paraId="41BC8A0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1397" w:type="dxa"/>
            <w:tcBorders>
              <w:bottom w:val="single" w:sz="6" w:space="0" w:color="7F7F7F"/>
            </w:tcBorders>
          </w:tcPr>
          <w:p w14:paraId="2294F6C5" w14:textId="32A46BF7" w:rsidR="00D8098C" w:rsidRPr="008E4595" w:rsidRDefault="008E4595"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5</w:t>
            </w:r>
          </w:p>
        </w:tc>
        <w:tc>
          <w:tcPr>
            <w:tcW w:w="4205" w:type="dxa"/>
            <w:tcBorders>
              <w:bottom w:val="single" w:sz="6" w:space="0" w:color="7F7F7F"/>
            </w:tcBorders>
          </w:tcPr>
          <w:p w14:paraId="34D38AE7" w14:textId="77777777" w:rsidR="008E4595" w:rsidRPr="008E4595" w:rsidRDefault="008E4595" w:rsidP="008E4595">
            <w:pPr>
              <w:spacing w:beforeLines="40" w:before="96" w:afterLines="40" w:after="96" w:line="24" w:lineRule="atLeast"/>
              <w:rPr>
                <w:rFonts w:eastAsia="Times New Roman"/>
                <w:sz w:val="18"/>
                <w:szCs w:val="18"/>
                <w:lang w:val="en-US" w:eastAsia="en-GB"/>
              </w:rPr>
            </w:pPr>
            <w:bookmarkStart w:id="9" w:name="_Hlk158130651"/>
            <w:bookmarkStart w:id="10" w:name="_Hlk158131911"/>
            <w:bookmarkStart w:id="11" w:name="_Hlk157764165"/>
            <w:r w:rsidRPr="008E4595">
              <w:rPr>
                <w:rFonts w:eastAsia="Times New Roman"/>
                <w:sz w:val="18"/>
                <w:szCs w:val="18"/>
                <w:lang w:val="en-US" w:eastAsia="en-GB"/>
              </w:rPr>
              <w:t xml:space="preserve">In this investigation, we employ a bidirectional MR approach to explore the intricate causal relationships among GERD, asthma, and OA. Selected for their high prevalence and profound impact on individual quality of life, these conditions represent an essential area of study due to their interconnected nature and implications for disease management and prevention. Our analysis is motivated by the emerging consensus on the shared genetic and environmental pathways potentially underpinning these conditions, alongside preliminary evidence suggesting reciprocal causal relationships. By leveraging genetic variants, primarily single nucleotide polymorphisms (SNPs), as instrumental variables (IVs), this innovative statistical approach aims to provide a robust inference of causality, circumventing the biases inherent in traditional observational studies. The inclusion of epidemiological evidence and pathophysiological insights in our analysis underscores the complex interactions and shared pathways among GERD, asthma, and OA. This comprehensive exploration sheds light on the underlying mechanisms driving these </w:t>
            </w:r>
            <w:r w:rsidRPr="008E4595">
              <w:rPr>
                <w:rFonts w:eastAsia="Times New Roman"/>
                <w:sz w:val="18"/>
                <w:szCs w:val="18"/>
                <w:lang w:val="en-US" w:eastAsia="en-GB"/>
              </w:rPr>
              <w:lastRenderedPageBreak/>
              <w:t>associations, including shared inflammatory pathways, genetic predispositions, and the impact of common treatments such as NSAIDs. The application of bidirectional MR not only enhances our understanding of these diseases' dynamics but also holds significant implications for personalized medicine and public health strategies. By demystifying the genetic factors contributing to the co-occurrence of these diseases, our study endeavors to advance the field's understanding of complex disease interactions, thereby informing targeted prevention and treatment strategies</w:t>
            </w:r>
            <w:r w:rsidRPr="008E4595">
              <w:rPr>
                <w:rFonts w:eastAsia="Times New Roman"/>
                <w:sz w:val="18"/>
                <w:szCs w:val="18"/>
                <w:lang w:val="en-US" w:eastAsia="en-GB"/>
              </w:rPr>
              <w:fldChar w:fldCharType="begin"/>
            </w:r>
            <w:r w:rsidRPr="008E4595">
              <w:rPr>
                <w:rFonts w:eastAsia="Times New Roman"/>
                <w:sz w:val="18"/>
                <w:szCs w:val="18"/>
                <w:lang w:val="en-US" w:eastAsia="en-GB"/>
              </w:rPr>
              <w:instrText xml:space="preserve"> ADDIN ZOTERO_ITEM CSL_CITATION {"citationID":"FwkXsay5","properties":{"formattedCitation":"[35,36]","plainCitation":"[35,36]","noteIndex":0},"citationItems":[{"id":"ga4GnxTX/WuGFtOVK","uris":["http://zotero.org/users/local/k7mguTBH/items/ZJYMA5S8"],"itemData":{"id":3910,"type":"article-journal","abstract":"Observational epidemiological studies suffer from many potential biases, from confounding and from reverse causation, and this limits their ability to robustly identify causal associations. Several high-profile situations exist in which randomized controlled trials of precisely the same intervention that has been examined in observational studies have produced markedly different findings. In other observational sciences, the use of instrumental variable (IV) approaches has been one approach to strengthening causal inferences in non-experimental situations. The use of germline genetic variants that proxy for environmentally modifiable exposures as instruments for these exposures is one form of IV analysis that can be implemented within observational epidemiological studies. The method has been referred to as ‘Mendelian randomization’, and can be considered as analogous to randomized controlled trials. This paper outlines Mendelian randomization, draws parallels with IV methods, provides examples of implementation of the approach and discusses limitations of the approach and some methods for dealing with these. Copyright © 2007 John Wiley &amp; Sons, Ltd.","container-title":"Statistics in Medicine","DOI":"10.1002/sim.3034","ISSN":"1097-0258","issue":"8","language":"en","note":"_eprint: https://onlinelibrary.wiley.com/doi/pdf/10.1002/sim.3034","page":"1133-1163","source":"Wiley Online Library","title":"Mendelian randomization: Using genes as instruments for making causal inferences in epidemiology","title-short":"Mendelian randomization","volume":"27","author":[{"family":"Lawlor","given":"Debbie A."},{"family":"Harbord","given":"Roger M."},{"family":"Sterne","given":"Jonathan A. C."},{"family":"Timpson","given":"Nic"},{"family":"Davey Smith","given":"George"}],"issued":{"date-parts":[["2008"]]}}},{"id":"ga4GnxTX/YhwZ2V76","uris":["http://zotero.org/users/local/k7mguTBH/items/UTFNDKLV"],"itemData":{"id":3385,"type":"article-journal","abstract":"Inference about the causal structure that induces correlations between two traits can be achieved by combining genetic associations with a mediation-based approach, as is done in the causal inference test (CIT). However, we show that measurement error in the phenotypes can lead to the CIT inferring the wrong causal direction, and that increasing sample sizes has the adverse effect of increasing confidence in the wrong answer. This problem is likely to be general to other mediation-based approaches. Here we introduce an extension to Mendelian randomisation, a method that uses genetic associations in an instrumentation framework, that enables inference of the causal direction between traits, with some advantages. First, it can be performed using only summary level data from genome-wide association studies; second, it is less susceptible to bias in the presence of measurement error or unmeasured confounding. We apply the method to infer the causal direction between DNA methylation and gene expression levels. Our results demonstrate that, in general, DNA methylation is more likely to be the causal factor, but this result is highly susceptible to bias induced by systematic differences in measurement error between the platforms, and by horizontal pleiotropy. We emphasise that, where possible, implementing MR and appropriate sensitivity analyses alongside other approaches such as CIT is important to triangulate reliable conclusions about causality.","container-title":"PLoS genetics","DOI":"10.1371/journal.pgen.1007081","ISSN":"1553-7404","issue":"11","journalAbbreviation":"PLoS Genet","language":"eng","note":"PMID: 29149188\nPMCID: PMC5711033","page":"e1007081","source":"PubMed","title":"Orienting the causal relationship between imprecisely measured traits using GWAS summary data","volume":"13","author":[{"family":"Hemani","given":"Gibran"},{"family":"Tilling","given":"Kate"},{"family":"Davey Smith","given":"George"}],"issued":{"date-parts":[["2017",11]]}}}],"schema":"https://github.com/citation-style-language/schema/raw/master/csl-citation.json"} </w:instrText>
            </w:r>
            <w:r w:rsidRPr="008E4595">
              <w:rPr>
                <w:rFonts w:eastAsia="Times New Roman"/>
                <w:sz w:val="18"/>
                <w:szCs w:val="18"/>
                <w:lang w:val="en-US" w:eastAsia="en-GB"/>
              </w:rPr>
              <w:fldChar w:fldCharType="separate"/>
            </w:r>
            <w:r w:rsidRPr="008E4595">
              <w:rPr>
                <w:rFonts w:eastAsia="Times New Roman"/>
                <w:sz w:val="18"/>
                <w:szCs w:val="18"/>
                <w:lang w:val="en-US" w:eastAsia="en-GB"/>
              </w:rPr>
              <w:t>[35,36]</w:t>
            </w:r>
            <w:r w:rsidRPr="008E4595">
              <w:rPr>
                <w:rFonts w:eastAsia="Times New Roman"/>
                <w:sz w:val="18"/>
                <w:szCs w:val="18"/>
                <w:lang w:val="en-US" w:eastAsia="en-GB"/>
              </w:rPr>
              <w:fldChar w:fldCharType="end"/>
            </w:r>
            <w:bookmarkEnd w:id="9"/>
            <w:r w:rsidRPr="008E4595">
              <w:rPr>
                <w:rFonts w:eastAsia="Times New Roman"/>
                <w:sz w:val="18"/>
                <w:szCs w:val="18"/>
                <w:lang w:val="en-US" w:eastAsia="en-GB"/>
              </w:rPr>
              <w:t>.</w:t>
            </w:r>
            <w:bookmarkEnd w:id="10"/>
          </w:p>
          <w:bookmarkEnd w:id="11"/>
          <w:p w14:paraId="11250836" w14:textId="77777777" w:rsidR="00D8098C" w:rsidRPr="00795EC6" w:rsidRDefault="00D8098C" w:rsidP="00426603">
            <w:pPr>
              <w:spacing w:beforeLines="40" w:before="96" w:afterLines="40" w:after="96" w:line="24" w:lineRule="atLeast"/>
              <w:rPr>
                <w:rFonts w:eastAsia="Times New Roman"/>
                <w:sz w:val="18"/>
                <w:szCs w:val="18"/>
                <w:lang w:val="en-US" w:eastAsia="en-GB"/>
              </w:rPr>
            </w:pPr>
          </w:p>
        </w:tc>
      </w:tr>
      <w:tr w:rsidR="00D8098C" w:rsidRPr="00B853C6" w14:paraId="59599383" w14:textId="2880B554" w:rsidTr="00795EC6">
        <w:tc>
          <w:tcPr>
            <w:tcW w:w="587" w:type="dxa"/>
            <w:tcBorders>
              <w:top w:val="single" w:sz="6" w:space="0" w:color="7F7F7F"/>
            </w:tcBorders>
            <w:shd w:val="clear" w:color="auto" w:fill="EEEEEE"/>
          </w:tcPr>
          <w:p w14:paraId="3524D6D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10" w:type="dxa"/>
            <w:tcBorders>
              <w:top w:val="single" w:sz="6" w:space="0" w:color="7F7F7F"/>
            </w:tcBorders>
            <w:shd w:val="clear" w:color="auto" w:fill="EEEEEE"/>
          </w:tcPr>
          <w:p w14:paraId="6152628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METHODS</w:t>
            </w:r>
          </w:p>
        </w:tc>
        <w:tc>
          <w:tcPr>
            <w:tcW w:w="6491" w:type="dxa"/>
            <w:tcBorders>
              <w:top w:val="single" w:sz="6" w:space="0" w:color="7F7F7F"/>
            </w:tcBorders>
            <w:shd w:val="clear" w:color="auto" w:fill="EEEEEE"/>
          </w:tcPr>
          <w:p w14:paraId="309B856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1397" w:type="dxa"/>
            <w:tcBorders>
              <w:top w:val="single" w:sz="6" w:space="0" w:color="7F7F7F"/>
            </w:tcBorders>
            <w:shd w:val="clear" w:color="auto" w:fill="EEEEEE"/>
          </w:tcPr>
          <w:p w14:paraId="2FFEF450"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205" w:type="dxa"/>
            <w:tcBorders>
              <w:top w:val="single" w:sz="6" w:space="0" w:color="7F7F7F"/>
            </w:tcBorders>
            <w:shd w:val="clear" w:color="auto" w:fill="EEEEEE"/>
          </w:tcPr>
          <w:p w14:paraId="6CB9315A" w14:textId="77777777" w:rsidR="00D8098C" w:rsidRPr="00795EC6" w:rsidRDefault="00D8098C" w:rsidP="00426603">
            <w:pPr>
              <w:spacing w:beforeLines="40" w:before="96" w:afterLines="40" w:after="96" w:line="24" w:lineRule="atLeast"/>
              <w:rPr>
                <w:rFonts w:eastAsia="Times New Roman"/>
                <w:sz w:val="18"/>
                <w:szCs w:val="18"/>
                <w:lang w:val="en-US" w:eastAsia="en-GB"/>
              </w:rPr>
            </w:pPr>
          </w:p>
        </w:tc>
      </w:tr>
      <w:tr w:rsidR="00D8098C" w:rsidRPr="00B853C6" w14:paraId="6440155E" w14:textId="16610A1F" w:rsidTr="00795EC6">
        <w:tc>
          <w:tcPr>
            <w:tcW w:w="587" w:type="dxa"/>
            <w:shd w:val="clear" w:color="auto" w:fill="auto"/>
          </w:tcPr>
          <w:p w14:paraId="5C7CF34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4</w:t>
            </w:r>
          </w:p>
        </w:tc>
        <w:tc>
          <w:tcPr>
            <w:tcW w:w="1810" w:type="dxa"/>
            <w:shd w:val="clear" w:color="auto" w:fill="auto"/>
          </w:tcPr>
          <w:p w14:paraId="408E2A89"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Study design and data sources</w:t>
            </w:r>
          </w:p>
        </w:tc>
        <w:tc>
          <w:tcPr>
            <w:tcW w:w="6491" w:type="dxa"/>
            <w:shd w:val="clear" w:color="auto" w:fill="auto"/>
          </w:tcPr>
          <w:p w14:paraId="29029CA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1397" w:type="dxa"/>
          </w:tcPr>
          <w:p w14:paraId="0E181C75" w14:textId="40567F36" w:rsidR="00D8098C" w:rsidRPr="008E4595" w:rsidRDefault="008E4595"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6-10</w:t>
            </w:r>
          </w:p>
        </w:tc>
        <w:tc>
          <w:tcPr>
            <w:tcW w:w="4205" w:type="dxa"/>
          </w:tcPr>
          <w:p w14:paraId="23CE0AC6" w14:textId="77777777" w:rsidR="00D8098C" w:rsidRPr="00795EC6" w:rsidRDefault="00D8098C" w:rsidP="00426603">
            <w:pPr>
              <w:spacing w:beforeLines="40" w:before="96" w:afterLines="40" w:after="96" w:line="24" w:lineRule="atLeast"/>
              <w:rPr>
                <w:rFonts w:eastAsia="Times New Roman"/>
                <w:sz w:val="18"/>
                <w:szCs w:val="18"/>
                <w:lang w:val="en-US" w:eastAsia="en-GB"/>
              </w:rPr>
            </w:pPr>
          </w:p>
        </w:tc>
      </w:tr>
      <w:tr w:rsidR="00D8098C" w:rsidRPr="00B853C6" w14:paraId="47D5AE21" w14:textId="3CA8D4AF" w:rsidTr="00795EC6">
        <w:tc>
          <w:tcPr>
            <w:tcW w:w="587" w:type="dxa"/>
            <w:shd w:val="clear" w:color="auto" w:fill="EEEEEE"/>
          </w:tcPr>
          <w:p w14:paraId="0980B68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shd w:val="clear" w:color="auto" w:fill="EEEEEE"/>
          </w:tcPr>
          <w:p w14:paraId="29E72ACB"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491" w:type="dxa"/>
            <w:shd w:val="clear" w:color="auto" w:fill="EEEEEE"/>
          </w:tcPr>
          <w:p w14:paraId="246167BE"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shd w:val="clear" w:color="auto" w:fill="FFFFFF"/>
                <w:lang w:val="en-GB" w:eastAsia="en-GB"/>
              </w:rPr>
              <w:t xml:space="preserve">Setting: </w:t>
            </w:r>
            <w:r w:rsidRPr="00A1236D">
              <w:rPr>
                <w:rFonts w:eastAsia="Times New Roman"/>
                <w:sz w:val="18"/>
                <w:szCs w:val="18"/>
                <w:lang w:val="en-GB" w:eastAsia="en-GB"/>
              </w:rPr>
              <w:t xml:space="preserve">Describe the study design and the underlying population, if possible. </w:t>
            </w:r>
            <w:r w:rsidRPr="00A1236D">
              <w:rPr>
                <w:rFonts w:eastAsia="Times New Roman"/>
                <w:sz w:val="18"/>
                <w:szCs w:val="18"/>
                <w:shd w:val="clear" w:color="auto" w:fill="FFFFFF"/>
                <w:lang w:val="en-GB" w:eastAsia="en-GB"/>
              </w:rPr>
              <w:t xml:space="preserve">Describe the setting, locations, and relevant dates, including periods </w:t>
            </w:r>
            <w:r w:rsidRPr="00A1236D">
              <w:rPr>
                <w:rFonts w:eastAsia="Times New Roman"/>
                <w:color w:val="000000"/>
                <w:sz w:val="18"/>
                <w:szCs w:val="18"/>
                <w:shd w:val="clear" w:color="auto" w:fill="FFFFFF"/>
                <w:lang w:val="en-GB" w:eastAsia="en-GB"/>
              </w:rPr>
              <w:t>of recruitment, exposure, follow-up, and data collection, when available.</w:t>
            </w:r>
          </w:p>
        </w:tc>
        <w:tc>
          <w:tcPr>
            <w:tcW w:w="1397" w:type="dxa"/>
            <w:shd w:val="clear" w:color="auto" w:fill="EEEEEE"/>
          </w:tcPr>
          <w:p w14:paraId="048ED5CF" w14:textId="1EFBEB94" w:rsidR="00D8098C" w:rsidRPr="00C71B85" w:rsidRDefault="00C71B85" w:rsidP="00426603">
            <w:pPr>
              <w:spacing w:beforeLines="40" w:before="96" w:afterLines="40" w:after="96" w:line="24" w:lineRule="atLeast"/>
              <w:rPr>
                <w:rFonts w:eastAsiaTheme="minorEastAsia"/>
                <w:sz w:val="18"/>
                <w:szCs w:val="18"/>
                <w:shd w:val="clear" w:color="auto" w:fill="FFFFFF"/>
                <w:lang w:val="en-GB" w:eastAsia="zh-CN"/>
              </w:rPr>
            </w:pPr>
            <w:r>
              <w:rPr>
                <w:rFonts w:eastAsiaTheme="minorEastAsia" w:hint="eastAsia"/>
                <w:sz w:val="18"/>
                <w:szCs w:val="18"/>
                <w:shd w:val="clear" w:color="auto" w:fill="FFFFFF"/>
                <w:lang w:val="en-GB" w:eastAsia="zh-CN"/>
              </w:rPr>
              <w:t>9-10</w:t>
            </w:r>
          </w:p>
        </w:tc>
        <w:tc>
          <w:tcPr>
            <w:tcW w:w="4205" w:type="dxa"/>
            <w:shd w:val="clear" w:color="auto" w:fill="EEEEEE"/>
          </w:tcPr>
          <w:p w14:paraId="3FE7E9AF" w14:textId="77777777" w:rsidR="008E4595" w:rsidRPr="008E4595" w:rsidRDefault="008E4595" w:rsidP="008E4595">
            <w:pPr>
              <w:spacing w:beforeLines="40" w:before="96" w:afterLines="40" w:after="96" w:line="24" w:lineRule="atLeast"/>
              <w:rPr>
                <w:rFonts w:eastAsia="Times New Roman"/>
                <w:sz w:val="18"/>
                <w:szCs w:val="18"/>
                <w:lang w:val="en-US" w:eastAsia="en-GB"/>
              </w:rPr>
            </w:pPr>
            <w:r w:rsidRPr="008E4595">
              <w:rPr>
                <w:rFonts w:eastAsia="Times New Roman"/>
                <w:sz w:val="18"/>
                <w:szCs w:val="18"/>
                <w:lang w:val="en-US" w:eastAsia="en-GB"/>
              </w:rPr>
              <w:t xml:space="preserve">In the context of this TSMR analysis, the investigation delved into the intricate relationships between asthma, GERD, and various forms of OA (including [overall OA, HOA, and KOA]). Bidirectional MR contributed to a more comprehensive understanding of potential causal mechanisms. </w:t>
            </w:r>
            <w:r w:rsidRPr="008E4595">
              <w:rPr>
                <w:rFonts w:eastAsia="Times New Roman" w:hint="eastAsia"/>
                <w:sz w:val="18"/>
                <w:szCs w:val="18"/>
                <w:lang w:val="en-US" w:eastAsia="en-GB"/>
              </w:rPr>
              <w:t xml:space="preserve">Using Multivariate Mendelian </w:t>
            </w:r>
            <w:r w:rsidRPr="008E4595">
              <w:rPr>
                <w:rFonts w:eastAsia="Times New Roman"/>
                <w:sz w:val="18"/>
                <w:szCs w:val="18"/>
                <w:lang w:val="en-US" w:eastAsia="en-GB"/>
              </w:rPr>
              <w:t>randomization (</w:t>
            </w:r>
            <w:r w:rsidRPr="008E4595">
              <w:rPr>
                <w:rFonts w:eastAsia="Times New Roman" w:hint="eastAsia"/>
                <w:sz w:val="18"/>
                <w:szCs w:val="18"/>
                <w:lang w:val="en-US" w:eastAsia="en-GB"/>
              </w:rPr>
              <w:t>MVMR</w:t>
            </w:r>
            <w:r w:rsidRPr="008E4595">
              <w:rPr>
                <w:rFonts w:eastAsia="Times New Roman"/>
                <w:sz w:val="18"/>
                <w:szCs w:val="18"/>
                <w:lang w:val="en-US" w:eastAsia="en-GB"/>
              </w:rPr>
              <w:t>)</w:t>
            </w:r>
            <w:r w:rsidRPr="008E4595">
              <w:rPr>
                <w:rFonts w:eastAsia="Times New Roman" w:hint="eastAsia"/>
                <w:sz w:val="18"/>
                <w:szCs w:val="18"/>
                <w:lang w:val="en-US" w:eastAsia="en-GB"/>
              </w:rPr>
              <w:t xml:space="preserve"> for two-step MR also helps to</w:t>
            </w:r>
            <w:r w:rsidRPr="008E4595">
              <w:rPr>
                <w:rFonts w:eastAsia="Times New Roman"/>
                <w:sz w:val="18"/>
                <w:szCs w:val="18"/>
                <w:lang w:val="en-US" w:eastAsia="en-GB"/>
              </w:rPr>
              <w:t xml:space="preserve"> investigate </w:t>
            </w:r>
            <w:r w:rsidRPr="008E4595">
              <w:rPr>
                <w:rFonts w:eastAsia="Times New Roman" w:hint="eastAsia"/>
                <w:sz w:val="18"/>
                <w:szCs w:val="18"/>
                <w:lang w:val="en-US" w:eastAsia="en-GB"/>
              </w:rPr>
              <w:t>the</w:t>
            </w:r>
            <w:r w:rsidRPr="008E4595">
              <w:rPr>
                <w:rFonts w:eastAsia="Times New Roman"/>
                <w:sz w:val="18"/>
                <w:szCs w:val="18"/>
                <w:lang w:val="en-US" w:eastAsia="en-GB"/>
              </w:rPr>
              <w:t xml:space="preserve"> potential mediating role of NSAIDs. Central to the MR methodology are three pivotal assumptions, each critical for maintaining the methodological integrity of the approach.  Assumption </w:t>
            </w:r>
            <w:r w:rsidRPr="008E4595">
              <w:rPr>
                <w:rFonts w:ascii="宋体" w:eastAsia="宋体" w:hAnsi="宋体" w:cs="宋体" w:hint="eastAsia"/>
                <w:sz w:val="18"/>
                <w:szCs w:val="18"/>
                <w:lang w:val="en-US" w:eastAsia="en-GB"/>
              </w:rPr>
              <w:t>Ⅰ</w:t>
            </w:r>
            <w:r w:rsidRPr="008E4595">
              <w:rPr>
                <w:rFonts w:eastAsia="Times New Roman"/>
                <w:sz w:val="18"/>
                <w:szCs w:val="18"/>
                <w:lang w:val="en-US" w:eastAsia="en-GB"/>
              </w:rPr>
              <w:t xml:space="preserve">: IVs must be robustly associated with the exposure of interest. Assumption </w:t>
            </w:r>
            <w:r w:rsidRPr="008E4595">
              <w:rPr>
                <w:rFonts w:ascii="宋体" w:eastAsia="宋体" w:hAnsi="宋体" w:cs="宋体" w:hint="eastAsia"/>
                <w:sz w:val="18"/>
                <w:szCs w:val="18"/>
                <w:lang w:val="en-US" w:eastAsia="en-GB"/>
              </w:rPr>
              <w:t>Ⅱ</w:t>
            </w:r>
            <w:r w:rsidRPr="008E4595">
              <w:rPr>
                <w:rFonts w:eastAsia="Times New Roman" w:hint="eastAsia"/>
                <w:sz w:val="18"/>
                <w:szCs w:val="18"/>
                <w:lang w:val="en-US" w:eastAsia="en-GB"/>
              </w:rPr>
              <w:t>:</w:t>
            </w:r>
            <w:r w:rsidRPr="008E4595">
              <w:rPr>
                <w:rFonts w:eastAsia="Times New Roman"/>
                <w:sz w:val="18"/>
                <w:szCs w:val="18"/>
                <w:lang w:val="en-US" w:eastAsia="en-GB"/>
              </w:rPr>
              <w:t xml:space="preserve"> The IV should be independent of any confounders that might be associated with both the exposure and the outcome. Assumption </w:t>
            </w:r>
            <w:r w:rsidRPr="008E4595">
              <w:rPr>
                <w:rFonts w:ascii="宋体" w:eastAsia="宋体" w:hAnsi="宋体" w:cs="宋体" w:hint="eastAsia"/>
                <w:sz w:val="18"/>
                <w:szCs w:val="18"/>
                <w:lang w:val="en-US" w:eastAsia="en-GB"/>
              </w:rPr>
              <w:t>Ⅲ</w:t>
            </w:r>
            <w:r w:rsidRPr="008E4595">
              <w:rPr>
                <w:rFonts w:eastAsia="Times New Roman"/>
                <w:sz w:val="18"/>
                <w:szCs w:val="18"/>
                <w:lang w:val="en-US" w:eastAsia="en-GB"/>
              </w:rPr>
              <w:t xml:space="preserve">: The IV should influence the outcome only through its effect on the exposure and not through any other pathways. Adherence to these assumptions is essential for the credibility of the MR framework in exploring the connections between asthma, GERD, and OA. Figure 1 illustrates the design of this bidirectional, two-step, TSMR with its three assumptions. Our methodology aligns with the STROBE-MR </w:t>
            </w:r>
            <w:r w:rsidRPr="008E4595">
              <w:rPr>
                <w:rFonts w:eastAsia="Times New Roman"/>
                <w:sz w:val="18"/>
                <w:szCs w:val="18"/>
                <w:lang w:val="en-US" w:eastAsia="en-GB"/>
              </w:rPr>
              <w:lastRenderedPageBreak/>
              <w:t>guidelines. Employing de-identified, publicly sourced data from studies previously sanctioned by ethical standards committees for human research, this study required no further ethical endorsement.</w:t>
            </w:r>
          </w:p>
          <w:p w14:paraId="33F4171D" w14:textId="77777777" w:rsidR="00D8098C" w:rsidRPr="00795EC6" w:rsidRDefault="00D8098C" w:rsidP="00426603">
            <w:pPr>
              <w:spacing w:beforeLines="40" w:before="96" w:afterLines="40" w:after="96" w:line="24" w:lineRule="atLeast"/>
              <w:rPr>
                <w:rFonts w:eastAsia="Times New Roman"/>
                <w:sz w:val="18"/>
                <w:szCs w:val="18"/>
                <w:lang w:val="en-US" w:eastAsia="en-GB"/>
              </w:rPr>
            </w:pPr>
          </w:p>
        </w:tc>
      </w:tr>
      <w:tr w:rsidR="00D8098C" w:rsidRPr="00B853C6" w14:paraId="376A6F82" w14:textId="43693FDC" w:rsidTr="00795EC6">
        <w:tc>
          <w:tcPr>
            <w:tcW w:w="587" w:type="dxa"/>
            <w:shd w:val="clear" w:color="auto" w:fill="auto"/>
          </w:tcPr>
          <w:p w14:paraId="6B85F41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shd w:val="clear" w:color="auto" w:fill="auto"/>
          </w:tcPr>
          <w:p w14:paraId="0CF2EB5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491" w:type="dxa"/>
            <w:shd w:val="clear" w:color="auto" w:fill="auto"/>
          </w:tcPr>
          <w:p w14:paraId="5E3BCE69"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 xml:space="preserve">Participants: Give the eligibility criteria, and the sources and methods of selection of participants. </w:t>
            </w:r>
            <w:r w:rsidRPr="00A1236D">
              <w:rPr>
                <w:rFonts w:eastAsia="Times New Roman"/>
                <w:color w:val="000000"/>
                <w:sz w:val="18"/>
                <w:szCs w:val="18"/>
              </w:rPr>
              <w:t>Report the sample size, and whether any power or sample size calculations were carried out prior to the main analysis</w:t>
            </w:r>
            <w:r w:rsidRPr="00A1236D">
              <w:rPr>
                <w:rFonts w:eastAsia="Times New Roman"/>
                <w:sz w:val="18"/>
                <w:szCs w:val="18"/>
                <w:lang w:val="en-GB" w:eastAsia="en-GB"/>
              </w:rPr>
              <w:t> </w:t>
            </w:r>
          </w:p>
        </w:tc>
        <w:tc>
          <w:tcPr>
            <w:tcW w:w="1397" w:type="dxa"/>
          </w:tcPr>
          <w:p w14:paraId="29ACC32C" w14:textId="737E5FAA" w:rsidR="00D8098C" w:rsidRPr="008E4595" w:rsidRDefault="008E4595" w:rsidP="00426603">
            <w:pPr>
              <w:spacing w:beforeLines="40" w:before="96" w:afterLines="40" w:after="96" w:line="24" w:lineRule="atLeast"/>
              <w:textAlignment w:val="baseline"/>
              <w:rPr>
                <w:rFonts w:eastAsiaTheme="minorEastAsia"/>
                <w:sz w:val="18"/>
                <w:szCs w:val="18"/>
                <w:shd w:val="clear" w:color="auto" w:fill="FFFFFF"/>
                <w:lang w:val="en-GB" w:eastAsia="zh-CN"/>
              </w:rPr>
            </w:pPr>
            <w:r>
              <w:rPr>
                <w:rFonts w:eastAsiaTheme="minorEastAsia" w:hint="eastAsia"/>
                <w:sz w:val="18"/>
                <w:szCs w:val="18"/>
                <w:shd w:val="clear" w:color="auto" w:fill="FFFFFF"/>
                <w:lang w:val="en-GB" w:eastAsia="zh-CN"/>
              </w:rPr>
              <w:t>7-8</w:t>
            </w:r>
          </w:p>
        </w:tc>
        <w:tc>
          <w:tcPr>
            <w:tcW w:w="4205" w:type="dxa"/>
          </w:tcPr>
          <w:p w14:paraId="46BA93AD" w14:textId="77777777" w:rsidR="00201F1A" w:rsidRPr="00201F1A" w:rsidRDefault="00201F1A" w:rsidP="00201F1A">
            <w:pPr>
              <w:spacing w:beforeLines="40" w:before="96" w:afterLines="40" w:after="96" w:line="24" w:lineRule="atLeast"/>
              <w:rPr>
                <w:rFonts w:eastAsia="Times New Roman"/>
                <w:sz w:val="18"/>
                <w:szCs w:val="18"/>
                <w:lang w:val="en-US" w:eastAsia="en-GB"/>
              </w:rPr>
            </w:pPr>
            <w:bookmarkStart w:id="12" w:name="_Hlk157186209"/>
            <w:bookmarkStart w:id="13" w:name="_Hlk167999729"/>
            <w:r w:rsidRPr="00201F1A">
              <w:rPr>
                <w:rFonts w:eastAsia="Times New Roman"/>
                <w:sz w:val="18"/>
                <w:szCs w:val="18"/>
                <w:lang w:val="en-US" w:eastAsia="en-GB"/>
              </w:rPr>
              <w:t>Our study utilized data from the UK Biobank</w:t>
            </w:r>
            <w:r w:rsidRPr="00201F1A">
              <w:rPr>
                <w:rFonts w:eastAsia="Times New Roman" w:hint="eastAsia"/>
                <w:sz w:val="18"/>
                <w:szCs w:val="18"/>
                <w:lang w:val="en-US" w:eastAsia="en-GB"/>
              </w:rPr>
              <w:t xml:space="preserve"> </w:t>
            </w:r>
            <w:r w:rsidRPr="00201F1A">
              <w:rPr>
                <w:rFonts w:eastAsia="Times New Roman"/>
                <w:sz w:val="18"/>
                <w:szCs w:val="18"/>
                <w:lang w:val="en-US" w:eastAsia="en-GB"/>
              </w:rPr>
              <w:t xml:space="preserve">for asthma (ukb-b-18113) and OA (ukb-b-14486), encompassing 462,933 participants with case numbers of 53,598 and 38,472 respectively. These datasets were methodically compiled, combining self-reported information with physician diagnosis codes to ensure accuracy and reliability. The UK Biobank's large sample size and detailed clinical data make it an ideal choice for genetic and epidemiological studies, particularly for exploring complex genetic relationships between common diseases. The diverse cohort and rigorous data collection processes significantly enhance the robustness and precision of our </w:t>
            </w:r>
            <w:r w:rsidRPr="00201F1A">
              <w:rPr>
                <w:rFonts w:eastAsia="Times New Roman" w:hint="eastAsia"/>
                <w:sz w:val="18"/>
                <w:szCs w:val="18"/>
                <w:lang w:val="en-US" w:eastAsia="en-GB"/>
              </w:rPr>
              <w:t>MR</w:t>
            </w:r>
            <w:r w:rsidRPr="00201F1A">
              <w:rPr>
                <w:rFonts w:eastAsia="Times New Roman"/>
                <w:sz w:val="18"/>
                <w:szCs w:val="18"/>
                <w:lang w:val="en-US" w:eastAsia="en-GB"/>
              </w:rPr>
              <w:t xml:space="preserve"> analyses</w:t>
            </w:r>
            <w:r w:rsidRPr="00201F1A">
              <w:rPr>
                <w:rFonts w:eastAsia="Times New Roman"/>
                <w:sz w:val="18"/>
                <w:szCs w:val="18"/>
                <w:lang w:val="en-US" w:eastAsia="en-GB"/>
              </w:rPr>
              <w:fldChar w:fldCharType="begin"/>
            </w:r>
            <w:r w:rsidRPr="00201F1A">
              <w:rPr>
                <w:rFonts w:eastAsia="Times New Roman"/>
                <w:sz w:val="18"/>
                <w:szCs w:val="18"/>
                <w:lang w:val="en-US" w:eastAsia="en-GB"/>
              </w:rPr>
              <w:instrText xml:space="preserve"> ADDIN ZOTERO_ITEM CSL_CITATION {"citationID":"g3weZ8Rg","properties":{"formattedCitation":"[37]","plainCitation":"[37]","noteIndex":0},"citationItems":[{"id":1826,"uris":["http://zotero.org/users/11893546/items/QZ9KD86W"],"itemData":{"id":1826,"type":"article-journal","container-title":"PLoS MEDICINE","DOI":"10.1371/journal.pmed.1001779","ISSN":"1549-1277, 1549-1676","issue":"3","journalAbbreviation":"PLos Med.","language":"English","note":"number-of-pages: 10\npublisher-place: San Francisco\npublisher: Public Library Science\nWeb of Science ID: WOS:000352096300001","page":"e1001779","source":"Clarivate Analytics Web of Science","title":"UK Biobank: An Open Access Resource for Identifying the Causes of a Wide Range of Complex Diseases of Middle and Old Age","title-short":"UK Biobank","volume":"12","author":[{"family":"Sudlow","given":"Cathie"},{"family":"Gallacher","given":"John"},{"family":"Allen","given":"Naomi"},{"family":"Beral","given":"Valerie"},{"family":"Burton","given":"Paul"},{"family":"Danesh","given":"John"},{"family":"Downey","given":"Paul"},{"family":"Elliott","given":"Paul"},{"family":"Green","given":"Jane"},{"family":"Landray","given":"Martin"},{"family":"Liu","given":"Bette"},{"family":"Matthews","given":"Paul"},{"family":"Ong","given":"Giok"},{"family":"Pell","given":"Jill"},{"family":"Silman","given":"Alan"},{"family":"Young","given":"Alan"},{"family":"Sprosen","given":"Tim"},{"family":"Peakman","given":"Tim"},{"family":"Collins","given":"Rory"}],"issued":{"date-parts":[["2015",3]]}}}],"schema":"https://github.com/citation-style-language/schema/raw/master/csl-citation.json"} </w:instrText>
            </w:r>
            <w:r w:rsidRPr="00201F1A">
              <w:rPr>
                <w:rFonts w:eastAsia="Times New Roman"/>
                <w:sz w:val="18"/>
                <w:szCs w:val="18"/>
                <w:lang w:val="en-US" w:eastAsia="en-GB"/>
              </w:rPr>
              <w:fldChar w:fldCharType="separate"/>
            </w:r>
            <w:r w:rsidRPr="00201F1A">
              <w:rPr>
                <w:rFonts w:eastAsia="Times New Roman"/>
                <w:sz w:val="18"/>
                <w:szCs w:val="18"/>
                <w:lang w:val="en-US" w:eastAsia="en-GB"/>
              </w:rPr>
              <w:t>[37]</w:t>
            </w:r>
            <w:r w:rsidRPr="00201F1A">
              <w:rPr>
                <w:rFonts w:eastAsia="Times New Roman"/>
                <w:sz w:val="18"/>
                <w:szCs w:val="18"/>
                <w:lang w:val="en-US" w:eastAsia="en-GB"/>
              </w:rPr>
              <w:fldChar w:fldCharType="end"/>
            </w:r>
            <w:r w:rsidRPr="00201F1A">
              <w:rPr>
                <w:rFonts w:eastAsia="Times New Roman"/>
                <w:sz w:val="18"/>
                <w:szCs w:val="18"/>
                <w:lang w:val="en-US" w:eastAsia="en-GB"/>
              </w:rPr>
              <w:t xml:space="preserve">. </w:t>
            </w:r>
            <w:bookmarkStart w:id="14" w:name="_Hlk157767334"/>
          </w:p>
          <w:p w14:paraId="7EC02ECF" w14:textId="77777777" w:rsidR="00201F1A" w:rsidRPr="00201F1A" w:rsidRDefault="00201F1A" w:rsidP="00201F1A">
            <w:pPr>
              <w:spacing w:beforeLines="40" w:before="96" w:afterLines="40" w:after="96" w:line="24" w:lineRule="atLeast"/>
              <w:rPr>
                <w:rFonts w:eastAsia="Times New Roman"/>
                <w:sz w:val="18"/>
                <w:szCs w:val="18"/>
                <w:lang w:val="en-US" w:eastAsia="en-GB"/>
              </w:rPr>
            </w:pPr>
            <w:bookmarkStart w:id="15" w:name="_Hlk157176738"/>
            <w:bookmarkEnd w:id="14"/>
            <w:r w:rsidRPr="00201F1A">
              <w:rPr>
                <w:rFonts w:eastAsia="Times New Roman"/>
                <w:sz w:val="18"/>
                <w:szCs w:val="18"/>
                <w:lang w:val="en-US" w:eastAsia="en-GB"/>
              </w:rPr>
              <w:t xml:space="preserve">Expanding our analysis to include KOA (ebi-a-GCST007090) and HOA (ebi-a-GCST007091), we utilized data from a robust meta-analysis that incorporated data from both the UK Biobank and the Arthritis Research UK Osteoarthritis Genetics (arcOGEN). This analysis examined a large cohort of European descent, derived from the European Bioinformatics Institute (EBI). These datasets included 403,124 individuals with 24,955 cases of KOA and 393,873 individuals with 15,704 cases of HOA, providing a comprehensive genetic exploration of these OA subtypes </w:t>
            </w:r>
            <w:r w:rsidRPr="00201F1A">
              <w:rPr>
                <w:rFonts w:eastAsia="Times New Roman"/>
                <w:sz w:val="18"/>
                <w:szCs w:val="18"/>
                <w:lang w:val="en-US" w:eastAsia="en-GB"/>
              </w:rPr>
              <w:fldChar w:fldCharType="begin"/>
            </w:r>
            <w:r w:rsidRPr="00201F1A">
              <w:rPr>
                <w:rFonts w:eastAsia="Times New Roman"/>
                <w:sz w:val="18"/>
                <w:szCs w:val="18"/>
                <w:lang w:val="en-US" w:eastAsia="en-GB"/>
              </w:rPr>
              <w:instrText xml:space="preserve"> ADDIN ZOTERO_ITEM CSL_CITATION {"citationID":"rOVvOXc7","properties":{"formattedCitation":"[38]","plainCitation":"[38]","noteIndex":0},"citationItems":[{"id":1223,"uris":["http://zotero.org/users/11893546/items/95DMT4V5"],"itemData":{"id":1223,"type":"article-journal","abstract":"Osteoarthritis is the most common musculoskeletal disease and the leading cause of disability globally. Here, we perform a genome-wide association study for osteoarthritis (77,052 cases and 378,169 controls), analysing 4 phenotypes: knee osteoarthritis, hip osteoarthritis, knee and/or hip osteoarthritis, and any osteoarthritis. We discover 64 signals, 52 of them novel, more than doubling the number of established disease loci. Six signals fine map to a single variant. We identify putative effector genes by integrating eQTL colocalization, fine-mapping, human rare disease, animal model, and osteoarthritis tissue expression data. We find enrichment for genes underlying monogenic forms of bone development diseases, and for the collagen formation and extracellular matrix organisation biological pathways. Ten of the likely effector genes, including TGFB1, FGF18, CTSK and IL11 have therapeutics approved or in clinical trials, with mechanisms of action supportive of evaluation for efficacy in osteoarthritis.","container-title":"Nature genetics","DOI":"10.1038/s41588-018-0327-1","ISSN":"1061-4036","issue":"2","journalAbbreviation":"Nat Genet","note":"PMID: 30664745\nPMCID: PMC6400267","page":"230-236","source":"PubMed Central","title":"Identification of new therapeutic targets for osteoarthritis through genome-wide analyses of UK Biobank","volume":"51","author":[{"family":"Tachmazidou","given":"Ioanna"},{"family":"Hatzikotoulas","given":"Konstantinos"},{"family":"Southam","given":"Lorraine"},{"family":"Esparza-Gordillo","given":"Jorge"},{"family":"Haberland","given":"Valeriia"},{"family":"Zheng","given":"Jie"},{"family":"Johnson","given":"Toby"},{"family":"Koprulu","given":"Mine"},{"family":"Zengini","given":"Eleni"},{"family":"Steinberg","given":"Julia"},{"family":"Wilkinson","given":"Jeremy M"},{"family":"Bhatnagar","given":"Sahir"},{"family":"Hoffman","given":"Joshua D"},{"family":"Buchan","given":"Natalie"},{"family":"Süveges","given":"Dániel"},{"family":"Yerges-Armstrong","given":"Laura"},{"family":"Smith","given":"George Davey"},{"family":"Gaunt","given":"Tom R"},{"family":"Scott","given":"Robert A"},{"family":"McCarthy","given":"Linda C"},{"family":"Zeggini","given":"Eleftheria"}],"issued":{"date-parts":[["2019",2]]}}}],"schema":"https://github.com/citation-style-language/schema/raw/master/csl-citation.json"} </w:instrText>
            </w:r>
            <w:r w:rsidRPr="00201F1A">
              <w:rPr>
                <w:rFonts w:eastAsia="Times New Roman"/>
                <w:sz w:val="18"/>
                <w:szCs w:val="18"/>
                <w:lang w:val="en-US" w:eastAsia="en-GB"/>
              </w:rPr>
              <w:fldChar w:fldCharType="separate"/>
            </w:r>
            <w:r w:rsidRPr="00201F1A">
              <w:rPr>
                <w:rFonts w:eastAsia="Times New Roman"/>
                <w:sz w:val="18"/>
                <w:szCs w:val="18"/>
                <w:lang w:val="en-US" w:eastAsia="en-GB"/>
              </w:rPr>
              <w:t>[38]</w:t>
            </w:r>
            <w:r w:rsidRPr="00201F1A">
              <w:rPr>
                <w:rFonts w:eastAsia="Times New Roman"/>
                <w:sz w:val="18"/>
                <w:szCs w:val="18"/>
                <w:lang w:val="en-US" w:eastAsia="en-GB"/>
              </w:rPr>
              <w:fldChar w:fldCharType="end"/>
            </w:r>
            <w:r w:rsidRPr="00201F1A">
              <w:rPr>
                <w:rFonts w:eastAsia="Times New Roman"/>
                <w:sz w:val="18"/>
                <w:szCs w:val="18"/>
                <w:lang w:val="en-US" w:eastAsia="en-GB"/>
              </w:rPr>
              <w:t xml:space="preserve">. The inclusion of arcOGEN data, which focuses specifically on </w:t>
            </w:r>
            <w:r w:rsidRPr="00201F1A">
              <w:rPr>
                <w:rFonts w:eastAsia="Times New Roman" w:hint="eastAsia"/>
                <w:sz w:val="18"/>
                <w:szCs w:val="18"/>
                <w:lang w:val="en-US" w:eastAsia="en-GB"/>
              </w:rPr>
              <w:t>OA</w:t>
            </w:r>
            <w:r w:rsidRPr="00201F1A">
              <w:rPr>
                <w:rFonts w:eastAsia="Times New Roman"/>
                <w:sz w:val="18"/>
                <w:szCs w:val="18"/>
                <w:lang w:val="en-US" w:eastAsia="en-GB"/>
              </w:rPr>
              <w:t>, enhances our ability to examine genetic variations with greater specificity, thereby improving our understanding of the genetic basis of KOA and HOA and their interactions with other conditions.</w:t>
            </w:r>
          </w:p>
          <w:p w14:paraId="2DD0A8AC" w14:textId="77777777" w:rsidR="00201F1A" w:rsidRPr="00201F1A" w:rsidRDefault="00201F1A" w:rsidP="00201F1A">
            <w:pPr>
              <w:spacing w:beforeLines="40" w:before="96" w:afterLines="40" w:after="96" w:line="24" w:lineRule="atLeast"/>
              <w:rPr>
                <w:rFonts w:eastAsia="Times New Roman"/>
                <w:sz w:val="18"/>
                <w:szCs w:val="18"/>
                <w:lang w:val="en-US" w:eastAsia="en-GB"/>
              </w:rPr>
            </w:pPr>
            <w:r w:rsidRPr="00201F1A">
              <w:rPr>
                <w:rFonts w:eastAsia="Times New Roman"/>
                <w:sz w:val="18"/>
                <w:szCs w:val="18"/>
                <w:lang w:val="en-US" w:eastAsia="en-GB"/>
              </w:rPr>
              <w:t xml:space="preserve">Additionally, sourcing from the EBI, we employed a multi-trait GWAS dataset (ebi-a-GCST90000514) for the GERD component of our study, which included an extensive sample of 602,604 individuals, with 129,080 cases of GERD. This dataset was instrumental in uncovering the intricate genetic relationships </w:t>
            </w:r>
            <w:r w:rsidRPr="00201F1A">
              <w:rPr>
                <w:rFonts w:eastAsia="Times New Roman"/>
                <w:sz w:val="18"/>
                <w:szCs w:val="18"/>
                <w:lang w:val="en-US" w:eastAsia="en-GB"/>
              </w:rPr>
              <w:lastRenderedPageBreak/>
              <w:t>underpinning GERD, augmented by the integration of data from diverse sources</w:t>
            </w:r>
            <w:r w:rsidRPr="00201F1A">
              <w:rPr>
                <w:rFonts w:eastAsia="Times New Roman"/>
                <w:sz w:val="18"/>
                <w:szCs w:val="18"/>
                <w:lang w:val="en-US" w:eastAsia="en-GB"/>
              </w:rPr>
              <w:fldChar w:fldCharType="begin"/>
            </w:r>
            <w:r w:rsidRPr="00201F1A">
              <w:rPr>
                <w:rFonts w:eastAsia="Times New Roman"/>
                <w:sz w:val="18"/>
                <w:szCs w:val="18"/>
                <w:lang w:val="en-US" w:eastAsia="en-GB"/>
              </w:rPr>
              <w:instrText xml:space="preserve"> ADDIN ZOTERO_ITEM CSL_CITATION {"citationID":"lDFVsdv4","properties":{"formattedCitation":"[39]","plainCitation":"[39]","noteIndex":0},"citationItems":[{"id":1228,"uris":["http://zotero.org/users/11893546/items/36BW8VLB"],"itemData":{"id":1228,"type":"article-journal","abstract":"Objective Gastro-oesophageal reflux disease (GERD) has heterogeneous aetiology primarily attributable to its symptom-based definitions. GERD genome-wide association studies (GWASs) have shown strong genetic overlaps with established risk factors such as obesity and depression. We hypothesised that the shared genetic architecture between GERD and these risk factors can be leveraged to (1) identify new GERD and Barrett’s oesophagus (BE) risk loci and (2) explore potentially heterogeneous pathways leading to GERD and oesophageal complications.\nDesign We applied multitrait GWAS models combining GERD (78 707 cases; 288 734 controls) and genetically correlated traits including education attainment, depression and body mass index. We also used multitrait analysis to identify BE risk loci. Top hits were replicated in 23andMe (462 753 GERD cases, 24 099 BE cases, 1 484 025 controls). We additionally dissected the GERD loci into obesity-driven and depression-driven subgroups. These subgroups were investigated to determine how they relate to tissue-specific gene expression and to risk of serious oesophageal disease (BE and/or oesophageal adenocarcinoma, EA).\nResults We identified 88 loci associated with GERD, with 59 replicating in 23andMe after multiple testing corrections. Our BE analysis identified seven novel loci. Additionally we showed that only the obesity-driven GERD loci (but not the depression-driven loci) were associated with genes enriched in oesophageal tissues and successfully predicted BE/EA.\nConclusion Our multitrait model identified many novel risk loci for GERD and BE. We present strong evidence for a genetic underpinning of disease heterogeneity in GERD and show that GERD loci associated with depressive symptoms are not strong predictors of BE/EA relative to obesity-driven GERD loci.","container-title":"Gut","DOI":"10.1136/gutjnl-2020-323906","ISSN":"0017-5749, 1468-3288","issue":"6","language":"en","license":"© Author(s) (or their employer(s)) 2022. Re-use permitted under CC BY-NC. No commercial re-use. See rights and permissions. Published by BMJ.. http://creativecommons.org/licenses/by-nc/4.0/This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appropriate credit is given, any changes made indicated, and the use is non-commercial. See: http://creativecommons.org/licenses/by-nc/4.0/.","note":"publisher: BMJ Publishing Group\nsection: Oesophagus\nPMID: 34187846","page":"1053-1061","source":"gut.bmj.com","title":"Multitrait genetic association analysis identifies 50 new risk loci for gastro-oesophageal reflux, seven new loci for Barrett’s oesophagus and provides insights into clinical heterogeneity in reflux diagnosis","volume":"71","author":[{"family":"Ong","given":"Jue-Sheng"},{"family":"An","given":"Jiyuan"},{"family":"Han","given":"Xikun"},{"family":"Law","given":"Matthew H."},{"family":"Nandakumar","given":"Priyanka"},{"family":"Team","given":"23andMe Research"},{"family":"Consortium","given":"Esophageal","dropping-particle":"cancer"},{"family":"Schumacher","given":"Johannes"},{"family":"Gockel","given":"Ines"},{"family":"Bohmer","given":"Anne"},{"family":"Jankowski","given":"Janusz"},{"family":"Palles","given":"Claire"},{"family":"Olsen","given":"Catherine M."},{"family":"Neale","given":"Rachel E."},{"family":"Fitzgerald","given":"Rebecca"},{"family":"Thrift","given":"Aaron P."},{"family":"Vaughan","given":"Thomas L."},{"family":"Buas","given":"Matthew F."},{"family":"Hinds","given":"David A."},{"family":"Gharahkhani","given":"Puya"},{"family":"Kendall","given":"Bradley J."},{"family":"MacGregor","given":"Stuart"}],"issued":{"date-parts":[["2022",6,1]]}}}],"schema":"https://github.com/citation-style-language/schema/raw/master/csl-citation.json"} </w:instrText>
            </w:r>
            <w:r w:rsidRPr="00201F1A">
              <w:rPr>
                <w:rFonts w:eastAsia="Times New Roman"/>
                <w:sz w:val="18"/>
                <w:szCs w:val="18"/>
                <w:lang w:val="en-US" w:eastAsia="en-GB"/>
              </w:rPr>
              <w:fldChar w:fldCharType="separate"/>
            </w:r>
            <w:r w:rsidRPr="00201F1A">
              <w:rPr>
                <w:rFonts w:eastAsia="Times New Roman"/>
                <w:sz w:val="18"/>
                <w:szCs w:val="18"/>
                <w:lang w:val="en-US" w:eastAsia="en-GB"/>
              </w:rPr>
              <w:t>[39]</w:t>
            </w:r>
            <w:r w:rsidRPr="00201F1A">
              <w:rPr>
                <w:rFonts w:eastAsia="Times New Roman"/>
                <w:sz w:val="18"/>
                <w:szCs w:val="18"/>
                <w:lang w:val="en-US" w:eastAsia="en-GB"/>
              </w:rPr>
              <w:fldChar w:fldCharType="end"/>
            </w:r>
            <w:r w:rsidRPr="00201F1A">
              <w:rPr>
                <w:rFonts w:eastAsia="Times New Roman"/>
                <w:sz w:val="18"/>
                <w:szCs w:val="18"/>
                <w:lang w:val="en-US" w:eastAsia="en-GB"/>
              </w:rPr>
              <w:t>.</w:t>
            </w:r>
            <w:bookmarkEnd w:id="12"/>
            <w:bookmarkEnd w:id="15"/>
            <w:r w:rsidRPr="00201F1A">
              <w:rPr>
                <w:rFonts w:eastAsia="Times New Roman"/>
                <w:sz w:val="18"/>
                <w:szCs w:val="18"/>
                <w:lang w:val="en-US" w:eastAsia="en-GB"/>
              </w:rPr>
              <w:t xml:space="preserve"> This dataset is particularly valuable for uncovering the intricate genetic relationships underpinning GERD and enhances the statistical power of our analyses, enabling the exploration of genetic interactions between GERD and other chronic conditions.</w:t>
            </w:r>
          </w:p>
          <w:p w14:paraId="38E3907F" w14:textId="77777777" w:rsidR="00201F1A" w:rsidRPr="00201F1A" w:rsidRDefault="00201F1A" w:rsidP="00201F1A">
            <w:pPr>
              <w:spacing w:beforeLines="40" w:before="96" w:afterLines="40" w:after="96" w:line="24" w:lineRule="atLeast"/>
              <w:rPr>
                <w:rFonts w:eastAsia="Times New Roman"/>
                <w:sz w:val="18"/>
                <w:szCs w:val="18"/>
                <w:lang w:val="en-US" w:eastAsia="en-GB"/>
              </w:rPr>
            </w:pPr>
            <w:r w:rsidRPr="00201F1A">
              <w:rPr>
                <w:rFonts w:eastAsia="Times New Roman"/>
                <w:sz w:val="18"/>
                <w:szCs w:val="18"/>
                <w:lang w:val="en-US" w:eastAsia="en-GB"/>
              </w:rPr>
              <w:t xml:space="preserve">By leveraging these meticulously selected and highly comprehensive datasets, our study is uniquely positioned to elucidate the complex genetic links between asthma, </w:t>
            </w:r>
            <w:r w:rsidRPr="00201F1A">
              <w:rPr>
                <w:rFonts w:eastAsia="Times New Roman" w:hint="eastAsia"/>
                <w:sz w:val="18"/>
                <w:szCs w:val="18"/>
                <w:lang w:val="en-US" w:eastAsia="en-GB"/>
              </w:rPr>
              <w:t>OA</w:t>
            </w:r>
            <w:r w:rsidRPr="00201F1A">
              <w:rPr>
                <w:rFonts w:eastAsia="Times New Roman"/>
                <w:sz w:val="18"/>
                <w:szCs w:val="18"/>
                <w:lang w:val="en-US" w:eastAsia="en-GB"/>
              </w:rPr>
              <w:t xml:space="preserve">, and </w:t>
            </w:r>
            <w:r w:rsidRPr="00201F1A">
              <w:rPr>
                <w:rFonts w:eastAsia="Times New Roman" w:hint="eastAsia"/>
                <w:sz w:val="18"/>
                <w:szCs w:val="18"/>
                <w:lang w:val="en-US" w:eastAsia="en-GB"/>
              </w:rPr>
              <w:t>GERD</w:t>
            </w:r>
            <w:r w:rsidRPr="00201F1A">
              <w:rPr>
                <w:rFonts w:eastAsia="Times New Roman"/>
                <w:sz w:val="18"/>
                <w:szCs w:val="18"/>
                <w:lang w:val="en-US" w:eastAsia="en-GB"/>
              </w:rPr>
              <w:t xml:space="preserve">. Each dataset's particular strengths in terms of scale, disease specificity, and data integrity play a crucial role in supporting the robustness and reliability of our findings, as detailed in Supplementary Tables 1-6. </w:t>
            </w:r>
            <w:r w:rsidRPr="00201F1A">
              <w:rPr>
                <w:rFonts w:eastAsia="Times New Roman" w:hint="eastAsia"/>
                <w:sz w:val="18"/>
                <w:szCs w:val="18"/>
                <w:lang w:val="en-US" w:eastAsia="en-GB"/>
              </w:rPr>
              <w:t>M</w:t>
            </w:r>
            <w:r w:rsidRPr="00201F1A">
              <w:rPr>
                <w:rFonts w:eastAsia="Times New Roman"/>
                <w:sz w:val="18"/>
                <w:szCs w:val="18"/>
                <w:lang w:val="en-US" w:eastAsia="en-GB"/>
              </w:rPr>
              <w:t>issing data were handled using standard GWAS protocols, which automatically exclude genetic variants and individuals with significant missing information.</w:t>
            </w:r>
          </w:p>
          <w:bookmarkEnd w:id="13"/>
          <w:p w14:paraId="37C3B4C3" w14:textId="6C5DD0A5" w:rsidR="00D8098C" w:rsidRPr="00201F1A" w:rsidRDefault="00D8098C" w:rsidP="00795EC6">
            <w:pPr>
              <w:spacing w:beforeLines="40" w:before="96" w:afterLines="40" w:after="96" w:line="24" w:lineRule="atLeast"/>
              <w:rPr>
                <w:rFonts w:eastAsia="Times New Roman"/>
                <w:sz w:val="18"/>
                <w:szCs w:val="18"/>
                <w:lang w:val="en-US" w:eastAsia="en-GB"/>
              </w:rPr>
            </w:pPr>
          </w:p>
        </w:tc>
      </w:tr>
      <w:tr w:rsidR="00D8098C" w:rsidRPr="00B853C6" w14:paraId="04B065C7" w14:textId="72F11B68" w:rsidTr="00795EC6">
        <w:tc>
          <w:tcPr>
            <w:tcW w:w="587" w:type="dxa"/>
            <w:shd w:val="clear" w:color="auto" w:fill="EEEEEE"/>
          </w:tcPr>
          <w:p w14:paraId="09448E2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shd w:val="clear" w:color="auto" w:fill="EEEEEE"/>
          </w:tcPr>
          <w:p w14:paraId="260DD29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6491" w:type="dxa"/>
            <w:shd w:val="clear" w:color="auto" w:fill="EEEEEE"/>
          </w:tcPr>
          <w:p w14:paraId="7B54F10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measurement, quality control and selection of genetic variants</w:t>
            </w:r>
          </w:p>
        </w:tc>
        <w:tc>
          <w:tcPr>
            <w:tcW w:w="1397" w:type="dxa"/>
            <w:shd w:val="clear" w:color="auto" w:fill="EEEEEE"/>
          </w:tcPr>
          <w:p w14:paraId="2CDB28F5" w14:textId="08B14098" w:rsidR="00D8098C" w:rsidRPr="008E4595" w:rsidRDefault="008E4595"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8-9</w:t>
            </w:r>
          </w:p>
        </w:tc>
        <w:tc>
          <w:tcPr>
            <w:tcW w:w="4205" w:type="dxa"/>
            <w:shd w:val="clear" w:color="auto" w:fill="EEEEEE"/>
          </w:tcPr>
          <w:p w14:paraId="26B556E6" w14:textId="6AB9B616" w:rsidR="00D8098C" w:rsidRPr="00795EC6" w:rsidRDefault="008E4595" w:rsidP="00426603">
            <w:pPr>
              <w:spacing w:beforeLines="40" w:before="96" w:afterLines="40" w:after="96" w:line="24" w:lineRule="atLeast"/>
              <w:rPr>
                <w:rFonts w:eastAsia="Times New Roman"/>
                <w:sz w:val="18"/>
                <w:szCs w:val="18"/>
                <w:lang w:val="en-US" w:eastAsia="en-GB"/>
              </w:rPr>
            </w:pPr>
            <w:r w:rsidRPr="008E4595">
              <w:rPr>
                <w:rFonts w:eastAsia="Times New Roman"/>
                <w:sz w:val="18"/>
                <w:szCs w:val="18"/>
                <w:lang w:val="en-US" w:eastAsia="en-GB"/>
              </w:rPr>
              <w:t>The selection of genetic IVs involved the following steps: Firstly, significant genome-wide SNPs were rigorously screened with a p &lt; 5 × 10-8 threshold. The threshold range was relaxed to p &lt; 5 × 10-6</w:t>
            </w:r>
            <w:r w:rsidRPr="008E4595">
              <w:rPr>
                <w:rFonts w:eastAsia="Times New Roman" w:hint="eastAsia"/>
                <w:sz w:val="18"/>
                <w:szCs w:val="18"/>
                <w:lang w:val="en-US" w:eastAsia="en-GB"/>
              </w:rPr>
              <w:t>,</w:t>
            </w:r>
            <w:r w:rsidRPr="008E4595">
              <w:rPr>
                <w:rFonts w:eastAsia="Times New Roman"/>
                <w:sz w:val="18"/>
                <w:szCs w:val="18"/>
                <w:lang w:val="en-US" w:eastAsia="en-GB"/>
              </w:rPr>
              <w:t xml:space="preserve"> a practice supported by previous MR studies when the number of eligible SNPs is limited</w:t>
            </w:r>
            <w:r w:rsidRPr="008E4595">
              <w:rPr>
                <w:rFonts w:eastAsia="Times New Roman"/>
                <w:sz w:val="18"/>
                <w:szCs w:val="18"/>
                <w:lang w:val="en-US" w:eastAsia="en-GB"/>
              </w:rPr>
              <w:fldChar w:fldCharType="begin"/>
            </w:r>
            <w:r w:rsidRPr="008E4595">
              <w:rPr>
                <w:rFonts w:eastAsia="Times New Roman"/>
                <w:sz w:val="18"/>
                <w:szCs w:val="18"/>
                <w:lang w:val="en-US" w:eastAsia="en-GB"/>
              </w:rPr>
              <w:instrText xml:space="preserve"> ADDIN ZOTERO_ITEM CSL_CITATION {"citationID":"SEpc4nEk","properties":{"formattedCitation":"[40]","plainCitation":"[40]","noteIndex":0},"citationItems":[{"id":"ga4GnxTX/lV1UomP0","uris":["http://zotero.org/users/local/k7mguTBH/items/FQEELLZN"],"itemData":{"id":3357,"type":"article-journal","abstract":"Background\nConsiderable uncertainty exists as to whether lowering low-density lipoprotein cholesterol (LDL-C) by inhibiting the Niemann-Pick C1-Like 1 (NPC1L1) receptor with ezetimibe, either alone or in combination with a 3-hydroxy-3-methylglutaryl-coenzyme A reductase (HMGCR) inhibitor (statin), will reduce the risk of coronary heart disease (CHD).\nObjectives\nThis study evaluated the effect of naturally random allocation to lower LDL-C mediated by polymorphisms in the NPC1L1 gene (target of ezetimibe), the HMGCR gene (target of statins), or both (target of combination therapy) on the risk of CHD.\nMethods\nWe constructed NPC1L1 and HMGCR genetic LDL-C scores to naturally randomize participants into 4 groups: reference, lower LDL-C mediated by NPC1L1 polymorphisms, lower LDL-C mediated by HMGCR polymorphisms, or lower LDL-C mediated by polymorphisms in both NPC1L1 and HMGCR. We compared the risk of CHD (fatal or nonfatal myocardial infarction) among each group using a 2 × 2 factorial mendelian randomization study design.\nResults\nA total of 108,376 persons (10,464 CHD events) from 14 studies were included. There were no significant differences in baseline characteristics among the 4 groups, thus confirming that allocation was random. Compared to the reference group, the NPC1L1 group had 2.4 mg/dl lower LDL-C and 4.8% lower risk of CHD (odds ratio [OR]: 0.952, 95% confidence interval [CI]: 0.920 to 0.985); whereas the HMGCR group had 2.9 mg/dl lower LDL-C and a similar 5.3% lower risk of CHD (OR: 0.947, 95% CI: 0.909 to 0.986). The group with lower LDL-C mediated by both NPC1L1 and HMGCR polymorphisms had 5.8 mg/dl additively lower LDL-C and a 10.8% log-linearly additive lower risk of CHD (OR: 0.892, 95% CI: 0.854 to 0.932).\nConclusions\nThe effect of lower LDL-C on the risk of CHD mediated by polymorphisms in NPC1L1, HMGCR, or both is approximately the same per unit lower LDL-C and log-linearly proportional to the absolute exposure to lower LDL-C.","container-title":"Journal of the American College of Cardiology","DOI":"10.1016/j.jacc.2015.02.020","ISSN":"0735-1097","issue":"15","journalAbbreviation":"Journal of the American College of Cardiology","language":"en","page":"1552-1561","source":"ScienceDirect","title":"Effect of Naturally Random Allocation to Lower Low-Density Lipoprotein Cholesterol on the Risk of Coronary Heart Disease Mediated by Polymorphisms in NPC1L1, HMGCR, or Both: A 2 × 2 Factorial Mendelian Randomization Study","title-short":"Effect of Naturally Random Allocation to Lower Low-Density Lipoprotein Cholesterol on the Risk of Coronary Heart Disease Mediated by Polymorphisms in NPC1L1, HMGCR, or Both","volume":"65","author":[{"family":"Ference","given":"Brian A."},{"family":"Majeed","given":"Faisal"},{"family":"Penumetcha","given":"Raju"},{"family":"Flack","given":"John M."},{"family":"Brook","given":"Robert D."}],"issued":{"date-parts":[["2015",4,21]]}}}],"schema":"https://github.com/citation-style-language/schema/raw/master/csl-citation.json"} </w:instrText>
            </w:r>
            <w:r w:rsidRPr="008E4595">
              <w:rPr>
                <w:rFonts w:eastAsia="Times New Roman"/>
                <w:sz w:val="18"/>
                <w:szCs w:val="18"/>
                <w:lang w:val="en-US" w:eastAsia="en-GB"/>
              </w:rPr>
              <w:fldChar w:fldCharType="separate"/>
            </w:r>
            <w:r w:rsidRPr="008E4595">
              <w:rPr>
                <w:rFonts w:eastAsia="Times New Roman"/>
                <w:sz w:val="18"/>
                <w:szCs w:val="18"/>
                <w:lang w:val="en-US" w:eastAsia="en-GB"/>
              </w:rPr>
              <w:t>[40]</w:t>
            </w:r>
            <w:r w:rsidRPr="008E4595">
              <w:rPr>
                <w:rFonts w:eastAsia="Times New Roman"/>
                <w:sz w:val="18"/>
                <w:szCs w:val="18"/>
                <w:lang w:val="en-US" w:eastAsia="en-GB"/>
              </w:rPr>
              <w:fldChar w:fldCharType="end"/>
            </w:r>
            <w:r w:rsidRPr="008E4595">
              <w:rPr>
                <w:rFonts w:eastAsia="Times New Roman"/>
                <w:sz w:val="18"/>
                <w:szCs w:val="18"/>
                <w:lang w:val="en-US" w:eastAsia="en-GB"/>
              </w:rPr>
              <w:t>. Secondly, the linkage disequilibrium (LD) was clustered with r2 = 0.001 and kb = 10,000 to achieve an accurate result and exclude SNPs in strong LD. R</w:t>
            </w:r>
            <w:r w:rsidRPr="008E4595">
              <w:rPr>
                <w:rFonts w:eastAsia="Times New Roman" w:hint="eastAsia"/>
                <w:sz w:val="18"/>
                <w:szCs w:val="18"/>
                <w:lang w:val="en-US" w:eastAsia="en-GB"/>
              </w:rPr>
              <w:t>²</w:t>
            </w:r>
            <w:r w:rsidRPr="008E4595">
              <w:rPr>
                <w:rFonts w:eastAsia="Times New Roman"/>
                <w:sz w:val="18"/>
                <w:szCs w:val="18"/>
                <w:lang w:val="en-US" w:eastAsia="en-GB"/>
              </w:rPr>
              <w:t xml:space="preserve"> is the total proportion of phenotypic variation explained by SNPs in the database, which is calculated by [2 × EAF × (1 − EAF) × beta2]/</w:t>
            </w:r>
            <w:r w:rsidRPr="008E4595">
              <w:rPr>
                <w:rFonts w:ascii="宋体" w:eastAsia="宋体" w:hAnsi="宋体" w:cs="宋体" w:hint="eastAsia"/>
                <w:sz w:val="18"/>
                <w:szCs w:val="18"/>
                <w:lang w:val="en-US" w:eastAsia="en-GB"/>
              </w:rPr>
              <w:t>（</w:t>
            </w:r>
            <w:r w:rsidRPr="008E4595">
              <w:rPr>
                <w:rFonts w:eastAsia="Times New Roman"/>
                <w:sz w:val="18"/>
                <w:szCs w:val="18"/>
                <w:lang w:val="en-US" w:eastAsia="en-GB"/>
              </w:rPr>
              <w:t>SE²× N</w:t>
            </w:r>
            <w:r w:rsidRPr="008E4595">
              <w:rPr>
                <w:rFonts w:ascii="宋体" w:eastAsia="宋体" w:hAnsi="宋体" w:cs="宋体" w:hint="eastAsia"/>
                <w:sz w:val="18"/>
                <w:szCs w:val="18"/>
                <w:lang w:val="en-US" w:eastAsia="en-GB"/>
              </w:rPr>
              <w:t>）</w:t>
            </w:r>
            <w:r w:rsidRPr="008E4595">
              <w:rPr>
                <w:rFonts w:eastAsia="Times New Roman"/>
                <w:sz w:val="18"/>
                <w:szCs w:val="18"/>
                <w:lang w:val="en-US" w:eastAsia="en-GB"/>
              </w:rPr>
              <w:fldChar w:fldCharType="begin"/>
            </w:r>
            <w:r w:rsidRPr="008E4595">
              <w:rPr>
                <w:rFonts w:eastAsia="Times New Roman"/>
                <w:sz w:val="18"/>
                <w:szCs w:val="18"/>
                <w:lang w:val="en-US" w:eastAsia="en-GB"/>
              </w:rPr>
              <w:instrText xml:space="preserve"> ADDIN ZOTERO_ITEM CSL_CITATION {"citationID":"58Yug5J7","properties":{"formattedCitation":"[41,42]","plainCitation":"[41,42]","noteIndex":0},"citationItems":[{"id":822,"uris":["http://zotero.org/users/11893546/items/6C44SX9F"],"itemData":{"id":822,"type":"article-journal","abstract":"Physical activity has been associated with lower risks of breast and colorectal cancer in epidemiological studies; however, it is unknown if these associations are causal or confounded. In two-sample Mendelian randomisation analyses, using summary genetic data from the UK Biobank and GWA consortia, we found that a one standard deviation increment in average acceleration was associated with lower risks of breast cancer (odds ratio [OR]: 0.51, 95% confidence interval [CI]: 0.27 to 0.98, P-value = 0.04) and colorectal cancer (OR: 0.66, 95% CI: 0.48 to 0.90, P-value = 0.01). We found similar magnitude inverse associations for estrogen positive (ER+ve) breast cancer and for colon cancer. Our results support a potentially causal relationship between higher physical activity levels and lower risks of breast cancer and colorectal cancer. Based on these data, the promotion of physical activity is probably an effective strategy in the primary prevention of these commonly diagnosed cancers., Physical activity has been linked to lower risks of colorectal and breast cancer. Here, the authors present a Mendelian randomisation analysis supporting a potentially causal relationship between higher physical activity levels and lower risks of breast cancer and colorectal cancer.","container-title":"Nature Communications","DOI":"10.1038/s41467-020-14389-8","ISSN":"2041-1723","journalAbbreviation":"Nat Commun","note":"PMID: 32001714\nPMCID: PMC6992637","page":"597","source":"PubMed Central","title":"Physical activity and risks of breast and colorectal cancer: a Mendelian randomisation analysis","title-short":"Physical activity and risks of breast and colorectal cancer","volume":"11","author":[{"family":"Papadimitriou","given":"Nikos"},{"family":"Dimou","given":"Niki"},{"family":"Tsilidis","given":"Konstantinos K."},{"family":"Banbury","given":"Barbara"},{"family":"Martin","given":"Richard M."},{"family":"Lewis","given":"Sarah J."},{"family":"Kazmi","given":"Nabila"},{"family":"Robinson","given":"Timothy M."},{"family":"Albanes","given":"Demetrius"},{"family":"Aleksandrova","given":"Krasimira"},{"family":"Berndt","given":"Sonja I."},{"family":"Timothy Bishop","given":"D."},{"family":"Brenner","given":"Hermann"},{"family":"Buchanan","given":"Daniel D."},{"family":"Bueno-de-Mesquita","given":"Bas"},{"family":"Campbell","given":"Peter T."},{"family":"Castellví-Bel","given":"Sergi"},{"family":"Chan","given":"Andrew T."},{"family":"Chang-Claude","given":"Jenny"},{"family":"Ellingjord-Dale","given":"Merete"},{"family":"Figueiredo","given":"Jane C."},{"family":"Gallinger","given":"Steven J."},{"family":"Giles","given":"Graham G."},{"family":"Giovannucci","given":"Edward"},{"family":"Gruber","given":"Stephen B."},{"family":"Gsur","given":"Andrea"},{"family":"Hampe","given":"Jochen"},{"family":"Hampel","given":"Heather"},{"family":"Harlid","given":"Sophia"},{"family":"Harrison","given":"Tabitha A."},{"family":"Hoffmeister","given":"Michael"},{"family":"Hopper","given":"John L."},{"family":"Hsu","given":"Li"},{"family":"María Huerta","given":"José"},{"family":"Huyghe","given":"Jeroen R."},{"family":"Jenkins","given":"Mark A."},{"family":"Keku","given":"Temitope O."},{"family":"Kühn","given":"Tilman"},{"family":"La Vecchia","given":"Carlo"},{"family":"Le Marchand","given":"Loic"},{"family":"Li","given":"Christopher I."},{"family":"Li","given":"Li"},{"family":"Lindblom","given":"Annika"},{"family":"Lindor","given":"Noralane M."},{"family":"Lynch","given":"Brigid"},{"family":"Markowitz","given":"Sanford D."},{"family":"Masala","given":"Giovanna"},{"family":"May","given":"Anne M."},{"family":"Milne","given":"Roger"},{"family":"Monninkhof","given":"Evelyn"},{"family":"Moreno","given":"Lorena"},{"family":"Moreno","given":"Victor"},{"family":"Newcomb","given":"Polly A."},{"family":"Offit","given":"Kenneth"},{"family":"Perduca","given":"Vittorio"},{"family":"Pharoah","given":"Paul D. P."},{"family":"Platz","given":"Elizabeth A."},{"family":"Potter","given":"John D."},{"family":"Rennert","given":"Gad"},{"family":"Riboli","given":"Elio"},{"family":"Sánchez","given":"Maria-Jose"},{"family":"Schmit","given":"Stephanie L."},{"family":"Schoen","given":"Robert E."},{"family":"Severi","given":"Gianluca"},{"family":"Sieri","given":"Sabina"},{"family":"Slattery","given":"Martha L."},{"family":"Song","given":"Mingyang"},{"family":"Tangen","given":"Catherine M."},{"family":"Thibodeau","given":"Stephen N."},{"family":"Travis","given":"Ruth C."},{"family":"Trichopoulou","given":"Antonia"},{"family":"Ulrich","given":"Cornelia M."},{"family":"Duijnhoven","given":"Franzel J. B.","non-dropping-particle":"van"},{"family":"Van Guelpen","given":"Bethany"},{"family":"Vodicka","given":"Pavel"},{"family":"White","given":"Emily"},{"family":"Wolk","given":"Alicja"},{"family":"Woods","given":"Michael O."},{"family":"Wu","given":"Anna H."},{"family":"Peters","given":"Ulrike"},{"family":"Gunter","given":"Marc J."},{"family":"Murphy","given":"Neil"}],"issued":{"date-parts":[["2020",1,30]]}}},{"id":825,"uris":["http://zotero.org/users/11893546/items/BSM6MNLL"],"itemData":{"id":825,"type":"article-journal","abstract":"Smoking is a well-established risk factor for bladder cancer. However, it remained unclear that whether smoke status and smoke frequency increase bladder cancer.","container-title":"Genes &amp; Genomics","DOI":"10.1007/s13258-022-01346-6","ISSN":"2092-9293","issue":"2","journalAbbreviation":"Genes Genom","language":"en","page":"203-213","source":"Springer Link","title":"Causal relationship between smoking status, smoking frequency and bladder cancer: a Mendelian randomization study","title-short":"Causal relationship between smoking status, smoking frequency and bladder cancer","volume":"45","author":[{"family":"Pang","given":"Lei"},{"family":"Ding","given":"Zijun"},{"family":"Chai","given":"Hongqiang"},{"family":"Li","given":"Fei"},{"family":"Wu","given":"Ming"},{"family":"Shuang","given":"Weibing"}],"issued":{"date-parts":[["2023",2,1]]}}}],"schema":"https://github.com/citation-style-language/schema/raw/master/csl-citation.json"} </w:instrText>
            </w:r>
            <w:r w:rsidRPr="008E4595">
              <w:rPr>
                <w:rFonts w:eastAsia="Times New Roman"/>
                <w:sz w:val="18"/>
                <w:szCs w:val="18"/>
                <w:lang w:val="en-US" w:eastAsia="en-GB"/>
              </w:rPr>
              <w:fldChar w:fldCharType="separate"/>
            </w:r>
            <w:r w:rsidRPr="008E4595">
              <w:rPr>
                <w:rFonts w:eastAsia="Times New Roman"/>
                <w:sz w:val="18"/>
                <w:szCs w:val="18"/>
                <w:lang w:val="en-US" w:eastAsia="en-GB"/>
              </w:rPr>
              <w:t>[41,42]</w:t>
            </w:r>
            <w:r w:rsidRPr="008E4595">
              <w:rPr>
                <w:rFonts w:eastAsia="Times New Roman"/>
                <w:sz w:val="18"/>
                <w:szCs w:val="18"/>
                <w:lang w:val="en-US" w:eastAsia="en-GB"/>
              </w:rPr>
              <w:fldChar w:fldCharType="end"/>
            </w:r>
            <w:r w:rsidRPr="008E4595">
              <w:rPr>
                <w:rFonts w:eastAsia="Times New Roman"/>
                <w:sz w:val="18"/>
                <w:szCs w:val="18"/>
                <w:lang w:val="en-US" w:eastAsia="en-GB"/>
              </w:rPr>
              <w:t>, where EAF represents the effect allele frequency, N is the sample size, beta is the allele effect value</w:t>
            </w:r>
            <w:r w:rsidRPr="008E4595">
              <w:rPr>
                <w:rFonts w:eastAsia="Times New Roman" w:hint="eastAsia"/>
                <w:sz w:val="18"/>
                <w:szCs w:val="18"/>
                <w:lang w:val="en-US" w:eastAsia="en-GB"/>
              </w:rPr>
              <w:t>.</w:t>
            </w:r>
            <w:r w:rsidRPr="008E4595">
              <w:rPr>
                <w:rFonts w:eastAsia="Times New Roman"/>
                <w:sz w:val="18"/>
                <w:szCs w:val="18"/>
                <w:lang w:val="en-US" w:eastAsia="en-GB"/>
              </w:rPr>
              <w:t xml:space="preserve"> </w:t>
            </w:r>
          </w:p>
        </w:tc>
      </w:tr>
      <w:tr w:rsidR="00D8098C" w:rsidRPr="00B853C6" w14:paraId="215DDE8E" w14:textId="5C8C984B" w:rsidTr="00795EC6">
        <w:tc>
          <w:tcPr>
            <w:tcW w:w="587" w:type="dxa"/>
            <w:shd w:val="clear" w:color="auto" w:fill="auto"/>
          </w:tcPr>
          <w:p w14:paraId="7E3D460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shd w:val="clear" w:color="auto" w:fill="auto"/>
          </w:tcPr>
          <w:p w14:paraId="0FB55AD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6491" w:type="dxa"/>
            <w:shd w:val="clear" w:color="auto" w:fill="auto"/>
          </w:tcPr>
          <w:p w14:paraId="3B6B6065"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1397" w:type="dxa"/>
          </w:tcPr>
          <w:p w14:paraId="37FB656C" w14:textId="18D7ED9E" w:rsidR="00D8098C" w:rsidRPr="00A1236D" w:rsidRDefault="008E4595" w:rsidP="00426603">
            <w:pPr>
              <w:spacing w:beforeLines="40" w:before="96" w:afterLines="40" w:after="96" w:line="24" w:lineRule="atLeast"/>
              <w:textAlignment w:val="baseline"/>
              <w:rPr>
                <w:rFonts w:eastAsia="Times New Roman"/>
                <w:sz w:val="18"/>
                <w:szCs w:val="18"/>
                <w:shd w:val="clear" w:color="auto" w:fill="FFFFFF"/>
                <w:lang w:val="en-GB" w:eastAsia="en-GB"/>
              </w:rPr>
            </w:pPr>
            <w:r w:rsidRPr="008E4595">
              <w:rPr>
                <w:rFonts w:eastAsia="Times New Roman" w:hint="eastAsia"/>
                <w:sz w:val="18"/>
                <w:szCs w:val="18"/>
                <w:shd w:val="clear" w:color="auto" w:fill="FFFFFF"/>
                <w:lang w:val="en-GB" w:eastAsia="en-GB"/>
              </w:rPr>
              <w:t>6-10</w:t>
            </w:r>
          </w:p>
        </w:tc>
        <w:tc>
          <w:tcPr>
            <w:tcW w:w="4205" w:type="dxa"/>
          </w:tcPr>
          <w:p w14:paraId="32D5338B" w14:textId="77777777" w:rsidR="008E4595" w:rsidRPr="00795EC6" w:rsidRDefault="008E4595" w:rsidP="00795EC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Assessment: Asthma cases were identified within the UK Biobank data, which typically uses a combination of self-reported medical diagnoses confirmed by physician diagnosis codes. This approach ensures that the cases captured in the study have been diagnosed based on clinical assessments by healthcare professionals.</w:t>
            </w:r>
          </w:p>
          <w:p w14:paraId="38272740" w14:textId="77777777" w:rsidR="008E4595" w:rsidRPr="00795EC6" w:rsidRDefault="008E4595" w:rsidP="00795EC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lastRenderedPageBreak/>
              <w:t>Diagnostic Criteria: Although not explicitly detailed in your text, asthma diagnosis in large biobanks and datasets like the UK Biobank is usually based on clinical diagnostic codes such as those from ICD (International Classification of Diseases).</w:t>
            </w:r>
          </w:p>
          <w:p w14:paraId="51198E3A" w14:textId="77777777" w:rsidR="008E4595" w:rsidRPr="00795EC6" w:rsidRDefault="008E4595" w:rsidP="00795EC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Gastroesophageal Reflux Disease (GERD):</w:t>
            </w:r>
          </w:p>
          <w:p w14:paraId="5C7227F4" w14:textId="77777777" w:rsidR="008E4595" w:rsidRPr="00795EC6" w:rsidRDefault="008E4595" w:rsidP="00795EC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 xml:space="preserve">Assessment: </w:t>
            </w:r>
            <w:proofErr w:type="gramStart"/>
            <w:r w:rsidRPr="00795EC6">
              <w:rPr>
                <w:rFonts w:eastAsia="Times New Roman"/>
                <w:sz w:val="18"/>
                <w:szCs w:val="18"/>
                <w:lang w:val="en-US" w:eastAsia="en-GB"/>
              </w:rPr>
              <w:t>Similar to</w:t>
            </w:r>
            <w:proofErr w:type="gramEnd"/>
            <w:r w:rsidRPr="00795EC6">
              <w:rPr>
                <w:rFonts w:eastAsia="Times New Roman"/>
                <w:sz w:val="18"/>
                <w:szCs w:val="18"/>
                <w:lang w:val="en-US" w:eastAsia="en-GB"/>
              </w:rPr>
              <w:t xml:space="preserve"> asthma, GERD cases were identified using the UK Biobank data. This data source amalgamates self-reported conditions with medical records and physician diagnosis codes, which helps in verifying the self-reported diagnoses.</w:t>
            </w:r>
          </w:p>
          <w:p w14:paraId="22739029" w14:textId="77777777" w:rsidR="008E4595" w:rsidRPr="00795EC6" w:rsidRDefault="008E4595" w:rsidP="00795EC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Diagnostic Criteria: GERD diagnosis is typically confirmed through clinical evaluation and may involve symptom assessment, medical history, and sometimes diagnostic procedures such as endoscopy or pH monitoring, although the exact criteria used in the biobank data would depend on the clinical codes (like ICD codes) used.</w:t>
            </w:r>
          </w:p>
          <w:p w14:paraId="466E4A8A" w14:textId="77777777" w:rsidR="008E4595" w:rsidRPr="00795EC6" w:rsidRDefault="008E4595" w:rsidP="00795EC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Osteoarthritis (OA) and Its Subtypes (KOA and HOA):</w:t>
            </w:r>
          </w:p>
          <w:p w14:paraId="102E5B37" w14:textId="77777777" w:rsidR="008E4595" w:rsidRPr="00795EC6" w:rsidRDefault="008E4595" w:rsidP="00795EC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Assessment: OA and its subtypes were analyzed through a combination of UK Biobank and Arthritis Research UK Osteoarthritis Genetics (arcOGEN) data, enhanced by a meta-analysis. This includes extensive genetic data, clinical diagnoses, and symptom reports.</w:t>
            </w:r>
          </w:p>
          <w:p w14:paraId="5D6E009B" w14:textId="77777777" w:rsidR="008E4595" w:rsidRPr="00795EC6" w:rsidRDefault="008E4595" w:rsidP="00795EC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Diagnostic Criteria: OA diagnosis in such studies is often based on a combination of symptom reports, clinical examinations, radiographic evidence (as for knee and hip OA), and physician diagnosis codes. The arcOGEN data specifically would enhance the specificity of the osteoarthritis subtype analysis through detailed genetic and clinical data.</w:t>
            </w:r>
          </w:p>
          <w:p w14:paraId="601A19EA" w14:textId="77777777" w:rsidR="008E4595" w:rsidRPr="00795EC6" w:rsidRDefault="008E4595" w:rsidP="00795EC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Genetic Instruments:</w:t>
            </w:r>
          </w:p>
          <w:p w14:paraId="64611D84" w14:textId="77777777" w:rsidR="008E4595" w:rsidRPr="00795EC6" w:rsidRDefault="008E4595" w:rsidP="00795EC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Selection of Instruments: Genetic variants used as instruments were selected based on their associations with the exposures (asthma, GERD) at genome-wide significance levels (p &lt; 5 × 10^-8). This ensures that the instruments are strongly predictive of the exposure and are less likely to be influenced by confounding factors.</w:t>
            </w:r>
          </w:p>
          <w:p w14:paraId="7CB6464A" w14:textId="77777777" w:rsidR="008E4595" w:rsidRPr="00795EC6" w:rsidRDefault="008E4595" w:rsidP="00795EC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lastRenderedPageBreak/>
              <w:t>Validity of Instruments: Ensured through criteria such as the absence of pleiotropy, where the instrument affects the outcome only through the exposure and not through other pathways.</w:t>
            </w:r>
          </w:p>
          <w:p w14:paraId="77B36FF4" w14:textId="77777777" w:rsidR="008E4595" w:rsidRPr="00795EC6" w:rsidRDefault="008E4595" w:rsidP="00795EC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Statistical Methods:</w:t>
            </w:r>
          </w:p>
          <w:p w14:paraId="39DAD336" w14:textId="77777777" w:rsidR="008E4595" w:rsidRPr="00795EC6" w:rsidRDefault="008E4595" w:rsidP="00795EC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Two-Sample Mendelian Randomization (TSMR): This approach was utilized to estimate the causal effects of the exposures on the outcomes. The TSMR framework allows for the use of genetic variants from one sample (e.g., related to asthma or GERD) to estimate their effects on an outcome (e.g., OA) in a different sample, using summary statistic data.</w:t>
            </w:r>
          </w:p>
          <w:p w14:paraId="18BB4B57" w14:textId="1AE583EE" w:rsidR="00D8098C" w:rsidRPr="00795EC6" w:rsidRDefault="008E4595" w:rsidP="00795EC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Analytical Tools: The analysis included methods like Inverse Variance Weighted (IVW), MR-Egger, and other robust statistical techniques to assess and control for potential biases such as horizontal pleiotropy.</w:t>
            </w:r>
          </w:p>
        </w:tc>
      </w:tr>
      <w:tr w:rsidR="00D8098C" w:rsidRPr="00B853C6" w14:paraId="69A6C8B1" w14:textId="39D94CE4" w:rsidTr="00795EC6">
        <w:tc>
          <w:tcPr>
            <w:tcW w:w="587" w:type="dxa"/>
            <w:shd w:val="clear" w:color="auto" w:fill="EEEEEE"/>
          </w:tcPr>
          <w:p w14:paraId="292FBB9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shd w:val="clear" w:color="auto" w:fill="EEEEEE"/>
          </w:tcPr>
          <w:p w14:paraId="273C46B4"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6491" w:type="dxa"/>
            <w:shd w:val="clear" w:color="auto" w:fill="EEEEEE"/>
          </w:tcPr>
          <w:p w14:paraId="4E713FBB"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Provide details of ethics committee approval and participant informed consent, if relevant</w:t>
            </w:r>
          </w:p>
        </w:tc>
        <w:tc>
          <w:tcPr>
            <w:tcW w:w="1397" w:type="dxa"/>
            <w:shd w:val="clear" w:color="auto" w:fill="EEEEEE"/>
          </w:tcPr>
          <w:p w14:paraId="2754FA07" w14:textId="772A5D7A" w:rsidR="00D8098C" w:rsidRPr="008E4595" w:rsidRDefault="008E4595" w:rsidP="00426603">
            <w:pPr>
              <w:spacing w:beforeLines="40" w:before="96" w:afterLines="40" w:after="96" w:line="24" w:lineRule="atLeast"/>
              <w:textAlignment w:val="baseline"/>
              <w:rPr>
                <w:rFonts w:eastAsiaTheme="minorEastAsia"/>
                <w:sz w:val="18"/>
                <w:szCs w:val="18"/>
                <w:shd w:val="clear" w:color="auto" w:fill="FFFFFF"/>
                <w:lang w:val="en-GB" w:eastAsia="zh-CN"/>
              </w:rPr>
            </w:pPr>
            <w:r>
              <w:rPr>
                <w:rFonts w:eastAsiaTheme="minorEastAsia" w:hint="eastAsia"/>
                <w:sz w:val="18"/>
                <w:szCs w:val="18"/>
                <w:shd w:val="clear" w:color="auto" w:fill="FFFFFF"/>
                <w:lang w:val="en-GB" w:eastAsia="zh-CN"/>
              </w:rPr>
              <w:t>6</w:t>
            </w:r>
          </w:p>
        </w:tc>
        <w:tc>
          <w:tcPr>
            <w:tcW w:w="4205" w:type="dxa"/>
            <w:shd w:val="clear" w:color="auto" w:fill="EEEEEE"/>
          </w:tcPr>
          <w:p w14:paraId="6067A95B" w14:textId="71D6DDEE" w:rsidR="00D8098C" w:rsidRPr="00795EC6" w:rsidRDefault="008E4595" w:rsidP="00795EC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Employing de-identified, publicly sourced data from studies previously sanctioned by ethical standards committees for human research, this study required no further ethical endorsement.</w:t>
            </w:r>
          </w:p>
        </w:tc>
      </w:tr>
      <w:tr w:rsidR="00D8098C" w:rsidRPr="00B853C6" w14:paraId="23EA53EC" w14:textId="1D3E4E77" w:rsidTr="00795EC6">
        <w:tc>
          <w:tcPr>
            <w:tcW w:w="587" w:type="dxa"/>
            <w:shd w:val="clear" w:color="auto" w:fill="auto"/>
          </w:tcPr>
          <w:p w14:paraId="3E6E0D63"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5</w:t>
            </w:r>
          </w:p>
        </w:tc>
        <w:tc>
          <w:tcPr>
            <w:tcW w:w="1810" w:type="dxa"/>
            <w:shd w:val="clear" w:color="auto" w:fill="auto"/>
          </w:tcPr>
          <w:p w14:paraId="1F0455B3"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Assumptions</w:t>
            </w:r>
          </w:p>
          <w:p w14:paraId="0458797D" w14:textId="77777777" w:rsidR="00D8098C" w:rsidRPr="00F0337F" w:rsidRDefault="00D8098C" w:rsidP="00426603">
            <w:pPr>
              <w:spacing w:beforeLines="40" w:before="96" w:afterLines="40" w:after="96" w:line="24" w:lineRule="atLeast"/>
              <w:jc w:val="center"/>
              <w:rPr>
                <w:rFonts w:eastAsia="Cambria"/>
                <w:sz w:val="18"/>
                <w:szCs w:val="18"/>
                <w:lang w:val="en-GB" w:eastAsia="en-US"/>
              </w:rPr>
            </w:pPr>
          </w:p>
        </w:tc>
        <w:tc>
          <w:tcPr>
            <w:tcW w:w="6491" w:type="dxa"/>
            <w:shd w:val="clear" w:color="auto" w:fill="auto"/>
          </w:tcPr>
          <w:p w14:paraId="5139727F"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Explicitly state the three core IV assumptions for the main analysis (relevance, </w:t>
            </w:r>
            <w:proofErr w:type="gramStart"/>
            <w:r w:rsidRPr="00A1236D">
              <w:rPr>
                <w:rFonts w:eastAsia="Times New Roman"/>
                <w:sz w:val="18"/>
                <w:szCs w:val="18"/>
                <w:lang w:val="en-GB" w:eastAsia="en-GB"/>
              </w:rPr>
              <w:t>independence</w:t>
            </w:r>
            <w:proofErr w:type="gramEnd"/>
            <w:r w:rsidRPr="00A1236D">
              <w:rPr>
                <w:rFonts w:eastAsia="Times New Roman"/>
                <w:sz w:val="18"/>
                <w:szCs w:val="18"/>
                <w:lang w:val="en-GB" w:eastAsia="en-GB"/>
              </w:rPr>
              <w:t xml:space="preserve"> and exclusion restriction) as well assumptions for any additional or sensitivity analysis</w:t>
            </w:r>
          </w:p>
        </w:tc>
        <w:tc>
          <w:tcPr>
            <w:tcW w:w="1397" w:type="dxa"/>
          </w:tcPr>
          <w:p w14:paraId="6A2AE76D" w14:textId="15353208" w:rsidR="00D8098C" w:rsidRPr="008E4595" w:rsidRDefault="008E4595"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6</w:t>
            </w:r>
          </w:p>
        </w:tc>
        <w:tc>
          <w:tcPr>
            <w:tcW w:w="4205" w:type="dxa"/>
          </w:tcPr>
          <w:p w14:paraId="7A54DE1B" w14:textId="13B42C58" w:rsidR="00D8098C" w:rsidRPr="00795EC6" w:rsidRDefault="008E4595" w:rsidP="00426603">
            <w:pPr>
              <w:spacing w:beforeLines="40" w:before="96" w:afterLines="40" w:after="96" w:line="24" w:lineRule="atLeast"/>
              <w:rPr>
                <w:rFonts w:eastAsia="Times New Roman"/>
                <w:sz w:val="18"/>
                <w:szCs w:val="18"/>
                <w:lang w:val="en-US" w:eastAsia="en-GB"/>
              </w:rPr>
            </w:pPr>
            <w:r w:rsidRPr="008E4595">
              <w:rPr>
                <w:rFonts w:eastAsia="Times New Roman"/>
                <w:sz w:val="18"/>
                <w:szCs w:val="18"/>
                <w:lang w:val="en-US" w:eastAsia="en-GB"/>
              </w:rPr>
              <w:t xml:space="preserve">Central to the MR methodology are three pivotal assumptions, each critical for maintaining the methodological integrity of the approach.  Assumption </w:t>
            </w:r>
            <w:r w:rsidRPr="00795EC6">
              <w:rPr>
                <w:rFonts w:ascii="宋体" w:eastAsia="宋体" w:hAnsi="宋体" w:cs="宋体" w:hint="eastAsia"/>
                <w:sz w:val="18"/>
                <w:szCs w:val="18"/>
                <w:lang w:val="en-US" w:eastAsia="en-GB"/>
              </w:rPr>
              <w:t>Ⅰ</w:t>
            </w:r>
            <w:r w:rsidRPr="008E4595">
              <w:rPr>
                <w:rFonts w:eastAsia="Times New Roman"/>
                <w:sz w:val="18"/>
                <w:szCs w:val="18"/>
                <w:lang w:val="en-US" w:eastAsia="en-GB"/>
              </w:rPr>
              <w:t xml:space="preserve">: IVs must be robustly associated with the exposure of interest. Assumption </w:t>
            </w:r>
            <w:r w:rsidRPr="00795EC6">
              <w:rPr>
                <w:rFonts w:ascii="宋体" w:eastAsia="宋体" w:hAnsi="宋体" w:cs="宋体" w:hint="eastAsia"/>
                <w:sz w:val="18"/>
                <w:szCs w:val="18"/>
                <w:lang w:val="en-US" w:eastAsia="en-GB"/>
              </w:rPr>
              <w:t>Ⅱ</w:t>
            </w:r>
            <w:r w:rsidRPr="008E4595">
              <w:rPr>
                <w:rFonts w:eastAsia="Times New Roman" w:hint="eastAsia"/>
                <w:sz w:val="18"/>
                <w:szCs w:val="18"/>
                <w:lang w:val="en-US" w:eastAsia="en-GB"/>
              </w:rPr>
              <w:t>:</w:t>
            </w:r>
            <w:r w:rsidRPr="008E4595">
              <w:rPr>
                <w:rFonts w:eastAsia="Times New Roman"/>
                <w:sz w:val="18"/>
                <w:szCs w:val="18"/>
                <w:lang w:val="en-US" w:eastAsia="en-GB"/>
              </w:rPr>
              <w:t xml:space="preserve"> The IV should be independent of any confounders that might be associated with both the exposure and the outcome. Assumption </w:t>
            </w:r>
            <w:r w:rsidRPr="00795EC6">
              <w:rPr>
                <w:rFonts w:ascii="宋体" w:eastAsia="宋体" w:hAnsi="宋体" w:cs="宋体" w:hint="eastAsia"/>
                <w:sz w:val="18"/>
                <w:szCs w:val="18"/>
                <w:lang w:val="en-US" w:eastAsia="en-GB"/>
              </w:rPr>
              <w:t>Ⅲ</w:t>
            </w:r>
            <w:r w:rsidRPr="008E4595">
              <w:rPr>
                <w:rFonts w:eastAsia="Times New Roman"/>
                <w:sz w:val="18"/>
                <w:szCs w:val="18"/>
                <w:lang w:val="en-US" w:eastAsia="en-GB"/>
              </w:rPr>
              <w:t>: The IV should influence the outcome only through its effect on the exposure and not through any other pathways.</w:t>
            </w:r>
          </w:p>
        </w:tc>
      </w:tr>
      <w:tr w:rsidR="00D8098C" w:rsidRPr="00B853C6" w14:paraId="6209F8C8" w14:textId="78A53B40" w:rsidTr="00795EC6">
        <w:tc>
          <w:tcPr>
            <w:tcW w:w="587" w:type="dxa"/>
            <w:shd w:val="clear" w:color="auto" w:fill="EEEEEE"/>
          </w:tcPr>
          <w:p w14:paraId="6FA239C8"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6</w:t>
            </w:r>
          </w:p>
        </w:tc>
        <w:tc>
          <w:tcPr>
            <w:tcW w:w="1810" w:type="dxa"/>
            <w:shd w:val="clear" w:color="auto" w:fill="EEEEEE"/>
          </w:tcPr>
          <w:p w14:paraId="3D8F9E93"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Statistical methods: main analysis</w:t>
            </w:r>
          </w:p>
        </w:tc>
        <w:tc>
          <w:tcPr>
            <w:tcW w:w="6491" w:type="dxa"/>
            <w:shd w:val="clear" w:color="auto" w:fill="EEEEEE"/>
          </w:tcPr>
          <w:p w14:paraId="49C33D0D"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statistical methods and statistics used</w:t>
            </w:r>
          </w:p>
        </w:tc>
        <w:tc>
          <w:tcPr>
            <w:tcW w:w="1397" w:type="dxa"/>
            <w:shd w:val="clear" w:color="auto" w:fill="EEEEEE"/>
          </w:tcPr>
          <w:p w14:paraId="0D1191BA"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205" w:type="dxa"/>
            <w:shd w:val="clear" w:color="auto" w:fill="EEEEEE"/>
          </w:tcPr>
          <w:p w14:paraId="75DF0C4B" w14:textId="77777777" w:rsidR="00D8098C" w:rsidRPr="00795EC6" w:rsidRDefault="00D8098C" w:rsidP="00426603">
            <w:pPr>
              <w:spacing w:beforeLines="40" w:before="96" w:afterLines="40" w:after="96" w:line="24" w:lineRule="atLeast"/>
              <w:rPr>
                <w:rFonts w:eastAsia="Times New Roman"/>
                <w:sz w:val="18"/>
                <w:szCs w:val="18"/>
                <w:lang w:val="en-US" w:eastAsia="en-GB"/>
              </w:rPr>
            </w:pPr>
          </w:p>
        </w:tc>
      </w:tr>
      <w:tr w:rsidR="00D8098C" w:rsidRPr="00B853C6" w14:paraId="4346E621" w14:textId="11B8B572" w:rsidTr="00795EC6">
        <w:tc>
          <w:tcPr>
            <w:tcW w:w="587" w:type="dxa"/>
            <w:shd w:val="clear" w:color="auto" w:fill="auto"/>
          </w:tcPr>
          <w:p w14:paraId="339A016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shd w:val="clear" w:color="auto" w:fill="auto"/>
          </w:tcPr>
          <w:p w14:paraId="3635743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491" w:type="dxa"/>
            <w:shd w:val="clear" w:color="auto" w:fill="auto"/>
          </w:tcPr>
          <w:p w14:paraId="3BB90022"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quantitative variables were handled in the analyses (i.e., scale, units, model)</w:t>
            </w:r>
          </w:p>
        </w:tc>
        <w:tc>
          <w:tcPr>
            <w:tcW w:w="1397" w:type="dxa"/>
          </w:tcPr>
          <w:p w14:paraId="22720A53" w14:textId="35D42E78" w:rsidR="00D8098C" w:rsidRPr="00A36516" w:rsidRDefault="00A36516"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9-10</w:t>
            </w:r>
          </w:p>
        </w:tc>
        <w:tc>
          <w:tcPr>
            <w:tcW w:w="4205" w:type="dxa"/>
          </w:tcPr>
          <w:p w14:paraId="3220724A" w14:textId="77777777" w:rsidR="00A36516" w:rsidRPr="00795EC6" w:rsidRDefault="00A36516" w:rsidP="00A3651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Genetic Associations (Exposure Variables):</w:t>
            </w:r>
          </w:p>
          <w:p w14:paraId="21CD5986" w14:textId="77777777" w:rsidR="00A36516" w:rsidRPr="00795EC6" w:rsidRDefault="00A36516" w:rsidP="00A3651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 xml:space="preserve">Scale and Units: Single nucleotide polymorphisms (SNPs) from genome-wide association studies served as instrumental variables, with effect sizes (beta coefficients) and </w:t>
            </w:r>
            <w:r w:rsidRPr="00795EC6">
              <w:rPr>
                <w:rFonts w:eastAsia="Times New Roman"/>
                <w:sz w:val="18"/>
                <w:szCs w:val="18"/>
                <w:lang w:val="en-US" w:eastAsia="en-GB"/>
              </w:rPr>
              <w:lastRenderedPageBreak/>
              <w:t>standard errors measuring the risk change per allele.</w:t>
            </w:r>
          </w:p>
          <w:p w14:paraId="5DF03EF2" w14:textId="77777777" w:rsidR="00A36516" w:rsidRPr="00795EC6" w:rsidRDefault="00A36516" w:rsidP="00A3651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Model: The primary method used was the Inverse Variance Weighted (IVW) approach to combine causal estimates from individual SNPs, assuming all SNPs are valid instruments.</w:t>
            </w:r>
          </w:p>
          <w:p w14:paraId="64ABBEE0" w14:textId="77777777" w:rsidR="00A36516" w:rsidRPr="00795EC6" w:rsidRDefault="00A36516" w:rsidP="00A3651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Outcome Variables (Disease Status):</w:t>
            </w:r>
          </w:p>
          <w:p w14:paraId="2BC685F9" w14:textId="77777777" w:rsidR="00A36516" w:rsidRPr="00795EC6" w:rsidRDefault="00A36516" w:rsidP="00A3651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Scale and Units: Disease status for conditions such as osteoarthritis and its subtypes (e.g., knee osteoarthritis) was treated as binary variables (presence or absence of disease), analyzed using a logistic regression framework, with results expressed as odds ratios (ORs).</w:t>
            </w:r>
          </w:p>
          <w:p w14:paraId="76159846" w14:textId="7A0E58D3" w:rsidR="00D8098C" w:rsidRPr="00795EC6" w:rsidRDefault="00A36516" w:rsidP="00A3651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 xml:space="preserve">Model: Mendelian Randomization methods were used to assess the causal impact of exposures (like asthma and GERD) on OA risk, estimating changes in disease risk attributed to genetic susceptibility. </w:t>
            </w:r>
          </w:p>
        </w:tc>
      </w:tr>
      <w:tr w:rsidR="00D8098C" w:rsidRPr="00B853C6" w14:paraId="642A4D4B" w14:textId="4880F3BA" w:rsidTr="00795EC6">
        <w:tc>
          <w:tcPr>
            <w:tcW w:w="587" w:type="dxa"/>
            <w:shd w:val="clear" w:color="auto" w:fill="EEEEEE"/>
          </w:tcPr>
          <w:p w14:paraId="11F7484C"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shd w:val="clear" w:color="auto" w:fill="EEEEEE"/>
          </w:tcPr>
          <w:p w14:paraId="569D49F3"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491" w:type="dxa"/>
            <w:shd w:val="clear" w:color="auto" w:fill="EEEEEE"/>
          </w:tcPr>
          <w:p w14:paraId="6B2ACDE9"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genetic variants were handled in the analyses and, if applicable, how their weights were selected</w:t>
            </w:r>
          </w:p>
        </w:tc>
        <w:tc>
          <w:tcPr>
            <w:tcW w:w="1397" w:type="dxa"/>
            <w:shd w:val="clear" w:color="auto" w:fill="EEEEEE"/>
          </w:tcPr>
          <w:p w14:paraId="0DAE64B0" w14:textId="23D2DE50" w:rsidR="00D8098C" w:rsidRPr="00A36516" w:rsidRDefault="00A36516"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8-9</w:t>
            </w:r>
          </w:p>
        </w:tc>
        <w:tc>
          <w:tcPr>
            <w:tcW w:w="4205" w:type="dxa"/>
            <w:shd w:val="clear" w:color="auto" w:fill="EEEEEE"/>
          </w:tcPr>
          <w:p w14:paraId="5A993872" w14:textId="77777777" w:rsidR="00A36516" w:rsidRPr="00795EC6" w:rsidRDefault="00A36516" w:rsidP="00A3651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Selection of Genetic Variants:</w:t>
            </w:r>
          </w:p>
          <w:p w14:paraId="431765F9" w14:textId="77777777" w:rsidR="00A36516" w:rsidRPr="00795EC6" w:rsidRDefault="00A36516" w:rsidP="00A3651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Genetic variants used as instrumental variables (IVs) were primarily single nucleotide polymorphisms (SNPs) associated with the exposures (asthma, gastroesophageal reflux disease, and osteoarthritis) at genome-wide significance levels.</w:t>
            </w:r>
          </w:p>
          <w:p w14:paraId="73AFE542" w14:textId="77777777" w:rsidR="00A36516" w:rsidRPr="00795EC6" w:rsidRDefault="00A36516" w:rsidP="00A3651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A stringent significance threshold of p &lt; 5 × 10^-8 was used to select SNPs, ensuring a robust association with the exposure. This threshold was relaxed to p &lt; 5 × 10^-6 in cases where the number of SNPs was limited, which is a common practice in MR studies to retain sufficient genetic instruments.</w:t>
            </w:r>
          </w:p>
          <w:p w14:paraId="3DFB1315" w14:textId="77777777" w:rsidR="00A36516" w:rsidRPr="00795EC6" w:rsidRDefault="00A36516" w:rsidP="00A3651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Linkage Disequilibrium (LD) Clustering:</w:t>
            </w:r>
          </w:p>
          <w:p w14:paraId="6417DB14" w14:textId="77777777" w:rsidR="00A36516" w:rsidRPr="00795EC6" w:rsidRDefault="00A36516" w:rsidP="00A3651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To avoid bias from correlated SNPs, linkage disequilibrium clustering was conducted. SNPs were clustered using an r² threshold of 0.001 within a window of 10,000 kilobases, ensuring that each SNP included in the analysis acted as an independent genetic instrument.</w:t>
            </w:r>
          </w:p>
          <w:p w14:paraId="023C6EED" w14:textId="77777777" w:rsidR="00A36516" w:rsidRPr="00795EC6" w:rsidRDefault="00A36516" w:rsidP="00A3651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Weight Selection for SNPs:</w:t>
            </w:r>
          </w:p>
          <w:p w14:paraId="637839B6" w14:textId="77777777" w:rsidR="00A36516" w:rsidRPr="00795EC6" w:rsidRDefault="00A36516" w:rsidP="00A3651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 xml:space="preserve">Weights for each SNP were determined based on the effect sizes (beta coefficients) and standard </w:t>
            </w:r>
            <w:r w:rsidRPr="00795EC6">
              <w:rPr>
                <w:rFonts w:eastAsia="Times New Roman"/>
                <w:sz w:val="18"/>
                <w:szCs w:val="18"/>
                <w:lang w:val="en-US" w:eastAsia="en-GB"/>
              </w:rPr>
              <w:lastRenderedPageBreak/>
              <w:t>errors from the largest available genome-wide association studies (GWAS). These weights were used in the Inverse Variance Weighted (IVW) method, where the weight of each SNP corresponds to the inverse of the variance of its effect size estimate.</w:t>
            </w:r>
          </w:p>
          <w:p w14:paraId="1612F89F" w14:textId="164ADD21" w:rsidR="00D8098C" w:rsidRPr="00795EC6" w:rsidRDefault="00A36516" w:rsidP="00A3651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This weighting scheme helps to maximize the use of information from each SNP, particularly emphasizing those with more precise estimates, thereby enhancing the overall statistical power and accuracy of the MR estimates.</w:t>
            </w:r>
          </w:p>
        </w:tc>
      </w:tr>
      <w:tr w:rsidR="00D8098C" w:rsidRPr="00B853C6" w14:paraId="70378831" w14:textId="0868B0A4" w:rsidTr="00795EC6">
        <w:tc>
          <w:tcPr>
            <w:tcW w:w="587" w:type="dxa"/>
            <w:shd w:val="clear" w:color="auto" w:fill="auto"/>
          </w:tcPr>
          <w:p w14:paraId="45E4149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shd w:val="clear" w:color="auto" w:fill="auto"/>
          </w:tcPr>
          <w:p w14:paraId="59F665E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6491" w:type="dxa"/>
            <w:shd w:val="clear" w:color="auto" w:fill="auto"/>
          </w:tcPr>
          <w:p w14:paraId="5CB03D96"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1397" w:type="dxa"/>
          </w:tcPr>
          <w:p w14:paraId="7B7E7C35" w14:textId="5CD3ABE6" w:rsidR="00D8098C" w:rsidRPr="00A36516" w:rsidRDefault="00A36516"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9-10</w:t>
            </w:r>
          </w:p>
        </w:tc>
        <w:tc>
          <w:tcPr>
            <w:tcW w:w="4205" w:type="dxa"/>
          </w:tcPr>
          <w:p w14:paraId="04DDCBDE" w14:textId="77777777" w:rsidR="00A36516" w:rsidRPr="00795EC6" w:rsidRDefault="00A36516" w:rsidP="00A3651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MR Estimators Used:</w:t>
            </w:r>
          </w:p>
          <w:p w14:paraId="4BE2B1CE" w14:textId="77777777" w:rsidR="00A36516" w:rsidRPr="00795EC6" w:rsidRDefault="00A36516" w:rsidP="00A3651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Inverse Variance Weighted (IVW): This method combines the Wald ratios of individual genetic variants into a single estimate of the causal effect. Each genetic variant's Wald ratio (the ratio of the effect of the variant on the outcome to its effect on the exposure) is weighted by the inverse of its variance. IVW is particularly effective when all genetic instruments are valid, providing an unbiased estimate under the assumption that the instruments do not exhibit horizontal pleiotropy.</w:t>
            </w:r>
          </w:p>
          <w:p w14:paraId="52CC017A" w14:textId="77777777" w:rsidR="00A36516" w:rsidRPr="00795EC6" w:rsidRDefault="00A36516" w:rsidP="00A3651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MR-Egger: This method provides a test for directional pleiotropy and can yield a causal estimate that is robust to the presence of pleiotropic genetic variants. It is particularly useful as it does not require that all genetic variants are valid instruments.</w:t>
            </w:r>
          </w:p>
          <w:p w14:paraId="776196C2" w14:textId="77777777" w:rsidR="00A36516" w:rsidRPr="00795EC6" w:rsidRDefault="00A36516" w:rsidP="00A3651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Weighted Median: This estimator provides a consistent estimate of the causal effect if at least 50% of the weight in the analysis comes from valid instruments. This method enhances the robustness of the findings, particularly when some instruments might be invalid.</w:t>
            </w:r>
          </w:p>
          <w:p w14:paraId="75E190D3" w14:textId="77777777" w:rsidR="00A36516" w:rsidRPr="00795EC6" w:rsidRDefault="00A36516" w:rsidP="00A3651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 xml:space="preserve">MR-PRESSO: Mendelian Randomization Pleiotropy </w:t>
            </w:r>
            <w:proofErr w:type="spellStart"/>
            <w:r w:rsidRPr="00795EC6">
              <w:rPr>
                <w:rFonts w:eastAsia="Times New Roman"/>
                <w:sz w:val="18"/>
                <w:szCs w:val="18"/>
                <w:lang w:val="en-US" w:eastAsia="en-GB"/>
              </w:rPr>
              <w:t>RESidual</w:t>
            </w:r>
            <w:proofErr w:type="spellEnd"/>
            <w:r w:rsidRPr="00795EC6">
              <w:rPr>
                <w:rFonts w:eastAsia="Times New Roman"/>
                <w:sz w:val="18"/>
                <w:szCs w:val="18"/>
                <w:lang w:val="en-US" w:eastAsia="en-GB"/>
              </w:rPr>
              <w:t xml:space="preserve"> Sum and Outlier (MR-PRESSO) test is used to detect and correct for horizontal pleiotropy by identifying outlier genetic variants that disproportionately influence the results.</w:t>
            </w:r>
          </w:p>
          <w:p w14:paraId="697DF4B2" w14:textId="77777777" w:rsidR="00A36516" w:rsidRPr="00795EC6" w:rsidRDefault="00A36516" w:rsidP="00A3651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Related Statistics:</w:t>
            </w:r>
          </w:p>
          <w:p w14:paraId="20214F38" w14:textId="77777777" w:rsidR="00A36516" w:rsidRPr="00795EC6" w:rsidRDefault="00A36516" w:rsidP="00A3651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Estimates are presented as odds ratios (OR) with corresponding 95% confidence intervals (CI).</w:t>
            </w:r>
          </w:p>
          <w:p w14:paraId="38E8E92B" w14:textId="77777777" w:rsidR="00A36516" w:rsidRPr="00795EC6" w:rsidRDefault="00A36516" w:rsidP="00A3651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lastRenderedPageBreak/>
              <w:t>P-values are adjusted using the False Discovery Rate (FDR) to account for multiple testing and control the expected proportion of type I errors.</w:t>
            </w:r>
          </w:p>
          <w:p w14:paraId="5A45D795" w14:textId="77777777" w:rsidR="00A36516" w:rsidRPr="00795EC6" w:rsidRDefault="00A36516" w:rsidP="00A3651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Covariates:</w:t>
            </w:r>
          </w:p>
          <w:p w14:paraId="446C5B7A" w14:textId="77777777" w:rsidR="00A36516" w:rsidRPr="00795EC6" w:rsidRDefault="00A36516" w:rsidP="00A3651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The study used two-sample MR, where the exposure and outcome are measured in different samples. Covariates included in the analysis typically consist of principal components to adjust for population stratification, age, and sex. These covariates are crucial to reduce confounding due to ancestry or demographic variables.</w:t>
            </w:r>
          </w:p>
          <w:p w14:paraId="334D44EB" w14:textId="0BFE23D3" w:rsidR="00D8098C" w:rsidRPr="00795EC6" w:rsidRDefault="00A36516" w:rsidP="00A3651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It is not explicitly stated whether the exact same set of covariates was used for adjustment in both samples; however, standard practice in two-sample MR is to adjust for similar covariates in both the exposure and outcome GWAS to ensure consistency and minimize bias.</w:t>
            </w:r>
          </w:p>
        </w:tc>
      </w:tr>
      <w:tr w:rsidR="00D8098C" w:rsidRPr="00B853C6" w14:paraId="0D8F3A7E" w14:textId="14623463" w:rsidTr="00795EC6">
        <w:tc>
          <w:tcPr>
            <w:tcW w:w="587" w:type="dxa"/>
            <w:shd w:val="clear" w:color="auto" w:fill="EEEEEE"/>
          </w:tcPr>
          <w:p w14:paraId="1D70C4C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shd w:val="clear" w:color="auto" w:fill="EEEEEE"/>
          </w:tcPr>
          <w:p w14:paraId="0A3AAFD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6491" w:type="dxa"/>
            <w:shd w:val="clear" w:color="auto" w:fill="EEEEEE"/>
          </w:tcPr>
          <w:p w14:paraId="08786389"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Explain how missing data were addressed</w:t>
            </w:r>
          </w:p>
        </w:tc>
        <w:tc>
          <w:tcPr>
            <w:tcW w:w="1397" w:type="dxa"/>
            <w:shd w:val="clear" w:color="auto" w:fill="EEEEEE"/>
          </w:tcPr>
          <w:p w14:paraId="297C3632" w14:textId="6940AD95" w:rsidR="00D8098C" w:rsidRPr="006B29B5" w:rsidRDefault="006B29B5"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8</w:t>
            </w:r>
          </w:p>
        </w:tc>
        <w:tc>
          <w:tcPr>
            <w:tcW w:w="4205" w:type="dxa"/>
            <w:shd w:val="clear" w:color="auto" w:fill="EEEEEE"/>
          </w:tcPr>
          <w:p w14:paraId="16808665" w14:textId="063751E6" w:rsidR="00D8098C" w:rsidRPr="00795EC6" w:rsidRDefault="006B29B5" w:rsidP="00426603">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Missing data were managed according to standard GWAS protocols, which automatically exclude genetic variants and individuals with significant missing information from the analysis.</w:t>
            </w:r>
          </w:p>
        </w:tc>
      </w:tr>
      <w:tr w:rsidR="00D8098C" w:rsidRPr="00B853C6" w14:paraId="77F037B8" w14:textId="6696FA54" w:rsidTr="00795EC6">
        <w:tc>
          <w:tcPr>
            <w:tcW w:w="587" w:type="dxa"/>
            <w:shd w:val="clear" w:color="auto" w:fill="auto"/>
          </w:tcPr>
          <w:p w14:paraId="4AC39E5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shd w:val="clear" w:color="auto" w:fill="auto"/>
          </w:tcPr>
          <w:p w14:paraId="4D9E035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6491" w:type="dxa"/>
            <w:shd w:val="clear" w:color="auto" w:fill="auto"/>
          </w:tcPr>
          <w:p w14:paraId="41F1E52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applicable, indicate how multiple testing was addressed</w:t>
            </w:r>
          </w:p>
        </w:tc>
        <w:tc>
          <w:tcPr>
            <w:tcW w:w="1397" w:type="dxa"/>
          </w:tcPr>
          <w:p w14:paraId="6B5C4982" w14:textId="71501F51" w:rsidR="00D8098C" w:rsidRPr="006B29B5" w:rsidRDefault="006B29B5"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9</w:t>
            </w:r>
          </w:p>
        </w:tc>
        <w:tc>
          <w:tcPr>
            <w:tcW w:w="4205" w:type="dxa"/>
          </w:tcPr>
          <w:p w14:paraId="490E44D4" w14:textId="36FFA9E7" w:rsidR="00D8098C" w:rsidRPr="00795EC6" w:rsidRDefault="00A36516" w:rsidP="00426603">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The study addressed the issue of multiple testing using the False Discovery Rate (FDR) procedure. This approach is designed to control the expected proportion of incorrectly rejected null hypotheses (type I errors) across a family of simultaneous tests. The FDR adjustment is particularly important in genetic studies like this where multiple hypotheses are tested simultaneously — for example, when assessing the associations of multiple genetic variants with various health outcomes. By applying FDR, the study enhances the reliability of its findings, ensuring that the results reported are less likely to be due to chance. This method is critical in maintaining the statistical integrity of the conclusions drawn from the MR analysis.</w:t>
            </w:r>
          </w:p>
        </w:tc>
      </w:tr>
      <w:tr w:rsidR="00D8098C" w:rsidRPr="00B853C6" w14:paraId="585043CE" w14:textId="4922F612" w:rsidTr="00795EC6">
        <w:tc>
          <w:tcPr>
            <w:tcW w:w="587" w:type="dxa"/>
            <w:shd w:val="clear" w:color="auto" w:fill="EEEEEE"/>
          </w:tcPr>
          <w:p w14:paraId="55967D0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7</w:t>
            </w:r>
          </w:p>
        </w:tc>
        <w:tc>
          <w:tcPr>
            <w:tcW w:w="1810" w:type="dxa"/>
            <w:shd w:val="clear" w:color="auto" w:fill="EEEEEE"/>
          </w:tcPr>
          <w:p w14:paraId="0947B164"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6491" w:type="dxa"/>
            <w:shd w:val="clear" w:color="auto" w:fill="EEEEEE"/>
          </w:tcPr>
          <w:p w14:paraId="1E6D0B1E" w14:textId="77777777" w:rsidR="00D8098C" w:rsidRPr="00A1236D" w:rsidRDefault="00D8098C" w:rsidP="00426603">
            <w:pPr>
              <w:tabs>
                <w:tab w:val="left" w:pos="162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methods or prior knowledge used to assess the assumptions or justify their validity</w:t>
            </w:r>
            <w:r w:rsidRPr="00A1236D">
              <w:rPr>
                <w:rFonts w:eastAsia="Cambria"/>
                <w:sz w:val="18"/>
                <w:szCs w:val="18"/>
                <w:lang w:val="en-GB" w:eastAsia="en-US"/>
              </w:rPr>
              <w:tab/>
            </w:r>
          </w:p>
        </w:tc>
        <w:tc>
          <w:tcPr>
            <w:tcW w:w="1397" w:type="dxa"/>
            <w:shd w:val="clear" w:color="auto" w:fill="EEEEEE"/>
          </w:tcPr>
          <w:p w14:paraId="61C50F74" w14:textId="70F8F5E0" w:rsidR="00D8098C" w:rsidRPr="00C71B85" w:rsidRDefault="00C71B85" w:rsidP="00426603">
            <w:pPr>
              <w:tabs>
                <w:tab w:val="left" w:pos="1620"/>
              </w:tabs>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10</w:t>
            </w:r>
          </w:p>
        </w:tc>
        <w:tc>
          <w:tcPr>
            <w:tcW w:w="4205" w:type="dxa"/>
            <w:shd w:val="clear" w:color="auto" w:fill="EEEEEE"/>
          </w:tcPr>
          <w:p w14:paraId="5D46DB2B" w14:textId="3367C174" w:rsidR="00D8098C" w:rsidRPr="00795EC6" w:rsidRDefault="006B29B5" w:rsidP="00795EC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 xml:space="preserve">The validity of the Mendelian Randomization (MR) assumptions was assessed using several methods. We employed the MR-Egger regression to test for pleiotropy and used the weighted median approach as a robustness check, which can provide a consistent estimate even if up to 50% of the information comes from invalid </w:t>
            </w:r>
            <w:r w:rsidRPr="00795EC6">
              <w:rPr>
                <w:rFonts w:eastAsia="Times New Roman"/>
                <w:sz w:val="18"/>
                <w:szCs w:val="18"/>
                <w:lang w:val="en-US" w:eastAsia="en-GB"/>
              </w:rPr>
              <w:lastRenderedPageBreak/>
              <w:t>instruments. We also conducted a detailed linkage disequilibrium analysis to ensure the independence of each genetic variant used as an instrument.</w:t>
            </w:r>
          </w:p>
        </w:tc>
      </w:tr>
      <w:tr w:rsidR="00D8098C" w:rsidRPr="00B853C6" w14:paraId="383932D9" w14:textId="2C1AFE56" w:rsidTr="00795EC6">
        <w:tc>
          <w:tcPr>
            <w:tcW w:w="587" w:type="dxa"/>
            <w:shd w:val="clear" w:color="auto" w:fill="auto"/>
          </w:tcPr>
          <w:p w14:paraId="1A4621B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8</w:t>
            </w:r>
          </w:p>
        </w:tc>
        <w:tc>
          <w:tcPr>
            <w:tcW w:w="1810" w:type="dxa"/>
            <w:shd w:val="clear" w:color="auto" w:fill="auto"/>
          </w:tcPr>
          <w:p w14:paraId="0F88F25B"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Sensitivity analyses and additional analyses</w:t>
            </w:r>
          </w:p>
        </w:tc>
        <w:tc>
          <w:tcPr>
            <w:tcW w:w="6491" w:type="dxa"/>
            <w:shd w:val="clear" w:color="auto" w:fill="auto"/>
          </w:tcPr>
          <w:p w14:paraId="13C6445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1397" w:type="dxa"/>
          </w:tcPr>
          <w:p w14:paraId="4B9B6FF5" w14:textId="68F1AE57" w:rsidR="00D8098C" w:rsidRPr="00C71B85" w:rsidRDefault="00C71B85"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10</w:t>
            </w:r>
          </w:p>
        </w:tc>
        <w:tc>
          <w:tcPr>
            <w:tcW w:w="4205" w:type="dxa"/>
          </w:tcPr>
          <w:p w14:paraId="229BFDFD" w14:textId="08742721" w:rsidR="00D8098C" w:rsidRPr="00795EC6" w:rsidRDefault="006B29B5" w:rsidP="00426603">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Sensitivity analyses included the MR-PRESSO test to detect and correct for horizontal pleiotropy, and we performed a leave-one-out analysis to evaluate the influence of individual SNPs on the overall MR estimates. We compared results across different MR methods (IVW, MR-Egger, Weighted Median) to ensure consistency of our findings. Additionally, we validated our instrumental variables using external datasets to ensure their relevance and robustness in predicting the exposures. These analyses helped in confirming the reliability of our findings and in addressing potential biases.</w:t>
            </w:r>
          </w:p>
        </w:tc>
      </w:tr>
      <w:tr w:rsidR="00D8098C" w:rsidRPr="00B853C6" w14:paraId="55C7A410" w14:textId="0BAB653A" w:rsidTr="00795EC6">
        <w:tc>
          <w:tcPr>
            <w:tcW w:w="587" w:type="dxa"/>
            <w:shd w:val="clear" w:color="auto" w:fill="EEEEEE"/>
          </w:tcPr>
          <w:p w14:paraId="056075DE"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9</w:t>
            </w:r>
          </w:p>
        </w:tc>
        <w:tc>
          <w:tcPr>
            <w:tcW w:w="1810" w:type="dxa"/>
            <w:shd w:val="clear" w:color="auto" w:fill="EEEEEE"/>
          </w:tcPr>
          <w:p w14:paraId="6096809E"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Software and pre-registration</w:t>
            </w:r>
          </w:p>
        </w:tc>
        <w:tc>
          <w:tcPr>
            <w:tcW w:w="6491" w:type="dxa"/>
            <w:shd w:val="clear" w:color="auto" w:fill="EEEEEE"/>
          </w:tcPr>
          <w:p w14:paraId="08D1055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1397" w:type="dxa"/>
            <w:shd w:val="clear" w:color="auto" w:fill="EEEEEE"/>
          </w:tcPr>
          <w:p w14:paraId="721E714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205" w:type="dxa"/>
            <w:shd w:val="clear" w:color="auto" w:fill="EEEEEE"/>
          </w:tcPr>
          <w:p w14:paraId="495710C0" w14:textId="77777777" w:rsidR="00D8098C" w:rsidRPr="00795EC6" w:rsidRDefault="00D8098C" w:rsidP="00426603">
            <w:pPr>
              <w:spacing w:beforeLines="40" w:before="96" w:afterLines="40" w:after="96" w:line="24" w:lineRule="atLeast"/>
              <w:rPr>
                <w:rFonts w:eastAsia="Times New Roman"/>
                <w:sz w:val="18"/>
                <w:szCs w:val="18"/>
                <w:lang w:val="en-US" w:eastAsia="en-GB"/>
              </w:rPr>
            </w:pPr>
          </w:p>
        </w:tc>
      </w:tr>
      <w:tr w:rsidR="00D8098C" w:rsidRPr="00B853C6" w14:paraId="5EA9EBD1" w14:textId="4D05FA5B" w:rsidTr="00795EC6">
        <w:tc>
          <w:tcPr>
            <w:tcW w:w="587" w:type="dxa"/>
            <w:shd w:val="clear" w:color="auto" w:fill="auto"/>
          </w:tcPr>
          <w:p w14:paraId="66EDED80"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shd w:val="clear" w:color="auto" w:fill="auto"/>
          </w:tcPr>
          <w:p w14:paraId="50BD32B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491" w:type="dxa"/>
            <w:shd w:val="clear" w:color="auto" w:fill="auto"/>
          </w:tcPr>
          <w:p w14:paraId="054FBA47"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Name statistical software and package(s), including version and settings used </w:t>
            </w:r>
          </w:p>
        </w:tc>
        <w:tc>
          <w:tcPr>
            <w:tcW w:w="1397" w:type="dxa"/>
          </w:tcPr>
          <w:p w14:paraId="305BB821" w14:textId="1AA32AF4" w:rsidR="00D8098C" w:rsidRPr="006B29B5" w:rsidRDefault="006B29B5"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9</w:t>
            </w:r>
          </w:p>
        </w:tc>
        <w:tc>
          <w:tcPr>
            <w:tcW w:w="4205" w:type="dxa"/>
          </w:tcPr>
          <w:p w14:paraId="79626260" w14:textId="0CC64FFB" w:rsidR="00D8098C" w:rsidRPr="00795EC6" w:rsidRDefault="006B29B5" w:rsidP="00426603">
            <w:pPr>
              <w:spacing w:beforeLines="40" w:before="96" w:afterLines="40" w:after="96" w:line="24" w:lineRule="atLeast"/>
              <w:rPr>
                <w:rFonts w:eastAsia="Times New Roman"/>
                <w:sz w:val="18"/>
                <w:szCs w:val="18"/>
                <w:lang w:val="en-US" w:eastAsia="en-GB"/>
              </w:rPr>
            </w:pPr>
            <w:r w:rsidRPr="006B29B5">
              <w:rPr>
                <w:rFonts w:eastAsia="Times New Roman"/>
                <w:sz w:val="18"/>
                <w:szCs w:val="18"/>
                <w:lang w:val="en-US" w:eastAsia="en-GB"/>
              </w:rPr>
              <w:t>We conducted TSMR studies using the R package (version 0.5.6) and MRPRESSO (version 1.0)</w:t>
            </w:r>
            <w:r w:rsidRPr="00795EC6">
              <w:rPr>
                <w:rFonts w:eastAsia="Times New Roman"/>
                <w:sz w:val="18"/>
                <w:szCs w:val="18"/>
                <w:lang w:val="en-US" w:eastAsia="en-GB"/>
              </w:rPr>
              <w:fldChar w:fldCharType="begin"/>
            </w:r>
            <w:r w:rsidRPr="006B29B5">
              <w:rPr>
                <w:rFonts w:eastAsia="Times New Roman"/>
                <w:sz w:val="18"/>
                <w:szCs w:val="18"/>
                <w:lang w:val="en-US" w:eastAsia="en-GB"/>
              </w:rPr>
              <w:instrText xml:space="preserve"> ADDIN ZOTERO_ITEM CSL_CITATION {"citationID":"Wldx33z6","properties":{"formattedCitation":"[43,44]","plainCitation":"[43,44]","noteIndex":0},"citationItems":[{"id":"ga4GnxTX/lYHb5TMd","uris":["http://zotero.org/users/local/k7mguTBH/items/VBQF2NFW"],"itemData":{"id":3481,"type":"article-journal","abstract":"Mendelian randomization is a framework that uses measured variation in genes for assessing and estimating the causal effect of an exposure on an outcome. Multivariable Mendelian randomization is an extension that can assess the causal effect of multiple exposures on an outcome, and can be advantageous when considering a set (&gt;1) of potentially correlated candidate risk factors in evaluating the causal effect of each on a health outcome, accounting for measured pleiotropy. This can be seen, for example, in determining the causal effects of lipids and cholesterol on type 2 diabetes risk, where the correlated risk factors share genetic predictors. Similar to univariate Mendelian randomization, multivariable Mendelian randomization can be conducted using two-sample summary-level data where the gene-exposure and gene-outcome associations are derived from separate samples from the same underlying population. Here, we present a protocol for conducting a two-sample multivariable Mendelian randomization study using the ‘MVMR’ package in R and summary-level genetic data. We also provide a protocol for searching and obtaining instruments using available data sources in the ‘MRInstruments’ R package. Finally, we provide general guidelines and discuss the utility of performing a multivariable Mendelian randomization analysis for simultaneously assessing causality of multiple exposures. © 2021 Wiley Periodicals LLC. Basic Protocol: Performing a two-sample multivariable Mendelian randomization analysis using the ‘MVMR’ package in R and summarized genetic data Support Protocol 1: Installing the ‘MVMR’ R package Support Protocol 2: Obtaining instruments from the ‘MRInstruments’ R package","container-title":"Current Protocols","DOI":"10.1002/cpz1.335","ISSN":"2691-1299","issue":"12","language":"en","note":"_eprint: https://onlinelibrary.wiley.com/doi/pdf/10.1002/cpz1.335","page":"e335","source":"Wiley Online Library","title":"Two-Sample Multivariable Mendelian Randomization Analysis Using R","volume":"1","author":[{"family":"Rasooly","given":"Danielle"},{"family":"Peloso","given":"Gina M."}],"issued":{"date-parts":[["2021"]]}},"label":"page"},{"id":"ga4GnxTX/iht5MPJP","uris":["http://zotero.org/users/local/k7mguTBH/items/GM8NRINA"],"itemData":{"id":"SjOawOTa/52N3erxz","type":"article-journal","abstract":"Horizontal pleiotropy occurs when the variant has an effect on disease outside of its effect on the exposure in Mendelian randomization (MR). Violation of the ‘no horizontal pleiotropy’ assumption can cause severe bias in MR. We developed the Mendelian randomization pleiotropy residual sum and outlier (MR-PRESSO) test to identify horizontal pleiotropic outliers in multi-instrument summary-level MR testing. We showed using simulations that the MR-PRESSO test is best suited when horizontal pleiotropy occurs in &lt;50% of instruments. Next we applied the MR-PRESSO test, along with several other MR tests, to complex traits and diseases and found that horizontal pleiotropy (i) was detectable in over 48% of significant causal relationships in MR; (ii) introduced distortions in the causal estimates in MR that ranged on average from –131% to 201%; (iii) induced false-positive causal relationships in up to 10% of relationships; and (iv) could be corrected in some but not all instances.","container-title":"Nature Genetics","DOI":"10.1038/s41588-018-0099-7","ISSN":"1546-1718","issue":"5","journalAbbreviation":"Nat Genet","language":"en","license":"2018 The Author(s)","note":"number: 5\npublisher: Nature Publishing Group","page":"693-698","source":"www.nature.com","title":"Detection of widespread horizontal pleiotropy in causal relationships inferred from Mendelian randomization between complex traits and diseases","volume":"50","author":[{"family":"Verbanck","given":"Marie"},{"family":"Chen","given":"Chia-Yen"},{"family":"Neale","given":"Benjamin"},{"family":"Do","given":"Ron"}],"issued":{"date-parts":[["2018",5]]}}}],"schema":"https://github.com/citation-style-language/schema/raw/master/csl-citation.json"} </w:instrText>
            </w:r>
            <w:r w:rsidRPr="00795EC6">
              <w:rPr>
                <w:rFonts w:eastAsia="Times New Roman"/>
                <w:sz w:val="18"/>
                <w:szCs w:val="18"/>
                <w:lang w:val="en-US" w:eastAsia="en-GB"/>
              </w:rPr>
              <w:fldChar w:fldCharType="separate"/>
            </w:r>
            <w:r w:rsidRPr="006B29B5">
              <w:rPr>
                <w:rFonts w:eastAsia="Times New Roman"/>
                <w:sz w:val="18"/>
                <w:szCs w:val="18"/>
                <w:lang w:val="en-US" w:eastAsia="en-GB"/>
              </w:rPr>
              <w:t>[43,44]</w:t>
            </w:r>
            <w:r w:rsidRPr="00795EC6">
              <w:rPr>
                <w:rFonts w:eastAsia="Times New Roman"/>
                <w:sz w:val="18"/>
                <w:szCs w:val="18"/>
                <w:lang w:val="en-US" w:eastAsia="en-GB"/>
              </w:rPr>
              <w:fldChar w:fldCharType="end"/>
            </w:r>
            <w:r w:rsidRPr="006B29B5">
              <w:rPr>
                <w:rFonts w:eastAsia="Times New Roman"/>
                <w:sz w:val="18"/>
                <w:szCs w:val="18"/>
                <w:lang w:val="en-US" w:eastAsia="en-GB"/>
              </w:rPr>
              <w:t>.</w:t>
            </w:r>
          </w:p>
        </w:tc>
      </w:tr>
      <w:tr w:rsidR="00D8098C" w:rsidRPr="00B853C6" w14:paraId="6A631D93" w14:textId="2BD5AA8E" w:rsidTr="00795EC6">
        <w:tc>
          <w:tcPr>
            <w:tcW w:w="587" w:type="dxa"/>
            <w:tcBorders>
              <w:bottom w:val="single" w:sz="6" w:space="0" w:color="7F7F7F"/>
            </w:tcBorders>
            <w:shd w:val="clear" w:color="auto" w:fill="EEEEEE"/>
          </w:tcPr>
          <w:p w14:paraId="37C8895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tcBorders>
              <w:bottom w:val="single" w:sz="6" w:space="0" w:color="7F7F7F"/>
            </w:tcBorders>
            <w:shd w:val="clear" w:color="auto" w:fill="EEEEEE"/>
          </w:tcPr>
          <w:p w14:paraId="2349B55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491" w:type="dxa"/>
            <w:tcBorders>
              <w:bottom w:val="single" w:sz="6" w:space="0" w:color="7F7F7F"/>
            </w:tcBorders>
            <w:shd w:val="clear" w:color="auto" w:fill="EEEEEE"/>
          </w:tcPr>
          <w:p w14:paraId="5DBE58D7"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whether the study protocol and details were pre-registered (as well as when and where)</w:t>
            </w:r>
          </w:p>
        </w:tc>
        <w:tc>
          <w:tcPr>
            <w:tcW w:w="1397" w:type="dxa"/>
            <w:tcBorders>
              <w:bottom w:val="single" w:sz="6" w:space="0" w:color="7F7F7F"/>
            </w:tcBorders>
            <w:shd w:val="clear" w:color="auto" w:fill="EEEEEE"/>
          </w:tcPr>
          <w:p w14:paraId="2325504F" w14:textId="36D77CDA" w:rsidR="00D8098C" w:rsidRPr="006B29B5" w:rsidRDefault="00D8098C" w:rsidP="006B29B5">
            <w:pPr>
              <w:spacing w:beforeLines="40" w:before="96" w:afterLines="40" w:after="96" w:line="24" w:lineRule="atLeast"/>
              <w:rPr>
                <w:rFonts w:eastAsiaTheme="minorEastAsia"/>
                <w:sz w:val="18"/>
                <w:szCs w:val="18"/>
                <w:lang w:val="en-GB" w:eastAsia="zh-CN"/>
              </w:rPr>
            </w:pPr>
          </w:p>
        </w:tc>
        <w:tc>
          <w:tcPr>
            <w:tcW w:w="4205" w:type="dxa"/>
            <w:tcBorders>
              <w:bottom w:val="single" w:sz="6" w:space="0" w:color="7F7F7F"/>
            </w:tcBorders>
            <w:shd w:val="clear" w:color="auto" w:fill="EEEEEE"/>
          </w:tcPr>
          <w:p w14:paraId="3EFCD231" w14:textId="0310EF1D" w:rsidR="006B29B5" w:rsidRPr="00795EC6" w:rsidRDefault="006B29B5" w:rsidP="00426603">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Not applicable</w:t>
            </w:r>
          </w:p>
        </w:tc>
      </w:tr>
      <w:tr w:rsidR="00D8098C" w:rsidRPr="00B853C6" w14:paraId="040F15E5" w14:textId="3B11C618" w:rsidTr="00795EC6">
        <w:tc>
          <w:tcPr>
            <w:tcW w:w="587" w:type="dxa"/>
            <w:tcBorders>
              <w:top w:val="single" w:sz="6" w:space="0" w:color="7F7F7F"/>
            </w:tcBorders>
            <w:shd w:val="clear" w:color="auto" w:fill="auto"/>
          </w:tcPr>
          <w:p w14:paraId="777278B3"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10" w:type="dxa"/>
            <w:tcBorders>
              <w:top w:val="single" w:sz="6" w:space="0" w:color="7F7F7F"/>
            </w:tcBorders>
            <w:shd w:val="clear" w:color="auto" w:fill="auto"/>
          </w:tcPr>
          <w:p w14:paraId="7D8D653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RESULTS</w:t>
            </w:r>
          </w:p>
        </w:tc>
        <w:tc>
          <w:tcPr>
            <w:tcW w:w="6491" w:type="dxa"/>
            <w:tcBorders>
              <w:top w:val="single" w:sz="6" w:space="0" w:color="7F7F7F"/>
            </w:tcBorders>
            <w:shd w:val="clear" w:color="auto" w:fill="auto"/>
          </w:tcPr>
          <w:p w14:paraId="3471928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1397" w:type="dxa"/>
            <w:tcBorders>
              <w:top w:val="single" w:sz="6" w:space="0" w:color="7F7F7F"/>
            </w:tcBorders>
          </w:tcPr>
          <w:p w14:paraId="0E355A6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205" w:type="dxa"/>
            <w:tcBorders>
              <w:top w:val="single" w:sz="6" w:space="0" w:color="7F7F7F"/>
            </w:tcBorders>
          </w:tcPr>
          <w:p w14:paraId="33E956D1" w14:textId="77777777" w:rsidR="00D8098C" w:rsidRPr="00795EC6" w:rsidRDefault="00D8098C" w:rsidP="00426603">
            <w:pPr>
              <w:spacing w:beforeLines="40" w:before="96" w:afterLines="40" w:after="96" w:line="24" w:lineRule="atLeast"/>
              <w:rPr>
                <w:rFonts w:eastAsia="Times New Roman"/>
                <w:sz w:val="18"/>
                <w:szCs w:val="18"/>
                <w:lang w:val="en-US" w:eastAsia="en-GB"/>
              </w:rPr>
            </w:pPr>
          </w:p>
        </w:tc>
      </w:tr>
      <w:tr w:rsidR="00D8098C" w:rsidRPr="00B853C6" w14:paraId="67F47EED" w14:textId="4A481C08" w:rsidTr="00795EC6">
        <w:tc>
          <w:tcPr>
            <w:tcW w:w="587" w:type="dxa"/>
            <w:shd w:val="clear" w:color="auto" w:fill="EEEEEE"/>
          </w:tcPr>
          <w:p w14:paraId="51C7A54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10</w:t>
            </w:r>
          </w:p>
        </w:tc>
        <w:tc>
          <w:tcPr>
            <w:tcW w:w="1810" w:type="dxa"/>
            <w:shd w:val="clear" w:color="auto" w:fill="EEEEEE"/>
          </w:tcPr>
          <w:p w14:paraId="731D0370"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Descriptive data</w:t>
            </w:r>
          </w:p>
        </w:tc>
        <w:tc>
          <w:tcPr>
            <w:tcW w:w="6491" w:type="dxa"/>
            <w:shd w:val="clear" w:color="auto" w:fill="EEEEEE"/>
          </w:tcPr>
          <w:p w14:paraId="3B19CDAF"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1397" w:type="dxa"/>
            <w:shd w:val="clear" w:color="auto" w:fill="EEEEEE"/>
          </w:tcPr>
          <w:p w14:paraId="1091FF5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205" w:type="dxa"/>
            <w:shd w:val="clear" w:color="auto" w:fill="EEEEEE"/>
          </w:tcPr>
          <w:p w14:paraId="4B684E79" w14:textId="77777777" w:rsidR="00D8098C" w:rsidRPr="00795EC6" w:rsidRDefault="00D8098C" w:rsidP="00426603">
            <w:pPr>
              <w:spacing w:beforeLines="40" w:before="96" w:afterLines="40" w:after="96" w:line="24" w:lineRule="atLeast"/>
              <w:rPr>
                <w:rFonts w:eastAsia="Times New Roman"/>
                <w:sz w:val="18"/>
                <w:szCs w:val="18"/>
                <w:lang w:val="en-US" w:eastAsia="en-GB"/>
              </w:rPr>
            </w:pPr>
          </w:p>
        </w:tc>
      </w:tr>
      <w:tr w:rsidR="00D8098C" w:rsidRPr="00B853C6" w14:paraId="6CA228D1" w14:textId="316B6A36" w:rsidTr="00795EC6">
        <w:tc>
          <w:tcPr>
            <w:tcW w:w="587" w:type="dxa"/>
            <w:shd w:val="clear" w:color="auto" w:fill="auto"/>
          </w:tcPr>
          <w:p w14:paraId="29B62776"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shd w:val="clear" w:color="auto" w:fill="auto"/>
          </w:tcPr>
          <w:p w14:paraId="4C1499C8"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491" w:type="dxa"/>
            <w:shd w:val="clear" w:color="auto" w:fill="auto"/>
          </w:tcPr>
          <w:p w14:paraId="4D5C652C" w14:textId="6B5065AC"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numbers of individuals at each stage of included studies and reasons for ex</w:t>
            </w:r>
            <w:r w:rsidR="000A4CE8">
              <w:rPr>
                <w:rFonts w:eastAsia="Times New Roman"/>
                <w:sz w:val="18"/>
                <w:szCs w:val="18"/>
                <w:lang w:val="en-GB" w:eastAsia="en-GB"/>
              </w:rPr>
              <w:t xml:space="preserve">clusion. Consider use of a flow </w:t>
            </w:r>
            <w:r w:rsidRPr="00A1236D">
              <w:rPr>
                <w:rFonts w:eastAsia="Times New Roman"/>
                <w:sz w:val="18"/>
                <w:szCs w:val="18"/>
                <w:lang w:val="en-GB" w:eastAsia="en-GB"/>
              </w:rPr>
              <w:t>diagram</w:t>
            </w:r>
          </w:p>
        </w:tc>
        <w:tc>
          <w:tcPr>
            <w:tcW w:w="1397" w:type="dxa"/>
          </w:tcPr>
          <w:p w14:paraId="7AF8CC23" w14:textId="4C4C3DEB" w:rsidR="00D8098C" w:rsidRPr="00B624AB" w:rsidRDefault="00B624AB"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11</w:t>
            </w:r>
          </w:p>
        </w:tc>
        <w:tc>
          <w:tcPr>
            <w:tcW w:w="4205" w:type="dxa"/>
          </w:tcPr>
          <w:p w14:paraId="00D65497" w14:textId="342E80C5" w:rsidR="00D8098C" w:rsidRPr="00795EC6" w:rsidRDefault="006B29B5" w:rsidP="00426603">
            <w:pPr>
              <w:spacing w:beforeLines="40" w:before="96" w:afterLines="40" w:after="96" w:line="24" w:lineRule="atLeast"/>
              <w:rPr>
                <w:rFonts w:eastAsia="Times New Roman"/>
                <w:sz w:val="18"/>
                <w:szCs w:val="18"/>
                <w:lang w:val="en-US" w:eastAsia="en-GB"/>
              </w:rPr>
            </w:pPr>
            <w:r w:rsidRPr="006B29B5">
              <w:rPr>
                <w:rFonts w:eastAsia="Times New Roman"/>
                <w:sz w:val="18"/>
                <w:szCs w:val="18"/>
                <w:lang w:val="en-US" w:eastAsia="en-GB"/>
              </w:rPr>
              <w:t>Supplementary Figure 15. The SNP screening process for three sets of bidirectional TSMR.</w:t>
            </w:r>
          </w:p>
        </w:tc>
      </w:tr>
      <w:tr w:rsidR="00D8098C" w:rsidRPr="00B853C6" w14:paraId="0765C344" w14:textId="3B2EDCCF" w:rsidTr="00795EC6">
        <w:tc>
          <w:tcPr>
            <w:tcW w:w="587" w:type="dxa"/>
            <w:shd w:val="clear" w:color="auto" w:fill="EEEEEE"/>
          </w:tcPr>
          <w:p w14:paraId="2404BFFB"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shd w:val="clear" w:color="auto" w:fill="EEEEEE"/>
          </w:tcPr>
          <w:p w14:paraId="6545C2F1"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491" w:type="dxa"/>
            <w:shd w:val="clear" w:color="auto" w:fill="EEEEEE"/>
          </w:tcPr>
          <w:p w14:paraId="405491AF" w14:textId="3F437E24" w:rsidR="00D8098C" w:rsidRPr="00A1236D" w:rsidRDefault="00D8098C" w:rsidP="009E033F">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summary statistics for phenotypic exposure(s), outcome(s)</w:t>
            </w:r>
            <w:r w:rsidR="000A4CE8">
              <w:rPr>
                <w:rFonts w:eastAsia="Times New Roman"/>
                <w:sz w:val="18"/>
                <w:szCs w:val="18"/>
                <w:lang w:val="en-GB" w:eastAsia="en-GB"/>
              </w:rPr>
              <w:t>,</w:t>
            </w:r>
            <w:r w:rsidRPr="00A1236D">
              <w:rPr>
                <w:rFonts w:eastAsia="Times New Roman"/>
                <w:sz w:val="18"/>
                <w:szCs w:val="18"/>
                <w:lang w:val="en-GB" w:eastAsia="en-GB"/>
              </w:rPr>
              <w:t xml:space="preserve"> and other relevant variables (e.g. means, </w:t>
            </w:r>
            <w:r w:rsidR="009E033F">
              <w:rPr>
                <w:rFonts w:eastAsia="Times New Roman"/>
                <w:sz w:val="18"/>
                <w:szCs w:val="18"/>
                <w:lang w:val="en-GB" w:eastAsia="en-GB"/>
              </w:rPr>
              <w:t>SDs</w:t>
            </w:r>
            <w:r w:rsidRPr="00A1236D">
              <w:rPr>
                <w:rFonts w:eastAsia="Times New Roman"/>
                <w:sz w:val="18"/>
                <w:szCs w:val="18"/>
                <w:lang w:val="en-GB" w:eastAsia="en-GB"/>
              </w:rPr>
              <w:t>, proportions)</w:t>
            </w:r>
          </w:p>
        </w:tc>
        <w:tc>
          <w:tcPr>
            <w:tcW w:w="1397" w:type="dxa"/>
            <w:shd w:val="clear" w:color="auto" w:fill="EEEEEE"/>
          </w:tcPr>
          <w:p w14:paraId="03BBA613" w14:textId="52073A83" w:rsidR="00D8098C" w:rsidRPr="00B624AB" w:rsidRDefault="00B624AB"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11</w:t>
            </w:r>
          </w:p>
        </w:tc>
        <w:tc>
          <w:tcPr>
            <w:tcW w:w="4205" w:type="dxa"/>
            <w:shd w:val="clear" w:color="auto" w:fill="EEEEEE"/>
          </w:tcPr>
          <w:p w14:paraId="0FD9D468" w14:textId="443FBA36" w:rsidR="00D8098C" w:rsidRPr="00795EC6" w:rsidRDefault="00B624AB" w:rsidP="00426603">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Not applicable as our study leverages previously published GWAS data where detailed individual-level phenotypic summaries are not disclosed due to data sharing and privacy policies. However, case and control numbers for each condition were reported as part of the data extraction process from these GWAS databases.</w:t>
            </w:r>
          </w:p>
        </w:tc>
      </w:tr>
      <w:tr w:rsidR="00D8098C" w:rsidRPr="00B853C6" w14:paraId="48F10342" w14:textId="398F2C24" w:rsidTr="00795EC6">
        <w:tc>
          <w:tcPr>
            <w:tcW w:w="587" w:type="dxa"/>
            <w:shd w:val="clear" w:color="auto" w:fill="auto"/>
          </w:tcPr>
          <w:p w14:paraId="6600AF43"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shd w:val="clear" w:color="auto" w:fill="auto"/>
          </w:tcPr>
          <w:p w14:paraId="435099F2"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6491" w:type="dxa"/>
            <w:shd w:val="clear" w:color="auto" w:fill="auto"/>
          </w:tcPr>
          <w:p w14:paraId="062EB561"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the data sources include meta-analyses of previous studies, provide the assessments of heterogeneity across these studies</w:t>
            </w:r>
          </w:p>
        </w:tc>
        <w:tc>
          <w:tcPr>
            <w:tcW w:w="1397" w:type="dxa"/>
          </w:tcPr>
          <w:p w14:paraId="10F6EF39" w14:textId="4DA46FDF" w:rsidR="00D8098C" w:rsidRPr="00B624AB" w:rsidRDefault="00B624AB"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11</w:t>
            </w:r>
          </w:p>
        </w:tc>
        <w:tc>
          <w:tcPr>
            <w:tcW w:w="4205" w:type="dxa"/>
          </w:tcPr>
          <w:p w14:paraId="449D40FD" w14:textId="40571E19" w:rsidR="00D8098C" w:rsidRPr="00795EC6" w:rsidRDefault="00B624AB" w:rsidP="00426603">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 xml:space="preserve">Not applicable as our study does not perform a traditional meta-analysis of heterogeneous studies but rather utilizes a single-source GWAS </w:t>
            </w:r>
            <w:r w:rsidRPr="00795EC6">
              <w:rPr>
                <w:rFonts w:eastAsia="Times New Roman"/>
                <w:sz w:val="18"/>
                <w:szCs w:val="18"/>
                <w:lang w:val="en-US" w:eastAsia="en-GB"/>
              </w:rPr>
              <w:lastRenderedPageBreak/>
              <w:t>dataset for each condition, thus ensuring uniformity in data handling and analysis protocols.</w:t>
            </w:r>
          </w:p>
        </w:tc>
      </w:tr>
      <w:tr w:rsidR="00D8098C" w:rsidRPr="00B853C6" w14:paraId="51930A8C" w14:textId="221D5A9E" w:rsidTr="00795EC6">
        <w:tc>
          <w:tcPr>
            <w:tcW w:w="587" w:type="dxa"/>
            <w:shd w:val="clear" w:color="auto" w:fill="EEEEEE"/>
          </w:tcPr>
          <w:p w14:paraId="6116DD9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shd w:val="clear" w:color="auto" w:fill="EEEEEE"/>
          </w:tcPr>
          <w:p w14:paraId="453F787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6491" w:type="dxa"/>
            <w:shd w:val="clear" w:color="auto" w:fill="EEEEEE"/>
          </w:tcPr>
          <w:p w14:paraId="2EFD572E" w14:textId="5230C0F8" w:rsidR="00D8098C" w:rsidRPr="00A1236D" w:rsidRDefault="00D8098C" w:rsidP="00426603">
            <w:pPr>
              <w:spacing w:beforeLines="40" w:before="96" w:afterLines="40" w:after="96" w:line="24" w:lineRule="atLeast"/>
              <w:rPr>
                <w:rFonts w:eastAsia="Times New Roman"/>
                <w:sz w:val="18"/>
                <w:szCs w:val="18"/>
                <w:lang w:val="en-GB" w:eastAsia="en-GB"/>
              </w:rPr>
            </w:pPr>
            <w:r w:rsidRPr="009E033F">
              <w:rPr>
                <w:rFonts w:eastAsia="Times New Roman"/>
                <w:sz w:val="18"/>
                <w:szCs w:val="18"/>
                <w:lang w:val="en-GB" w:eastAsia="en-GB"/>
              </w:rPr>
              <w:t xml:space="preserve">For </w:t>
            </w:r>
            <w:r w:rsidRPr="009E033F">
              <w:rPr>
                <w:rFonts w:eastAsia="Times New Roman"/>
                <w:iCs/>
                <w:sz w:val="18"/>
                <w:szCs w:val="18"/>
                <w:lang w:val="en-GB" w:eastAsia="en-GB"/>
              </w:rPr>
              <w:t>two-sample</w:t>
            </w:r>
            <w:r w:rsidRPr="00A1236D">
              <w:rPr>
                <w:rFonts w:eastAsia="Times New Roman"/>
                <w:sz w:val="18"/>
                <w:szCs w:val="18"/>
                <w:lang w:val="en-GB" w:eastAsia="en-GB"/>
              </w:rPr>
              <w:t xml:space="preserve"> </w:t>
            </w:r>
            <w:r w:rsidR="009E033F">
              <w:rPr>
                <w:rFonts w:eastAsia="Times New Roman"/>
                <w:sz w:val="18"/>
                <w:szCs w:val="18"/>
                <w:lang w:val="en-GB" w:eastAsia="en-GB"/>
              </w:rPr>
              <w:t>MR</w:t>
            </w:r>
            <w:r w:rsidRPr="00A1236D">
              <w:rPr>
                <w:rFonts w:eastAsia="Times New Roman"/>
                <w:sz w:val="18"/>
                <w:szCs w:val="18"/>
                <w:lang w:val="en-GB" w:eastAsia="en-GB"/>
              </w:rPr>
              <w:t>:</w:t>
            </w:r>
          </w:p>
          <w:p w14:paraId="48065368"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   </w:t>
            </w:r>
            <w:proofErr w:type="spellStart"/>
            <w:r w:rsidRPr="00A1236D">
              <w:rPr>
                <w:rFonts w:eastAsia="Times New Roman"/>
                <w:sz w:val="18"/>
                <w:szCs w:val="18"/>
                <w:lang w:val="en-GB" w:eastAsia="en-GB"/>
              </w:rPr>
              <w:t>i</w:t>
            </w:r>
            <w:proofErr w:type="spellEnd"/>
            <w:r w:rsidRPr="00A1236D">
              <w:rPr>
                <w:rFonts w:eastAsia="Times New Roman"/>
                <w:sz w:val="18"/>
                <w:szCs w:val="18"/>
                <w:lang w:val="en-GB" w:eastAsia="en-GB"/>
              </w:rPr>
              <w:t>.  Provide justification of the similarity of the genetic variant-exposure associations between the exposure and outcome samples</w:t>
            </w:r>
          </w:p>
          <w:p w14:paraId="35BA9280"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   ii.  Provide information on the number of individuals who overlap between the exposure and outcome studies</w:t>
            </w:r>
          </w:p>
        </w:tc>
        <w:tc>
          <w:tcPr>
            <w:tcW w:w="1397" w:type="dxa"/>
            <w:shd w:val="clear" w:color="auto" w:fill="EEEEEE"/>
          </w:tcPr>
          <w:p w14:paraId="4948EE3D" w14:textId="06A0D22E" w:rsidR="00D8098C" w:rsidRPr="00B624AB" w:rsidRDefault="00B624AB"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11</w:t>
            </w:r>
          </w:p>
        </w:tc>
        <w:tc>
          <w:tcPr>
            <w:tcW w:w="4205" w:type="dxa"/>
            <w:shd w:val="clear" w:color="auto" w:fill="EEEEEE"/>
          </w:tcPr>
          <w:p w14:paraId="0FC7BCA4" w14:textId="77777777" w:rsidR="00B624AB" w:rsidRPr="00795EC6" w:rsidRDefault="00B624AB" w:rsidP="00B624AB">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 xml:space="preserve">The similarity of genetic variant exposure associations between the exposure and outcome samples in this study can be justified </w:t>
            </w:r>
            <w:proofErr w:type="gramStart"/>
            <w:r w:rsidRPr="00795EC6">
              <w:rPr>
                <w:rFonts w:eastAsia="Times New Roman"/>
                <w:sz w:val="18"/>
                <w:szCs w:val="18"/>
                <w:lang w:val="en-US" w:eastAsia="en-GB"/>
              </w:rPr>
              <w:t>on the basis of</w:t>
            </w:r>
            <w:proofErr w:type="gramEnd"/>
            <w:r w:rsidRPr="00795EC6">
              <w:rPr>
                <w:rFonts w:eastAsia="Times New Roman"/>
                <w:sz w:val="18"/>
                <w:szCs w:val="18"/>
                <w:lang w:val="en-US" w:eastAsia="en-GB"/>
              </w:rPr>
              <w:t xml:space="preserve"> several factors. First, biological plausibility supports a potential causal relationship between asthma and OA, as well as GERD and OA, as demonstrated by previous observational studies. Second, the study design used a bidirectional TSMR approach using a large-scale GWAS dataset. Third, the selection of genetic instruments for exposure and outcome variables further supported the similarity of these associations. Finally, the statistical analysis methods employed in the study, including six different methods, further validated the similarity of the genetic variation-exposure associations. Together, these factors enhance the validity and reliability of the study results.</w:t>
            </w:r>
            <w:r w:rsidRPr="00795EC6">
              <w:rPr>
                <w:rFonts w:eastAsia="Times New Roman"/>
                <w:sz w:val="18"/>
                <w:szCs w:val="18"/>
                <w:lang w:val="en-US" w:eastAsia="en-GB"/>
              </w:rPr>
              <w:br/>
              <w:t>Not applicable, as the analyses were conducted using non-overlapping datasets for exposures and outcomes to maintain the validity of the Mendelian randomization assumptions, particularly the independence from pleiotropic effects that could bias the results.</w:t>
            </w:r>
            <w:r w:rsidRPr="00795EC6">
              <w:rPr>
                <w:rFonts w:eastAsia="Times New Roman"/>
                <w:sz w:val="18"/>
                <w:szCs w:val="18"/>
                <w:lang w:val="en-US" w:eastAsia="en-GB"/>
              </w:rPr>
              <w:br/>
              <w:t>We used an online calculator to characterize and assess possible bias and type 1 error rates due to sample overlap (</w:t>
            </w:r>
            <w:hyperlink r:id="rId11" w:history="1">
              <w:r w:rsidRPr="00795EC6">
                <w:rPr>
                  <w:rFonts w:eastAsia="Times New Roman"/>
                  <w:lang w:val="en-US" w:eastAsia="en-GB"/>
                </w:rPr>
                <w:t>https://sb452.shinyapps.io/overlap/</w:t>
              </w:r>
            </w:hyperlink>
            <w:r w:rsidRPr="00795EC6">
              <w:rPr>
                <w:rFonts w:eastAsia="Times New Roman"/>
                <w:sz w:val="18"/>
                <w:szCs w:val="18"/>
                <w:lang w:val="en-US" w:eastAsia="en-GB"/>
              </w:rPr>
              <w:t>).</w:t>
            </w:r>
          </w:p>
          <w:p w14:paraId="5B2A1A71" w14:textId="7C9C8B8F" w:rsidR="00D8098C" w:rsidRPr="00795EC6" w:rsidRDefault="00B624AB" w:rsidP="00B624AB">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Even in the case of 50 percent overlap of the two samples, asthma, the bias caused by GERD on OA, KOA, and HOA was [0.007, 0.007, 0.007] and [0.011, 0.011, 0.012], respectively.</w:t>
            </w:r>
          </w:p>
        </w:tc>
      </w:tr>
      <w:tr w:rsidR="00D8098C" w:rsidRPr="00B853C6" w14:paraId="52CFCA59" w14:textId="5AC9CE3E" w:rsidTr="00795EC6">
        <w:tc>
          <w:tcPr>
            <w:tcW w:w="587" w:type="dxa"/>
            <w:shd w:val="clear" w:color="auto" w:fill="auto"/>
          </w:tcPr>
          <w:p w14:paraId="110872B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11</w:t>
            </w:r>
          </w:p>
        </w:tc>
        <w:tc>
          <w:tcPr>
            <w:tcW w:w="1810" w:type="dxa"/>
            <w:shd w:val="clear" w:color="auto" w:fill="auto"/>
          </w:tcPr>
          <w:p w14:paraId="0C26298F"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Main results</w:t>
            </w:r>
          </w:p>
        </w:tc>
        <w:tc>
          <w:tcPr>
            <w:tcW w:w="6491" w:type="dxa"/>
            <w:shd w:val="clear" w:color="auto" w:fill="auto"/>
          </w:tcPr>
          <w:p w14:paraId="2F14FA3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1397" w:type="dxa"/>
          </w:tcPr>
          <w:p w14:paraId="035B336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205" w:type="dxa"/>
          </w:tcPr>
          <w:p w14:paraId="0AFA0083" w14:textId="77777777" w:rsidR="00D8098C" w:rsidRPr="00795EC6" w:rsidRDefault="00D8098C" w:rsidP="00426603">
            <w:pPr>
              <w:spacing w:beforeLines="40" w:before="96" w:afterLines="40" w:after="96" w:line="24" w:lineRule="atLeast"/>
              <w:rPr>
                <w:rFonts w:eastAsia="Times New Roman"/>
                <w:sz w:val="18"/>
                <w:szCs w:val="18"/>
                <w:lang w:val="en-US" w:eastAsia="en-GB"/>
              </w:rPr>
            </w:pPr>
          </w:p>
        </w:tc>
      </w:tr>
      <w:tr w:rsidR="00D8098C" w:rsidRPr="00B853C6" w14:paraId="56845A2A" w14:textId="1DC0780C" w:rsidTr="00795EC6">
        <w:tc>
          <w:tcPr>
            <w:tcW w:w="587" w:type="dxa"/>
            <w:shd w:val="clear" w:color="auto" w:fill="EEEEEE"/>
          </w:tcPr>
          <w:p w14:paraId="0892A54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shd w:val="clear" w:color="auto" w:fill="EEEEEE"/>
          </w:tcPr>
          <w:p w14:paraId="7CDB72AD"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491" w:type="dxa"/>
            <w:shd w:val="clear" w:color="auto" w:fill="EEEEEE"/>
          </w:tcPr>
          <w:p w14:paraId="09CB478B"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associations between genetic variant and exposure, and between genetic variant and outcome, preferably on an interpretable scale</w:t>
            </w:r>
          </w:p>
        </w:tc>
        <w:tc>
          <w:tcPr>
            <w:tcW w:w="1397" w:type="dxa"/>
            <w:shd w:val="clear" w:color="auto" w:fill="EEEEEE"/>
          </w:tcPr>
          <w:p w14:paraId="7F1B8B69" w14:textId="2CE5B07A" w:rsidR="00D8098C" w:rsidRPr="00B624AB" w:rsidRDefault="00B624AB"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11-16</w:t>
            </w:r>
          </w:p>
        </w:tc>
        <w:tc>
          <w:tcPr>
            <w:tcW w:w="4205" w:type="dxa"/>
            <w:shd w:val="clear" w:color="auto" w:fill="EEEEEE"/>
          </w:tcPr>
          <w:p w14:paraId="7BCA1C07" w14:textId="33C83D34" w:rsidR="00D8098C" w:rsidRPr="00795EC6" w:rsidRDefault="00B624AB" w:rsidP="00426603">
            <w:pPr>
              <w:spacing w:beforeLines="40" w:before="96" w:afterLines="40" w:after="96" w:line="24" w:lineRule="atLeast"/>
              <w:rPr>
                <w:rFonts w:eastAsia="Times New Roman"/>
                <w:sz w:val="18"/>
                <w:szCs w:val="18"/>
                <w:lang w:val="en-US" w:eastAsia="en-GB"/>
              </w:rPr>
            </w:pPr>
            <w:r w:rsidRPr="00B624AB">
              <w:rPr>
                <w:rFonts w:eastAsia="Times New Roman"/>
                <w:sz w:val="18"/>
                <w:szCs w:val="18"/>
                <w:lang w:val="en-US" w:eastAsia="en-GB"/>
              </w:rPr>
              <w:t xml:space="preserve">Bidirectional MR analysis reveals mutual increased risks between asthma and GERD (asthma to GERD OR=1.55, 95% CI=1.20-2.01, P&lt;.001; GERD to asthma OR=1.04, 95% CI=1.03-1.04, P&lt;.001), and associations with OA  (asthma to overall OA OR=1.03, 95% CI=1.01-1.05, P=.01; asthma to KOA OR=1.67, 95% CI=1.20-2.32, P&lt;.01; overall OA to asthma OR=1.12, 95% CI=1.03-1.21, P=.01; KOA to </w:t>
            </w:r>
            <w:r w:rsidRPr="00B624AB">
              <w:rPr>
                <w:rFonts w:eastAsia="Times New Roman"/>
                <w:sz w:val="18"/>
                <w:szCs w:val="18"/>
                <w:lang w:val="en-US" w:eastAsia="en-GB"/>
              </w:rPr>
              <w:lastRenderedPageBreak/>
              <w:t xml:space="preserve">asthma OR=1.0034, 95% CI=1.0001-1.0069, P=.03). No significant associations were found between </w:t>
            </w:r>
            <w:r w:rsidRPr="00B624AB">
              <w:rPr>
                <w:rFonts w:eastAsia="Times New Roman" w:hint="eastAsia"/>
                <w:sz w:val="18"/>
                <w:szCs w:val="18"/>
                <w:lang w:val="en-US" w:eastAsia="en-GB"/>
              </w:rPr>
              <w:t>asthma</w:t>
            </w:r>
            <w:r w:rsidRPr="00B624AB">
              <w:rPr>
                <w:rFonts w:eastAsia="Times New Roman"/>
                <w:sz w:val="18"/>
                <w:szCs w:val="18"/>
                <w:lang w:val="en-US" w:eastAsia="en-GB"/>
              </w:rPr>
              <w:t xml:space="preserve"> and HOA. GERD is associated with an increased risk for OA (OR=1.03, 95% CI=1.03-1.04, P&lt;.001 for overall OA; OR=1.72, 95% CI=1.59-1.86, P&lt;.001 for KOA; OR=1.32, 95% CI=1.20-1.45, P&lt;.001 for HOA) and vice versa for OA subtypes increasing the risk of GERD (overall OA OR=5.32, 95% CI=2.74-10.36, P&lt;.001; KOA OR=1.12, 95% CI=1.09-1.16, P&lt;.001; HOA OR=1.05, 95% CI=1.02-1.07, P&lt;.001). NSAIDs exhibit a protective effect against asthma in OA patients (β=-0.40, 95% CI=-0.60 to -0.20, P&lt;.001), but their impact on the progression from OA to GERD is marked by variability, as indicated by the wide CI (β=0.68, 95% CI=-0.32 to 1.68, P&lt;.001).</w:t>
            </w:r>
          </w:p>
        </w:tc>
      </w:tr>
      <w:tr w:rsidR="00D8098C" w:rsidRPr="00B853C6" w14:paraId="2FAEFE68" w14:textId="09D82DE1" w:rsidTr="00795EC6">
        <w:tc>
          <w:tcPr>
            <w:tcW w:w="587" w:type="dxa"/>
            <w:shd w:val="clear" w:color="auto" w:fill="auto"/>
          </w:tcPr>
          <w:p w14:paraId="2E83DFB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shd w:val="clear" w:color="auto" w:fill="auto"/>
          </w:tcPr>
          <w:p w14:paraId="142A3CE2"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491" w:type="dxa"/>
            <w:shd w:val="clear" w:color="auto" w:fill="auto"/>
          </w:tcPr>
          <w:p w14:paraId="336E75EE" w14:textId="144F95EC" w:rsidR="00D8098C" w:rsidRPr="00A1236D" w:rsidRDefault="00D8098C" w:rsidP="009E033F">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MR estimates of the relationship between exposure and outcome, and the measures of uncertainty from the MR analysis, on an interpretable scale, such as odds ratio or relative risk per </w:t>
            </w:r>
            <w:r w:rsidR="009E033F">
              <w:rPr>
                <w:rFonts w:eastAsia="Times New Roman"/>
                <w:sz w:val="18"/>
                <w:szCs w:val="18"/>
                <w:lang w:val="en-GB" w:eastAsia="en-GB"/>
              </w:rPr>
              <w:t>SD</w:t>
            </w:r>
            <w:r w:rsidRPr="00A1236D">
              <w:rPr>
                <w:rFonts w:eastAsia="Times New Roman"/>
                <w:sz w:val="18"/>
                <w:szCs w:val="18"/>
                <w:lang w:val="en-GB" w:eastAsia="en-GB"/>
              </w:rPr>
              <w:t xml:space="preserve"> difference</w:t>
            </w:r>
          </w:p>
        </w:tc>
        <w:tc>
          <w:tcPr>
            <w:tcW w:w="1397" w:type="dxa"/>
          </w:tcPr>
          <w:p w14:paraId="1E1B567F" w14:textId="5EF0EF3A" w:rsidR="00D8098C" w:rsidRPr="00A1236D" w:rsidRDefault="00B624AB" w:rsidP="00426603">
            <w:pPr>
              <w:spacing w:beforeLines="40" w:before="96" w:afterLines="40" w:after="96" w:line="24" w:lineRule="atLeast"/>
              <w:rPr>
                <w:rFonts w:eastAsia="Times New Roman"/>
                <w:sz w:val="18"/>
                <w:szCs w:val="18"/>
                <w:lang w:val="en-GB" w:eastAsia="en-GB"/>
              </w:rPr>
            </w:pPr>
            <w:r w:rsidRPr="00B624AB">
              <w:rPr>
                <w:rFonts w:eastAsia="Times New Roman" w:hint="eastAsia"/>
                <w:sz w:val="18"/>
                <w:szCs w:val="18"/>
                <w:lang w:val="en-GB" w:eastAsia="en-GB"/>
              </w:rPr>
              <w:t>11-16</w:t>
            </w:r>
          </w:p>
        </w:tc>
        <w:tc>
          <w:tcPr>
            <w:tcW w:w="4205" w:type="dxa"/>
          </w:tcPr>
          <w:p w14:paraId="6388FE67" w14:textId="77777777" w:rsidR="00B624AB" w:rsidRPr="00B624AB" w:rsidRDefault="00B624AB" w:rsidP="00B624AB">
            <w:pPr>
              <w:spacing w:beforeLines="40" w:before="96" w:afterLines="40" w:after="96" w:line="24" w:lineRule="atLeast"/>
              <w:rPr>
                <w:rFonts w:eastAsia="Times New Roman"/>
                <w:sz w:val="18"/>
                <w:szCs w:val="18"/>
                <w:lang w:val="en-US" w:eastAsia="en-GB"/>
              </w:rPr>
            </w:pPr>
            <w:r w:rsidRPr="00B624AB">
              <w:rPr>
                <w:rFonts w:eastAsia="Times New Roman"/>
                <w:sz w:val="18"/>
                <w:szCs w:val="18"/>
                <w:lang w:val="en-US" w:eastAsia="en-GB"/>
              </w:rPr>
              <w:t>In our analysis, utilizing the MR-PRESSO correction process, we aimed to minimize the effects of heterogeneity and horizontal pleiotropy. All SNPs demonstrated F-statistic values surpassing 10, indicating that the instruments are robust for MR analysis, rather than weak. Through the IVW method, our primary MR analysis indicated a significant association between asthma and both overall OA</w:t>
            </w:r>
            <w:bookmarkStart w:id="16" w:name="_Hlk158126434"/>
            <w:r w:rsidRPr="00B624AB">
              <w:rPr>
                <w:rFonts w:eastAsia="Times New Roman"/>
                <w:sz w:val="18"/>
                <w:szCs w:val="18"/>
                <w:lang w:val="en-US" w:eastAsia="en-GB"/>
              </w:rPr>
              <w:t xml:space="preserve"> [IVW: OR=1.03, 95% CI = 1.01-1.05, P=.01] </w:t>
            </w:r>
            <w:bookmarkEnd w:id="16"/>
            <w:r w:rsidRPr="00B624AB">
              <w:rPr>
                <w:rFonts w:eastAsia="Times New Roman"/>
                <w:sz w:val="18"/>
                <w:szCs w:val="18"/>
                <w:lang w:val="en-US" w:eastAsia="en-GB"/>
              </w:rPr>
              <w:t xml:space="preserve">and KOA [IVW: OR=1.67, 95% CI = 1.20-2.32, P&lt; .01], while no such association was observed with HOA [IVW: OR=1.01, 95% CI = 0.67-1.54, P=.32]. These findings suggest that individuals with asthma may have an increased risk of developing OA, particularly KOA, which may point to shared genetic or environmental pathways between these conditions. Conversely, an association was observed between overall OA [IVW: OR=1.12, 95% CI = 1.03-1.21, P=.01] and </w:t>
            </w:r>
            <w:bookmarkStart w:id="17" w:name="_Hlk158130233"/>
            <w:r w:rsidRPr="00B624AB">
              <w:rPr>
                <w:rFonts w:eastAsia="Times New Roman"/>
                <w:sz w:val="18"/>
                <w:szCs w:val="18"/>
                <w:lang w:val="en-US" w:eastAsia="en-GB"/>
              </w:rPr>
              <w:t xml:space="preserve">KOA [IVW: OR=1.0034, 95% CI=1.0001-1.0069, P=.03] </w:t>
            </w:r>
            <w:bookmarkEnd w:id="17"/>
            <w:r w:rsidRPr="00B624AB">
              <w:rPr>
                <w:rFonts w:eastAsia="Times New Roman"/>
                <w:sz w:val="18"/>
                <w:szCs w:val="18"/>
                <w:lang w:val="en-US" w:eastAsia="en-GB"/>
              </w:rPr>
              <w:t xml:space="preserve">with asthma, but not with HOA [IVW: OR=1.00, 95% CI = 1.00-1.00, P=.30]. Supplementary Figures 1-6 offer additional insights into the data distribution, robustness of results through leave-one-out tests, and potential biases assessed using funnel plots. We observed no significant influence of SNPs on the analyzed associations. The leave-one-out analysis further confirmed that no individual SNP disproportionately influenced </w:t>
            </w:r>
            <w:r w:rsidRPr="00B624AB">
              <w:rPr>
                <w:rFonts w:eastAsia="Times New Roman"/>
                <w:sz w:val="18"/>
                <w:szCs w:val="18"/>
                <w:lang w:val="en-US" w:eastAsia="en-GB"/>
              </w:rPr>
              <w:lastRenderedPageBreak/>
              <w:t>the observed associations between asthma and OA, as visually depicted in Figure 3.</w:t>
            </w:r>
          </w:p>
          <w:p w14:paraId="1994B253" w14:textId="61041D8A" w:rsidR="00B624AB" w:rsidRPr="00B624AB" w:rsidRDefault="00B624AB" w:rsidP="00B624AB">
            <w:pPr>
              <w:spacing w:beforeLines="40" w:before="96" w:afterLines="40" w:after="96" w:line="24" w:lineRule="atLeast"/>
              <w:rPr>
                <w:rFonts w:eastAsia="Times New Roman"/>
                <w:sz w:val="18"/>
                <w:szCs w:val="18"/>
                <w:lang w:val="en-US" w:eastAsia="en-GB"/>
              </w:rPr>
            </w:pPr>
          </w:p>
          <w:p w14:paraId="7889EC1F" w14:textId="77777777" w:rsidR="00B624AB" w:rsidRPr="00B624AB" w:rsidRDefault="00B624AB" w:rsidP="00B624AB">
            <w:pPr>
              <w:spacing w:beforeLines="40" w:before="96" w:afterLines="40" w:after="96" w:line="24" w:lineRule="atLeast"/>
              <w:rPr>
                <w:rFonts w:eastAsia="Times New Roman"/>
                <w:sz w:val="18"/>
                <w:szCs w:val="18"/>
                <w:lang w:val="en-US" w:eastAsia="en-GB"/>
              </w:rPr>
            </w:pPr>
            <w:r w:rsidRPr="00B624AB">
              <w:rPr>
                <w:rFonts w:eastAsia="Times New Roman"/>
                <w:sz w:val="18"/>
                <w:szCs w:val="18"/>
                <w:lang w:val="en-US" w:eastAsia="en-GB"/>
              </w:rPr>
              <w:t>Figure 3: The forest plot of TSMR analyses exploring bidirectional associations between asthma to overall OA, KOA, and HOA risk using different MR statistical models. Causal estimates are given as odds ratio (OR) and 95% confidence intervals (CIs).</w:t>
            </w:r>
          </w:p>
          <w:p w14:paraId="5E345686" w14:textId="77777777" w:rsidR="00B624AB" w:rsidRPr="00B624AB" w:rsidRDefault="00B624AB" w:rsidP="00B624AB">
            <w:pPr>
              <w:tabs>
                <w:tab w:val="num" w:pos="567"/>
              </w:tabs>
              <w:spacing w:beforeLines="40" w:before="96" w:afterLines="40" w:after="96" w:line="24" w:lineRule="atLeast"/>
              <w:rPr>
                <w:rFonts w:eastAsia="Times New Roman"/>
                <w:sz w:val="18"/>
                <w:szCs w:val="18"/>
                <w:lang w:val="en-US" w:eastAsia="en-GB"/>
              </w:rPr>
            </w:pPr>
            <w:r w:rsidRPr="00B624AB">
              <w:rPr>
                <w:rFonts w:eastAsia="Times New Roman"/>
                <w:sz w:val="18"/>
                <w:szCs w:val="18"/>
                <w:lang w:val="en-US" w:eastAsia="en-GB"/>
              </w:rPr>
              <w:t>Bidirectional associations of GERD and subtypes on OA</w:t>
            </w:r>
          </w:p>
          <w:p w14:paraId="18E836DD" w14:textId="77777777" w:rsidR="00B624AB" w:rsidRPr="00B624AB" w:rsidRDefault="00B624AB" w:rsidP="00B624AB">
            <w:pPr>
              <w:spacing w:beforeLines="40" w:before="96" w:afterLines="40" w:after="96" w:line="24" w:lineRule="atLeast"/>
              <w:rPr>
                <w:rFonts w:eastAsia="Times New Roman"/>
                <w:sz w:val="18"/>
                <w:szCs w:val="18"/>
                <w:lang w:val="en-US" w:eastAsia="en-GB"/>
              </w:rPr>
            </w:pPr>
            <w:r w:rsidRPr="00B624AB">
              <w:rPr>
                <w:rFonts w:eastAsia="Times New Roman"/>
                <w:sz w:val="18"/>
                <w:szCs w:val="18"/>
                <w:lang w:val="en-US" w:eastAsia="en-GB"/>
              </w:rPr>
              <w:t>In our investigation into the potential bidirectional associations between GERD and OA subtypes, our MR analysis, utilizing selected SNPs, suggested that GERD is associated with an increased risk of developing OA. This includes specific associations with overall OA [IVW: OR=1.03, 95% CI = 1.03-1.04, P&lt; .001], KOA [IVW: OR=1.72, 95% CI = 1.59-1.86, P&lt; .001], and HOA [IVW: OR=1.32, 95% CI = 1.20-1.45, P&lt; .001]. Conversely, we observed associations suggesting that each OA subtype may be linked to an increased risk of GERD, with overall OA presenting the most substantial association [IVW: OR=5.32, 95% CI = 2.74-10.36, P&lt; .001], followed by KOA [IVW: OR=1.12, 95% CI = 1.09-1.16, P&lt; .001], and HOA [IVW: OR=1.05, 95% CI = 1.02-1.07, P&lt; .001]. These findings were consistent across most applied methods. Supplementary Figures 7-12 further detail the associations between GERD and OA subtypes, showcasing data distribution, the robustness of results, and the assessment of potential biases. Sensitivity analyses, including MR-PRESSO, were employed to address and correct for any significant heterogeneity and horizontal pleiotropy observed in our data. Figure 4 graphically depicts the observed associations between GERD and OA, underscoring their potential bidirectional nature.</w:t>
            </w:r>
          </w:p>
          <w:p w14:paraId="1F8D6A25" w14:textId="1B378DB1" w:rsidR="00B624AB" w:rsidRPr="00B624AB" w:rsidRDefault="00B624AB" w:rsidP="00B624AB">
            <w:pPr>
              <w:spacing w:beforeLines="40" w:before="96" w:afterLines="40" w:after="96" w:line="24" w:lineRule="atLeast"/>
              <w:rPr>
                <w:rFonts w:eastAsia="Times New Roman"/>
                <w:sz w:val="18"/>
                <w:szCs w:val="18"/>
                <w:lang w:val="en-US" w:eastAsia="en-GB"/>
              </w:rPr>
            </w:pPr>
          </w:p>
          <w:p w14:paraId="0F2DC737" w14:textId="77777777" w:rsidR="00B624AB" w:rsidRPr="00B624AB" w:rsidRDefault="00B624AB" w:rsidP="00B624AB">
            <w:pPr>
              <w:spacing w:beforeLines="40" w:before="96" w:afterLines="40" w:after="96" w:line="24" w:lineRule="atLeast"/>
              <w:rPr>
                <w:rFonts w:eastAsia="Times New Roman"/>
                <w:sz w:val="18"/>
                <w:szCs w:val="18"/>
                <w:lang w:val="en-US" w:eastAsia="en-GB"/>
              </w:rPr>
            </w:pPr>
            <w:r w:rsidRPr="00B624AB">
              <w:rPr>
                <w:rFonts w:eastAsia="Times New Roman"/>
                <w:sz w:val="18"/>
                <w:szCs w:val="18"/>
                <w:lang w:val="en-US" w:eastAsia="en-GB"/>
              </w:rPr>
              <w:t xml:space="preserve">Figure 4: The forest plot of TSMR analyses exploring bidirectional associations between GERD to overall OA, KOA, and HOA risk using different MR statistical models. Causal estimates </w:t>
            </w:r>
            <w:r w:rsidRPr="00B624AB">
              <w:rPr>
                <w:rFonts w:eastAsia="Times New Roman"/>
                <w:sz w:val="18"/>
                <w:szCs w:val="18"/>
                <w:lang w:val="en-US" w:eastAsia="en-GB"/>
              </w:rPr>
              <w:lastRenderedPageBreak/>
              <w:t>are given as odds ratio (OR) and 95% confidence intervals (CIs).</w:t>
            </w:r>
          </w:p>
          <w:p w14:paraId="6A403E2D" w14:textId="77777777" w:rsidR="00B624AB" w:rsidRPr="00B624AB" w:rsidRDefault="00B624AB" w:rsidP="00B624AB">
            <w:pPr>
              <w:tabs>
                <w:tab w:val="num" w:pos="567"/>
              </w:tabs>
              <w:spacing w:beforeLines="40" w:before="96" w:afterLines="40" w:after="96" w:line="24" w:lineRule="atLeast"/>
              <w:rPr>
                <w:rFonts w:eastAsia="Times New Roman"/>
                <w:sz w:val="18"/>
                <w:szCs w:val="18"/>
                <w:lang w:val="en-US" w:eastAsia="en-GB"/>
              </w:rPr>
            </w:pPr>
            <w:r w:rsidRPr="00B624AB">
              <w:rPr>
                <w:rFonts w:eastAsia="Times New Roman"/>
                <w:sz w:val="18"/>
                <w:szCs w:val="18"/>
                <w:lang w:val="en-US" w:eastAsia="en-GB"/>
              </w:rPr>
              <w:t>Bidirectional associations of asthma and GERD</w:t>
            </w:r>
          </w:p>
          <w:p w14:paraId="3D9E4334" w14:textId="77777777" w:rsidR="00B624AB" w:rsidRPr="00B624AB" w:rsidRDefault="00B624AB" w:rsidP="00B624AB">
            <w:pPr>
              <w:spacing w:beforeLines="40" w:before="96" w:afterLines="40" w:after="96" w:line="24" w:lineRule="atLeast"/>
              <w:rPr>
                <w:rFonts w:eastAsia="Times New Roman"/>
                <w:sz w:val="18"/>
                <w:szCs w:val="18"/>
                <w:lang w:val="en-US" w:eastAsia="en-GB"/>
              </w:rPr>
            </w:pPr>
            <w:r w:rsidRPr="00B624AB">
              <w:rPr>
                <w:rFonts w:eastAsia="Times New Roman"/>
                <w:sz w:val="18"/>
                <w:szCs w:val="18"/>
                <w:lang w:val="en-US" w:eastAsia="en-GB"/>
              </w:rPr>
              <w:t>Leveraging our thorough SNP selection process and subsequent analytical adjustments, our MR analysis has identified associations suggesting a bidirectional link between asthma and GERD. Specifically, asthma was associated with a heightened risk of developing GERD [IVW: OR=1.55, 95% CI = 1.20-2.01, P&lt; .001]. Conversely, GERD was associated with an increased likelihood of asthma onset [IVW: OR=1.04, 95% CI = 1.03-1.04, P&lt; .001]. These findings underscore a notable bidirectional association, indicating that individuals with asthma are more likely to develop GERD and vice versa. Supplementary Figures 13 and 14 offer visual insights into the associations between asthma and GERD, highlighting the data distribution and the robustness of our findings. The observed bidirectional association between asthma and GERD is illustrated in Figure 5.</w:t>
            </w:r>
          </w:p>
          <w:p w14:paraId="7B84E938" w14:textId="3D437C4B" w:rsidR="00B624AB" w:rsidRPr="00B624AB" w:rsidRDefault="00B624AB" w:rsidP="00B624AB">
            <w:pPr>
              <w:spacing w:beforeLines="40" w:before="96" w:afterLines="40" w:after="96" w:line="24" w:lineRule="atLeast"/>
              <w:rPr>
                <w:rFonts w:eastAsia="Times New Roman"/>
                <w:sz w:val="18"/>
                <w:szCs w:val="18"/>
                <w:lang w:val="en-US" w:eastAsia="en-GB"/>
              </w:rPr>
            </w:pPr>
          </w:p>
          <w:p w14:paraId="34F4068D" w14:textId="77777777" w:rsidR="00B624AB" w:rsidRPr="00B624AB" w:rsidRDefault="00B624AB" w:rsidP="00B624AB">
            <w:pPr>
              <w:spacing w:beforeLines="40" w:before="96" w:afterLines="40" w:after="96" w:line="24" w:lineRule="atLeast"/>
              <w:rPr>
                <w:rFonts w:eastAsia="Times New Roman"/>
                <w:sz w:val="18"/>
                <w:szCs w:val="18"/>
                <w:lang w:val="en-US" w:eastAsia="en-GB"/>
              </w:rPr>
            </w:pPr>
            <w:r w:rsidRPr="00B624AB">
              <w:rPr>
                <w:rFonts w:eastAsia="Times New Roman"/>
                <w:sz w:val="18"/>
                <w:szCs w:val="18"/>
                <w:lang w:val="en-US" w:eastAsia="en-GB"/>
              </w:rPr>
              <w:t>Figure 5: The forest plot of TSMR analyses exploring bidirectional associations between asthma and GERD risk using different MR statistical models. Causal estimates are given as odds ratio (OR) and 95% confidence intervals (CIs).</w:t>
            </w:r>
          </w:p>
          <w:p w14:paraId="10AC16C8" w14:textId="77777777" w:rsidR="00B624AB" w:rsidRPr="00B624AB" w:rsidRDefault="00B624AB" w:rsidP="00B624AB">
            <w:pPr>
              <w:tabs>
                <w:tab w:val="num" w:pos="567"/>
              </w:tabs>
              <w:spacing w:beforeLines="40" w:before="96" w:afterLines="40" w:after="96" w:line="24" w:lineRule="atLeast"/>
              <w:rPr>
                <w:rFonts w:eastAsia="Times New Roman"/>
                <w:sz w:val="18"/>
                <w:szCs w:val="18"/>
                <w:lang w:val="en-US" w:eastAsia="en-GB"/>
              </w:rPr>
            </w:pPr>
            <w:r w:rsidRPr="00B624AB">
              <w:rPr>
                <w:rFonts w:eastAsia="Times New Roman"/>
                <w:sz w:val="18"/>
                <w:szCs w:val="18"/>
                <w:lang w:val="en-US" w:eastAsia="en-GB"/>
              </w:rPr>
              <w:t>Two-step MR analysis of the mediator role of NSAIDs</w:t>
            </w:r>
          </w:p>
          <w:p w14:paraId="34F2BC0A" w14:textId="77777777" w:rsidR="00B624AB" w:rsidRPr="00B624AB" w:rsidRDefault="00B624AB" w:rsidP="00B624AB">
            <w:pPr>
              <w:spacing w:beforeLines="40" w:before="96" w:afterLines="40" w:after="96" w:line="24" w:lineRule="atLeast"/>
              <w:rPr>
                <w:rFonts w:eastAsia="Times New Roman"/>
                <w:sz w:val="18"/>
                <w:szCs w:val="18"/>
                <w:lang w:val="en-US" w:eastAsia="en-GB"/>
              </w:rPr>
            </w:pPr>
            <w:r w:rsidRPr="00B624AB">
              <w:rPr>
                <w:rFonts w:eastAsia="Times New Roman"/>
                <w:sz w:val="18"/>
                <w:szCs w:val="18"/>
                <w:lang w:val="en-US" w:eastAsia="en-GB"/>
              </w:rPr>
              <w:t xml:space="preserve">In our study, we utilized the MVMR approach to explore the potential association between OA and the onset of asthma and GERD, with a particular interest in the role of NSAIDs as potential mediators in these associations. This method provides a robust framework for analyzing these associations, effectively controlling for potential confounding factors through genetically determined instruments. </w:t>
            </w:r>
            <w:bookmarkStart w:id="18" w:name="_Hlk158124990"/>
            <w:r w:rsidRPr="00B624AB">
              <w:rPr>
                <w:rFonts w:eastAsia="Times New Roman"/>
                <w:sz w:val="18"/>
                <w:szCs w:val="18"/>
                <w:lang w:val="en-US" w:eastAsia="en-GB"/>
              </w:rPr>
              <w:t>The MVMR analysis identified a noteworthy association between OA and a heightened risk of asthma</w:t>
            </w:r>
            <w:bookmarkStart w:id="19" w:name="_Hlk158126466"/>
            <w:r w:rsidRPr="00B624AB">
              <w:rPr>
                <w:rFonts w:eastAsia="Times New Roman"/>
                <w:sz w:val="18"/>
                <w:szCs w:val="18"/>
                <w:lang w:val="en-US" w:eastAsia="en-GB"/>
              </w:rPr>
              <w:t xml:space="preserve"> </w:t>
            </w:r>
            <w:bookmarkStart w:id="20" w:name="_Hlk158124947"/>
            <w:r w:rsidRPr="00B624AB">
              <w:rPr>
                <w:rFonts w:eastAsia="Times New Roman"/>
                <w:sz w:val="18"/>
                <w:szCs w:val="18"/>
                <w:lang w:val="en-US" w:eastAsia="en-GB"/>
              </w:rPr>
              <w:t>[Direct Effect: OR = 1.67, 95% CI = 1.40-1.99, P &lt; .001]</w:t>
            </w:r>
            <w:bookmarkEnd w:id="19"/>
            <w:bookmarkEnd w:id="20"/>
            <w:r w:rsidRPr="00B624AB">
              <w:rPr>
                <w:rFonts w:eastAsia="Times New Roman"/>
                <w:sz w:val="18"/>
                <w:szCs w:val="18"/>
                <w:lang w:val="en-US" w:eastAsia="en-GB"/>
              </w:rPr>
              <w:t xml:space="preserve">, indicating OA's significant direct influence on asthma. </w:t>
            </w:r>
            <w:bookmarkEnd w:id="18"/>
            <w:r w:rsidRPr="00B624AB">
              <w:rPr>
                <w:rFonts w:eastAsia="Times New Roman"/>
                <w:sz w:val="18"/>
                <w:szCs w:val="18"/>
                <w:lang w:val="en-US" w:eastAsia="en-GB"/>
              </w:rPr>
              <w:t xml:space="preserve">Similarly, NSAIDs were linked to a </w:t>
            </w:r>
            <w:r w:rsidRPr="00B624AB">
              <w:rPr>
                <w:rFonts w:eastAsia="Times New Roman"/>
                <w:sz w:val="18"/>
                <w:szCs w:val="18"/>
                <w:lang w:val="en-US" w:eastAsia="en-GB"/>
              </w:rPr>
              <w:lastRenderedPageBreak/>
              <w:t xml:space="preserve">modest elevation in asthma risk [Direct Effect: OR = 1.03, 95% CI = 1.01-1.05, P &lt; .001], reflecting their direct association with asthma incidence. Within the context of OA's association with asthma, NSAIDs manifested a mitigating indirect effect </w:t>
            </w:r>
            <w:bookmarkStart w:id="21" w:name="_Hlk158126495"/>
            <w:r w:rsidRPr="00B624AB">
              <w:rPr>
                <w:rFonts w:eastAsia="Times New Roman"/>
                <w:sz w:val="18"/>
                <w:szCs w:val="18"/>
                <w:lang w:val="en-US" w:eastAsia="en-GB"/>
              </w:rPr>
              <w:t>[Indirect Effect: β = -0.40, 95% CI = -0.60 to -0.20, P &lt; .001]</w:t>
            </w:r>
            <w:bookmarkEnd w:id="21"/>
            <w:r w:rsidRPr="00B624AB">
              <w:rPr>
                <w:rFonts w:eastAsia="Times New Roman"/>
                <w:sz w:val="18"/>
                <w:szCs w:val="18"/>
                <w:lang w:val="en-US" w:eastAsia="en-GB"/>
              </w:rPr>
              <w:t>, hinting at their potential to dampen the risk escalation attributed to OA. For GERD, OA was pinpointed as a significant factor elevating GERD risk [Direct Effect: OR = 2.70, 95% CI = 1.26-5.79, P = 0.01], underscoring OA's direct impact on GERD. The analysis also explored NSAIDs' association with GERD, revealing a non-significant association [Direct Effect: OR = 1.06, 95% CI = 0.96-1.17, P = 0.20], suggesting that NSAIDs, independently, do not significantly alter GERD susceptibility. The mediation analysis revealed a nuanced role of NSAIDs in influencing the progression from OA to GERD [Indirect Effect: β = 0.68, 95% CI = -0.32 to 1.68, P &lt; .001]. Despite a statistically significant p-value (P &lt; .001), the wide CI (95% CI = -0.32 to 1.68) suggests variability in NSAIDs' effect. This underscores the complexity of NSAIDs' impact on GERD risk in the context of OA, necessitating careful interpretation of their potential as modulators. Comprehensive sensitivity analyses, which included tests for heterogeneity and pleiotropy, have underscored the reliability of these associations. Detected heterogeneity, possibly attributable to SNP selection, underscores the importance of careful consideration in the interpretation of these findings, as detailed in Supplementary Table 10.</w:t>
            </w:r>
          </w:p>
          <w:p w14:paraId="4564CEDB" w14:textId="77777777" w:rsidR="00D8098C" w:rsidRPr="00B624AB" w:rsidRDefault="00D8098C" w:rsidP="00426603">
            <w:pPr>
              <w:spacing w:beforeLines="40" w:before="96" w:afterLines="40" w:after="96" w:line="24" w:lineRule="atLeast"/>
              <w:rPr>
                <w:rFonts w:eastAsia="Times New Roman"/>
                <w:sz w:val="18"/>
                <w:szCs w:val="18"/>
                <w:lang w:val="en-US" w:eastAsia="en-GB"/>
              </w:rPr>
            </w:pPr>
          </w:p>
        </w:tc>
      </w:tr>
      <w:tr w:rsidR="00D8098C" w:rsidRPr="00B853C6" w14:paraId="1FAC379E" w14:textId="0C198578" w:rsidTr="00795EC6">
        <w:tc>
          <w:tcPr>
            <w:tcW w:w="587" w:type="dxa"/>
            <w:shd w:val="clear" w:color="auto" w:fill="EEEEEE"/>
          </w:tcPr>
          <w:p w14:paraId="6762B88A"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shd w:val="clear" w:color="auto" w:fill="EEEEEE"/>
          </w:tcPr>
          <w:p w14:paraId="514E8164"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6491" w:type="dxa"/>
            <w:shd w:val="clear" w:color="auto" w:fill="EEEEEE"/>
          </w:tcPr>
          <w:p w14:paraId="4BC6AB7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If relevant, consider translating estimates of relative risk into absolute risk for a meaningful </w:t>
            </w:r>
            <w:proofErr w:type="gramStart"/>
            <w:r w:rsidRPr="00A1236D">
              <w:rPr>
                <w:rFonts w:eastAsia="Times New Roman"/>
                <w:sz w:val="18"/>
                <w:szCs w:val="18"/>
                <w:lang w:val="en-GB" w:eastAsia="en-GB"/>
              </w:rPr>
              <w:t>time period</w:t>
            </w:r>
            <w:proofErr w:type="gramEnd"/>
          </w:p>
        </w:tc>
        <w:tc>
          <w:tcPr>
            <w:tcW w:w="1397" w:type="dxa"/>
            <w:shd w:val="clear" w:color="auto" w:fill="EEEEEE"/>
          </w:tcPr>
          <w:p w14:paraId="326BA5CA"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205" w:type="dxa"/>
            <w:shd w:val="clear" w:color="auto" w:fill="EEEEEE"/>
          </w:tcPr>
          <w:p w14:paraId="4A2216FF" w14:textId="59D57E35" w:rsidR="00D8098C" w:rsidRPr="00795EC6" w:rsidRDefault="00B624AB" w:rsidP="00426603">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Not applicable, as the Mendelian Randomization framework provides risk estimates based on genetic predispositions and does not directly translate into absolute risk measures without additional population-based incidence data.</w:t>
            </w:r>
          </w:p>
        </w:tc>
      </w:tr>
      <w:tr w:rsidR="00D8098C" w:rsidRPr="00B853C6" w14:paraId="00F87C74" w14:textId="30F32A00" w:rsidTr="00795EC6">
        <w:tc>
          <w:tcPr>
            <w:tcW w:w="587" w:type="dxa"/>
            <w:shd w:val="clear" w:color="auto" w:fill="auto"/>
          </w:tcPr>
          <w:p w14:paraId="2CDE5DE6"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shd w:val="clear" w:color="auto" w:fill="auto"/>
          </w:tcPr>
          <w:p w14:paraId="69C50E8E"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6491" w:type="dxa"/>
            <w:shd w:val="clear" w:color="auto" w:fill="auto"/>
          </w:tcPr>
          <w:p w14:paraId="47CC3AC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1397" w:type="dxa"/>
          </w:tcPr>
          <w:p w14:paraId="777DAC23"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205" w:type="dxa"/>
          </w:tcPr>
          <w:p w14:paraId="7B9F0A4D" w14:textId="64675AFD" w:rsidR="00D8098C" w:rsidRPr="00795EC6" w:rsidRDefault="00B624AB" w:rsidP="00426603">
            <w:pPr>
              <w:spacing w:beforeLines="40" w:before="96" w:afterLines="40" w:after="96" w:line="24" w:lineRule="atLeast"/>
              <w:rPr>
                <w:rFonts w:eastAsia="Times New Roman"/>
                <w:sz w:val="18"/>
                <w:szCs w:val="18"/>
                <w:lang w:val="en-US" w:eastAsia="en-GB"/>
              </w:rPr>
            </w:pPr>
            <w:r w:rsidRPr="00795EC6">
              <w:rPr>
                <w:rFonts w:eastAsia="Times New Roman" w:hint="eastAsia"/>
                <w:sz w:val="18"/>
                <w:szCs w:val="18"/>
                <w:lang w:val="en-US" w:eastAsia="en-GB"/>
              </w:rPr>
              <w:t xml:space="preserve">Figure 2-4 </w:t>
            </w:r>
          </w:p>
        </w:tc>
      </w:tr>
      <w:tr w:rsidR="00D8098C" w:rsidRPr="00B853C6" w14:paraId="62E6DFEA" w14:textId="107C6F5B" w:rsidTr="00795EC6">
        <w:tc>
          <w:tcPr>
            <w:tcW w:w="587" w:type="dxa"/>
            <w:shd w:val="clear" w:color="auto" w:fill="EEEEEE"/>
          </w:tcPr>
          <w:p w14:paraId="57CB278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12</w:t>
            </w:r>
          </w:p>
        </w:tc>
        <w:tc>
          <w:tcPr>
            <w:tcW w:w="1810" w:type="dxa"/>
            <w:shd w:val="clear" w:color="auto" w:fill="EEEEEE"/>
          </w:tcPr>
          <w:p w14:paraId="27B891DB"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6491" w:type="dxa"/>
            <w:shd w:val="clear" w:color="auto" w:fill="EEEEEE"/>
          </w:tcPr>
          <w:p w14:paraId="6EC050C1"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1397" w:type="dxa"/>
            <w:shd w:val="clear" w:color="auto" w:fill="EEEEEE"/>
          </w:tcPr>
          <w:p w14:paraId="3871A38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205" w:type="dxa"/>
            <w:shd w:val="clear" w:color="auto" w:fill="EEEEEE"/>
          </w:tcPr>
          <w:p w14:paraId="10C8ADE2" w14:textId="77777777" w:rsidR="00D8098C" w:rsidRPr="00795EC6" w:rsidRDefault="00D8098C" w:rsidP="00426603">
            <w:pPr>
              <w:spacing w:beforeLines="40" w:before="96" w:afterLines="40" w:after="96" w:line="24" w:lineRule="atLeast"/>
              <w:rPr>
                <w:rFonts w:eastAsia="Times New Roman"/>
                <w:sz w:val="18"/>
                <w:szCs w:val="18"/>
                <w:lang w:val="en-US" w:eastAsia="en-GB"/>
              </w:rPr>
            </w:pPr>
          </w:p>
        </w:tc>
      </w:tr>
      <w:tr w:rsidR="00D8098C" w:rsidRPr="00B853C6" w14:paraId="48EE0AFA" w14:textId="55C0BF1C" w:rsidTr="00795EC6">
        <w:tc>
          <w:tcPr>
            <w:tcW w:w="587" w:type="dxa"/>
            <w:shd w:val="clear" w:color="auto" w:fill="auto"/>
          </w:tcPr>
          <w:p w14:paraId="4E29121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shd w:val="clear" w:color="auto" w:fill="auto"/>
          </w:tcPr>
          <w:p w14:paraId="18A8B0EA"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491" w:type="dxa"/>
            <w:shd w:val="clear" w:color="auto" w:fill="auto"/>
          </w:tcPr>
          <w:p w14:paraId="1A97B456"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assessment of the validity of the assumptions</w:t>
            </w:r>
          </w:p>
        </w:tc>
        <w:tc>
          <w:tcPr>
            <w:tcW w:w="1397" w:type="dxa"/>
          </w:tcPr>
          <w:p w14:paraId="6E2D56F0" w14:textId="3B2287B4" w:rsidR="00D8098C" w:rsidRPr="00A1236D" w:rsidRDefault="00C71B85" w:rsidP="00426603">
            <w:pPr>
              <w:spacing w:beforeLines="40" w:before="96" w:afterLines="40" w:after="96" w:line="24" w:lineRule="atLeast"/>
              <w:rPr>
                <w:rFonts w:eastAsia="Times New Roman"/>
                <w:sz w:val="18"/>
                <w:szCs w:val="18"/>
                <w:lang w:val="en-GB" w:eastAsia="en-GB"/>
              </w:rPr>
            </w:pPr>
            <w:r w:rsidRPr="00C71B85">
              <w:rPr>
                <w:rFonts w:eastAsia="Times New Roman" w:hint="eastAsia"/>
                <w:sz w:val="18"/>
                <w:szCs w:val="18"/>
                <w:lang w:val="en-GB" w:eastAsia="en-GB"/>
              </w:rPr>
              <w:t>11-16</w:t>
            </w:r>
          </w:p>
        </w:tc>
        <w:tc>
          <w:tcPr>
            <w:tcW w:w="4205" w:type="dxa"/>
          </w:tcPr>
          <w:p w14:paraId="50AB0155" w14:textId="77777777" w:rsidR="00795EC6" w:rsidRPr="00795EC6" w:rsidRDefault="00795EC6" w:rsidP="00795EC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Relevance Assumption: Validated by ensuring all used genetic variants show significant associations with the exposure variable (P-value &lt; 5x10^-8).</w:t>
            </w:r>
          </w:p>
          <w:p w14:paraId="4B5F05A0" w14:textId="77777777" w:rsidR="00795EC6" w:rsidRPr="00795EC6" w:rsidRDefault="00795EC6" w:rsidP="00795EC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Exclusion Restriction Assumption: Tested using the intercept term from MR-Egger regression to evaluate the independence of the genetic instruments from potential confounders. A non-significant intercept deviation from zero (P &gt; 0.05) suggests no apparent horizontal pleiotropy.</w:t>
            </w:r>
          </w:p>
          <w:p w14:paraId="1767AC9C" w14:textId="77777777" w:rsidR="00795EC6" w:rsidRPr="00795EC6" w:rsidRDefault="00795EC6" w:rsidP="00795EC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Independence Assumption: Further examined and adjusted for potential confounders using the Multivariable Mendelian Randomization (MVMR) approach to test and correct for the effects of confounders.</w:t>
            </w:r>
          </w:p>
          <w:p w14:paraId="5E7081D1" w14:textId="77777777" w:rsidR="00D8098C" w:rsidRPr="00795EC6" w:rsidRDefault="00D8098C" w:rsidP="00426603">
            <w:pPr>
              <w:spacing w:beforeLines="40" w:before="96" w:afterLines="40" w:after="96" w:line="24" w:lineRule="atLeast"/>
              <w:rPr>
                <w:rFonts w:eastAsia="Times New Roman"/>
                <w:sz w:val="18"/>
                <w:szCs w:val="18"/>
                <w:lang w:val="en-US" w:eastAsia="en-GB"/>
              </w:rPr>
            </w:pPr>
          </w:p>
        </w:tc>
      </w:tr>
      <w:tr w:rsidR="00D8098C" w:rsidRPr="00B853C6" w14:paraId="7BDA55CD" w14:textId="6465618D" w:rsidTr="00795EC6">
        <w:tc>
          <w:tcPr>
            <w:tcW w:w="587" w:type="dxa"/>
            <w:shd w:val="clear" w:color="auto" w:fill="EEEEEE"/>
          </w:tcPr>
          <w:p w14:paraId="6F27FA73"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shd w:val="clear" w:color="auto" w:fill="EEEEEE"/>
          </w:tcPr>
          <w:p w14:paraId="6BC0019D"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491" w:type="dxa"/>
            <w:shd w:val="clear" w:color="auto" w:fill="EEEEEE"/>
          </w:tcPr>
          <w:p w14:paraId="400ADD58"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any additional statistics (e.g., assessments of heterogeneity </w:t>
            </w:r>
            <w:r w:rsidRPr="00A1236D">
              <w:rPr>
                <w:rFonts w:eastAsia="Times New Roman"/>
                <w:sz w:val="18"/>
                <w:szCs w:val="18"/>
                <w:lang w:eastAsia="en-GB"/>
              </w:rPr>
              <w:t>across genetic variants</w:t>
            </w:r>
            <w:r w:rsidRPr="00A1236D">
              <w:rPr>
                <w:rFonts w:eastAsia="Times New Roman"/>
                <w:sz w:val="18"/>
                <w:szCs w:val="18"/>
                <w:lang w:val="en-GB" w:eastAsia="en-GB"/>
              </w:rPr>
              <w:t xml:space="preserve">, such as </w:t>
            </w:r>
            <w:r w:rsidRPr="005A0D0D">
              <w:rPr>
                <w:rFonts w:eastAsia="Times New Roman"/>
                <w:i/>
                <w:sz w:val="18"/>
                <w:szCs w:val="18"/>
                <w:lang w:val="en-GB" w:eastAsia="en-GB"/>
              </w:rPr>
              <w:t>I</w:t>
            </w:r>
            <w:r w:rsidRPr="005A0D0D">
              <w:rPr>
                <w:rFonts w:eastAsia="Times New Roman"/>
                <w:i/>
                <w:sz w:val="18"/>
                <w:szCs w:val="18"/>
                <w:vertAlign w:val="superscript"/>
                <w:lang w:val="en-GB" w:eastAsia="en-GB"/>
              </w:rPr>
              <w:t>2</w:t>
            </w:r>
            <w:r w:rsidRPr="00A1236D">
              <w:rPr>
                <w:rFonts w:eastAsia="Times New Roman"/>
                <w:sz w:val="18"/>
                <w:szCs w:val="18"/>
                <w:lang w:val="en-GB" w:eastAsia="en-GB"/>
              </w:rPr>
              <w:t>, Q statistic or E-value)</w:t>
            </w:r>
          </w:p>
        </w:tc>
        <w:tc>
          <w:tcPr>
            <w:tcW w:w="1397" w:type="dxa"/>
            <w:shd w:val="clear" w:color="auto" w:fill="EEEEEE"/>
          </w:tcPr>
          <w:p w14:paraId="2D6E39C6" w14:textId="3EDE3492" w:rsidR="00D8098C" w:rsidRPr="00C71B85" w:rsidRDefault="00C71B85"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11-16</w:t>
            </w:r>
          </w:p>
        </w:tc>
        <w:tc>
          <w:tcPr>
            <w:tcW w:w="4205" w:type="dxa"/>
            <w:shd w:val="clear" w:color="auto" w:fill="EEEEEE"/>
          </w:tcPr>
          <w:p w14:paraId="2A4C232E" w14:textId="77777777" w:rsidR="00795EC6" w:rsidRPr="00795EC6" w:rsidRDefault="00795EC6" w:rsidP="00795EC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I² Statistic: Used to assess the consistency of genetic instruments within the analysis, with higher I² values indicating greater heterogeneity.</w:t>
            </w:r>
          </w:p>
          <w:p w14:paraId="205C4ED8" w14:textId="06899DC3" w:rsidR="00D8098C" w:rsidRPr="00795EC6" w:rsidRDefault="00795EC6" w:rsidP="00795EC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Cochran's Q Statistic: Used to detect whether there is significant statistical heterogeneity in the effect sizes of the genetic instruments.</w:t>
            </w:r>
          </w:p>
        </w:tc>
      </w:tr>
      <w:tr w:rsidR="00D8098C" w:rsidRPr="00B853C6" w14:paraId="23F1C43D" w14:textId="6396118D" w:rsidTr="00795EC6">
        <w:tc>
          <w:tcPr>
            <w:tcW w:w="587" w:type="dxa"/>
            <w:shd w:val="clear" w:color="auto" w:fill="auto"/>
          </w:tcPr>
          <w:p w14:paraId="021A9BB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13</w:t>
            </w:r>
          </w:p>
        </w:tc>
        <w:tc>
          <w:tcPr>
            <w:tcW w:w="1810" w:type="dxa"/>
            <w:shd w:val="clear" w:color="auto" w:fill="auto"/>
          </w:tcPr>
          <w:p w14:paraId="51D3F02D"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Sensitivity analyses and additional analyses</w:t>
            </w:r>
          </w:p>
        </w:tc>
        <w:tc>
          <w:tcPr>
            <w:tcW w:w="6491" w:type="dxa"/>
            <w:shd w:val="clear" w:color="auto" w:fill="auto"/>
          </w:tcPr>
          <w:p w14:paraId="4AB1D97F"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1397" w:type="dxa"/>
          </w:tcPr>
          <w:p w14:paraId="50481D1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205" w:type="dxa"/>
          </w:tcPr>
          <w:p w14:paraId="0F2C43F0" w14:textId="77777777" w:rsidR="00D8098C" w:rsidRPr="00795EC6" w:rsidRDefault="00D8098C" w:rsidP="00426603">
            <w:pPr>
              <w:spacing w:beforeLines="40" w:before="96" w:afterLines="40" w:after="96" w:line="24" w:lineRule="atLeast"/>
              <w:rPr>
                <w:rFonts w:eastAsia="Times New Roman"/>
                <w:sz w:val="18"/>
                <w:szCs w:val="18"/>
                <w:lang w:val="en-US" w:eastAsia="en-GB"/>
              </w:rPr>
            </w:pPr>
          </w:p>
        </w:tc>
      </w:tr>
      <w:tr w:rsidR="00D8098C" w:rsidRPr="00B853C6" w14:paraId="1ABE2F1D" w14:textId="316B0F58" w:rsidTr="00795EC6">
        <w:tc>
          <w:tcPr>
            <w:tcW w:w="587" w:type="dxa"/>
            <w:shd w:val="clear" w:color="auto" w:fill="EEEEEE"/>
          </w:tcPr>
          <w:p w14:paraId="0D022F9B"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0" w:type="dxa"/>
            <w:shd w:val="clear" w:color="auto" w:fill="EEEEEE"/>
          </w:tcPr>
          <w:p w14:paraId="27E8FFD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491" w:type="dxa"/>
            <w:shd w:val="clear" w:color="auto" w:fill="EEEEEE"/>
          </w:tcPr>
          <w:p w14:paraId="30AA9260"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any sensitivity analyses to assess the robustness of the main results to violations of the assumptions</w:t>
            </w:r>
          </w:p>
        </w:tc>
        <w:tc>
          <w:tcPr>
            <w:tcW w:w="1397" w:type="dxa"/>
            <w:shd w:val="clear" w:color="auto" w:fill="EEEEEE"/>
          </w:tcPr>
          <w:p w14:paraId="39DB2F0E" w14:textId="55FB2D54" w:rsidR="00D8098C" w:rsidRPr="00795EC6" w:rsidRDefault="00795EC6"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12-16</w:t>
            </w:r>
          </w:p>
        </w:tc>
        <w:tc>
          <w:tcPr>
            <w:tcW w:w="4205" w:type="dxa"/>
            <w:shd w:val="clear" w:color="auto" w:fill="EEEEEE"/>
          </w:tcPr>
          <w:p w14:paraId="643342A7" w14:textId="77777777" w:rsidR="00795EC6" w:rsidRPr="00795EC6" w:rsidRDefault="00795EC6" w:rsidP="00795EC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MR-Egger Regression: This test was used to detect any directional pleiotropy among the genetic variants. The non-significant MR-Egger intercept indicates minimal pleiotropic effects influencing the main results.</w:t>
            </w:r>
          </w:p>
          <w:p w14:paraId="1D90F69C" w14:textId="77777777" w:rsidR="00795EC6" w:rsidRPr="00795EC6" w:rsidRDefault="00795EC6" w:rsidP="00795EC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Weighted Median Approach: Provided consistent results with the primary analysis, suggesting that the conclusions are reliable even under potential violations of the instrumental variable assumptions.</w:t>
            </w:r>
          </w:p>
          <w:p w14:paraId="5D516E66" w14:textId="77777777" w:rsidR="00795EC6" w:rsidRPr="00795EC6" w:rsidRDefault="00795EC6" w:rsidP="00795EC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 xml:space="preserve">Leave-One-Out Analysis: To test the influence of individual variants on the overall Mendelian </w:t>
            </w:r>
            <w:r w:rsidRPr="00795EC6">
              <w:rPr>
                <w:rFonts w:eastAsia="Times New Roman"/>
                <w:sz w:val="18"/>
                <w:szCs w:val="18"/>
                <w:lang w:val="en-US" w:eastAsia="en-GB"/>
              </w:rPr>
              <w:lastRenderedPageBreak/>
              <w:t>Randomization estimate, showing that no single SNP disproportionately affected the results.</w:t>
            </w:r>
          </w:p>
          <w:p w14:paraId="73386906" w14:textId="77777777" w:rsidR="00D8098C" w:rsidRPr="00795EC6" w:rsidRDefault="00D8098C" w:rsidP="00426603">
            <w:pPr>
              <w:spacing w:beforeLines="40" w:before="96" w:afterLines="40" w:after="96" w:line="24" w:lineRule="atLeast"/>
              <w:rPr>
                <w:rFonts w:eastAsia="Times New Roman"/>
                <w:sz w:val="18"/>
                <w:szCs w:val="18"/>
                <w:lang w:val="en-US" w:eastAsia="en-GB"/>
              </w:rPr>
            </w:pPr>
          </w:p>
        </w:tc>
      </w:tr>
      <w:tr w:rsidR="00795EC6" w:rsidRPr="00B853C6" w14:paraId="3696A9F1" w14:textId="63B96DDA" w:rsidTr="00795EC6">
        <w:tc>
          <w:tcPr>
            <w:tcW w:w="587" w:type="dxa"/>
            <w:shd w:val="clear" w:color="auto" w:fill="auto"/>
          </w:tcPr>
          <w:p w14:paraId="0D2234E5" w14:textId="77777777" w:rsidR="00795EC6" w:rsidRPr="00F0337F" w:rsidRDefault="00795EC6" w:rsidP="00795EC6">
            <w:pPr>
              <w:spacing w:beforeLines="40" w:before="96" w:afterLines="40" w:after="96" w:line="24" w:lineRule="atLeast"/>
              <w:jc w:val="right"/>
              <w:rPr>
                <w:rFonts w:eastAsia="Cambria"/>
                <w:b/>
                <w:bCs/>
                <w:sz w:val="18"/>
                <w:szCs w:val="18"/>
                <w:lang w:val="en-GB" w:eastAsia="en-US"/>
              </w:rPr>
            </w:pPr>
          </w:p>
        </w:tc>
        <w:tc>
          <w:tcPr>
            <w:tcW w:w="1810" w:type="dxa"/>
            <w:shd w:val="clear" w:color="auto" w:fill="auto"/>
          </w:tcPr>
          <w:p w14:paraId="7453E1FF" w14:textId="77777777" w:rsidR="00795EC6" w:rsidRPr="00F0337F" w:rsidRDefault="00795EC6" w:rsidP="00795EC6">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491" w:type="dxa"/>
            <w:shd w:val="clear" w:color="auto" w:fill="auto"/>
          </w:tcPr>
          <w:p w14:paraId="5111E54D" w14:textId="77777777" w:rsidR="00795EC6" w:rsidRPr="00A1236D" w:rsidRDefault="00795EC6" w:rsidP="00795EC6">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results from other sensitivity analyses or additional analyses</w:t>
            </w:r>
          </w:p>
        </w:tc>
        <w:tc>
          <w:tcPr>
            <w:tcW w:w="1397" w:type="dxa"/>
          </w:tcPr>
          <w:p w14:paraId="447F5BF5" w14:textId="1878B562" w:rsidR="00795EC6" w:rsidRPr="00A1236D" w:rsidRDefault="00795EC6" w:rsidP="00795EC6">
            <w:pPr>
              <w:spacing w:beforeLines="40" w:before="96" w:afterLines="40" w:after="96" w:line="24" w:lineRule="atLeast"/>
              <w:rPr>
                <w:rFonts w:eastAsia="Times New Roman"/>
                <w:sz w:val="18"/>
                <w:szCs w:val="18"/>
                <w:lang w:val="en-GB" w:eastAsia="en-GB"/>
              </w:rPr>
            </w:pPr>
            <w:r w:rsidRPr="00795EC6">
              <w:rPr>
                <w:rFonts w:eastAsia="Times New Roman" w:hint="eastAsia"/>
                <w:sz w:val="18"/>
                <w:szCs w:val="18"/>
                <w:lang w:val="en-GB" w:eastAsia="en-GB"/>
              </w:rPr>
              <w:t>12-16</w:t>
            </w:r>
          </w:p>
        </w:tc>
        <w:tc>
          <w:tcPr>
            <w:tcW w:w="4205" w:type="dxa"/>
          </w:tcPr>
          <w:p w14:paraId="388B0F07" w14:textId="77777777" w:rsidR="00795EC6" w:rsidRPr="00795EC6" w:rsidRDefault="00795EC6" w:rsidP="00795EC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Multivariable Mendelian Randomization (MVMR): Employed to adjust for potential confounders and further assess the causal relationships.</w:t>
            </w:r>
          </w:p>
          <w:p w14:paraId="5BB83735" w14:textId="4BD92421" w:rsidR="00795EC6" w:rsidRPr="00795EC6" w:rsidRDefault="00795EC6" w:rsidP="00795EC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MR-PRESSO: Used to identify and correct for outliers among the genetic variants, thus ensuring the integrity of the MR analysis.</w:t>
            </w:r>
          </w:p>
        </w:tc>
      </w:tr>
      <w:tr w:rsidR="00795EC6" w:rsidRPr="00B853C6" w14:paraId="1650BAB8" w14:textId="79D11DE7" w:rsidTr="00795EC6">
        <w:tc>
          <w:tcPr>
            <w:tcW w:w="587" w:type="dxa"/>
            <w:shd w:val="clear" w:color="auto" w:fill="EEEEEE"/>
          </w:tcPr>
          <w:p w14:paraId="4D025CC4" w14:textId="77777777" w:rsidR="00795EC6" w:rsidRPr="00F0337F" w:rsidRDefault="00795EC6" w:rsidP="00795EC6">
            <w:pPr>
              <w:spacing w:beforeLines="40" w:before="96" w:afterLines="40" w:after="96" w:line="24" w:lineRule="atLeast"/>
              <w:jc w:val="right"/>
              <w:rPr>
                <w:rFonts w:eastAsia="Cambria"/>
                <w:b/>
                <w:bCs/>
                <w:sz w:val="18"/>
                <w:szCs w:val="18"/>
                <w:lang w:val="en-GB" w:eastAsia="en-US"/>
              </w:rPr>
            </w:pPr>
          </w:p>
        </w:tc>
        <w:tc>
          <w:tcPr>
            <w:tcW w:w="1810" w:type="dxa"/>
            <w:shd w:val="clear" w:color="auto" w:fill="EEEEEE"/>
          </w:tcPr>
          <w:p w14:paraId="6EAD995A" w14:textId="77777777" w:rsidR="00795EC6" w:rsidRPr="00F0337F" w:rsidRDefault="00795EC6" w:rsidP="00795EC6">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6491" w:type="dxa"/>
            <w:shd w:val="clear" w:color="auto" w:fill="EEEEEE"/>
          </w:tcPr>
          <w:p w14:paraId="14E0FCD9" w14:textId="77777777" w:rsidR="00795EC6" w:rsidRPr="00A1236D" w:rsidRDefault="00795EC6" w:rsidP="00795EC6">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any assessment of direction of causal relationship (e.g., bidirectional MR)</w:t>
            </w:r>
          </w:p>
        </w:tc>
        <w:tc>
          <w:tcPr>
            <w:tcW w:w="1397" w:type="dxa"/>
            <w:shd w:val="clear" w:color="auto" w:fill="EEEEEE"/>
          </w:tcPr>
          <w:p w14:paraId="03D1A085" w14:textId="4FD16536" w:rsidR="00795EC6" w:rsidRPr="00A1236D" w:rsidRDefault="00795EC6" w:rsidP="00795EC6">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12-16</w:t>
            </w:r>
          </w:p>
        </w:tc>
        <w:tc>
          <w:tcPr>
            <w:tcW w:w="4205" w:type="dxa"/>
            <w:shd w:val="clear" w:color="auto" w:fill="EEEEEE"/>
          </w:tcPr>
          <w:p w14:paraId="66751F07" w14:textId="03156F68" w:rsidR="00795EC6" w:rsidRPr="00795EC6" w:rsidRDefault="00795EC6" w:rsidP="00795EC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Our bidirectional analysis indicated mutual causal relationships between the studied conditions, confirming the complexity of their interrelations.</w:t>
            </w:r>
          </w:p>
        </w:tc>
      </w:tr>
      <w:tr w:rsidR="00795EC6" w:rsidRPr="00B853C6" w14:paraId="2034ACF7" w14:textId="19A8CB33" w:rsidTr="00795EC6">
        <w:tc>
          <w:tcPr>
            <w:tcW w:w="587" w:type="dxa"/>
            <w:shd w:val="clear" w:color="auto" w:fill="auto"/>
          </w:tcPr>
          <w:p w14:paraId="3217ECED" w14:textId="77777777" w:rsidR="00795EC6" w:rsidRPr="00F0337F" w:rsidRDefault="00795EC6" w:rsidP="00795EC6">
            <w:pPr>
              <w:spacing w:beforeLines="40" w:before="96" w:afterLines="40" w:after="96" w:line="24" w:lineRule="atLeast"/>
              <w:jc w:val="right"/>
              <w:rPr>
                <w:rFonts w:eastAsia="Cambria"/>
                <w:b/>
                <w:bCs/>
                <w:sz w:val="18"/>
                <w:szCs w:val="18"/>
                <w:lang w:val="en-GB" w:eastAsia="en-US"/>
              </w:rPr>
            </w:pPr>
          </w:p>
        </w:tc>
        <w:tc>
          <w:tcPr>
            <w:tcW w:w="1810" w:type="dxa"/>
            <w:shd w:val="clear" w:color="auto" w:fill="auto"/>
          </w:tcPr>
          <w:p w14:paraId="5AE90FE5" w14:textId="77777777" w:rsidR="00795EC6" w:rsidRPr="00F0337F" w:rsidRDefault="00795EC6" w:rsidP="00795EC6">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6491" w:type="dxa"/>
            <w:shd w:val="clear" w:color="auto" w:fill="auto"/>
          </w:tcPr>
          <w:p w14:paraId="3A13AF31" w14:textId="77777777" w:rsidR="00795EC6" w:rsidRPr="00A1236D" w:rsidRDefault="00795EC6" w:rsidP="00795EC6">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When relevant, report and compare with estimates from non-MR analyses</w:t>
            </w:r>
          </w:p>
        </w:tc>
        <w:tc>
          <w:tcPr>
            <w:tcW w:w="1397" w:type="dxa"/>
          </w:tcPr>
          <w:p w14:paraId="528F9F4C" w14:textId="6E7149EF" w:rsidR="00795EC6" w:rsidRPr="00A1236D" w:rsidRDefault="00795EC6" w:rsidP="00795EC6">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12-16</w:t>
            </w:r>
          </w:p>
        </w:tc>
        <w:tc>
          <w:tcPr>
            <w:tcW w:w="4205" w:type="dxa"/>
          </w:tcPr>
          <w:p w14:paraId="7B882C5B" w14:textId="5E671C76" w:rsidR="00795EC6" w:rsidRPr="00795EC6" w:rsidRDefault="00795EC6" w:rsidP="00795EC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Comparisons highlight that MR estimates align with previously observed associations, offering a genetically informed perspective that supports earlier observational insights.</w:t>
            </w:r>
          </w:p>
        </w:tc>
      </w:tr>
      <w:tr w:rsidR="00795EC6" w:rsidRPr="00B853C6" w14:paraId="3E7CFBFC" w14:textId="3F99A047" w:rsidTr="00795EC6">
        <w:tc>
          <w:tcPr>
            <w:tcW w:w="587" w:type="dxa"/>
            <w:tcBorders>
              <w:bottom w:val="single" w:sz="6" w:space="0" w:color="7F7F7F"/>
            </w:tcBorders>
            <w:shd w:val="clear" w:color="auto" w:fill="EEEEEE"/>
          </w:tcPr>
          <w:p w14:paraId="1FDC421F" w14:textId="77777777" w:rsidR="00795EC6" w:rsidRPr="00F0337F" w:rsidRDefault="00795EC6" w:rsidP="00795EC6">
            <w:pPr>
              <w:spacing w:beforeLines="40" w:before="96" w:afterLines="40" w:after="96" w:line="24" w:lineRule="atLeast"/>
              <w:jc w:val="right"/>
              <w:rPr>
                <w:rFonts w:eastAsia="Cambria"/>
                <w:b/>
                <w:bCs/>
                <w:sz w:val="18"/>
                <w:szCs w:val="18"/>
                <w:lang w:val="en-GB" w:eastAsia="en-US"/>
              </w:rPr>
            </w:pPr>
          </w:p>
        </w:tc>
        <w:tc>
          <w:tcPr>
            <w:tcW w:w="1810" w:type="dxa"/>
            <w:tcBorders>
              <w:bottom w:val="single" w:sz="6" w:space="0" w:color="7F7F7F"/>
            </w:tcBorders>
            <w:shd w:val="clear" w:color="auto" w:fill="EEEEEE"/>
          </w:tcPr>
          <w:p w14:paraId="5FE15030" w14:textId="77777777" w:rsidR="00795EC6" w:rsidRPr="00F0337F" w:rsidRDefault="00795EC6" w:rsidP="00795EC6">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6491" w:type="dxa"/>
            <w:tcBorders>
              <w:bottom w:val="single" w:sz="6" w:space="0" w:color="7F7F7F"/>
            </w:tcBorders>
            <w:shd w:val="clear" w:color="auto" w:fill="EEEEEE"/>
          </w:tcPr>
          <w:p w14:paraId="61CE32BA" w14:textId="77777777" w:rsidR="00795EC6" w:rsidRPr="00A1236D" w:rsidRDefault="00795EC6" w:rsidP="00795EC6">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Consider additional plots to visualize results (e.g., leave-one-out analyses)</w:t>
            </w:r>
          </w:p>
        </w:tc>
        <w:tc>
          <w:tcPr>
            <w:tcW w:w="1397" w:type="dxa"/>
            <w:tcBorders>
              <w:bottom w:val="single" w:sz="6" w:space="0" w:color="7F7F7F"/>
            </w:tcBorders>
            <w:shd w:val="clear" w:color="auto" w:fill="EEEEEE"/>
          </w:tcPr>
          <w:p w14:paraId="33892A62" w14:textId="41331F01" w:rsidR="00795EC6" w:rsidRPr="00795EC6" w:rsidRDefault="00795EC6" w:rsidP="00795EC6">
            <w:pPr>
              <w:spacing w:beforeLines="40" w:before="96" w:afterLines="40" w:after="96" w:line="24" w:lineRule="atLeast"/>
              <w:rPr>
                <w:rFonts w:eastAsiaTheme="minorEastAsia"/>
                <w:sz w:val="18"/>
                <w:szCs w:val="18"/>
                <w:lang w:val="en-GB" w:eastAsia="zh-CN"/>
              </w:rPr>
            </w:pPr>
            <w:r w:rsidRPr="00795EC6">
              <w:rPr>
                <w:rFonts w:eastAsia="Times New Roman"/>
                <w:sz w:val="18"/>
                <w:szCs w:val="18"/>
                <w:lang w:val="en-GB" w:eastAsia="en-GB"/>
              </w:rPr>
              <w:t>supplementary figure</w:t>
            </w:r>
            <w:r>
              <w:rPr>
                <w:rFonts w:eastAsiaTheme="minorEastAsia" w:hint="eastAsia"/>
                <w:sz w:val="18"/>
                <w:szCs w:val="18"/>
                <w:lang w:val="en-GB" w:eastAsia="zh-CN"/>
              </w:rPr>
              <w:t>s</w:t>
            </w:r>
          </w:p>
        </w:tc>
        <w:tc>
          <w:tcPr>
            <w:tcW w:w="4205" w:type="dxa"/>
            <w:tcBorders>
              <w:bottom w:val="single" w:sz="6" w:space="0" w:color="7F7F7F"/>
            </w:tcBorders>
            <w:shd w:val="clear" w:color="auto" w:fill="EEEEEE"/>
          </w:tcPr>
          <w:p w14:paraId="32368F17" w14:textId="77777777" w:rsidR="00795EC6" w:rsidRPr="00795EC6" w:rsidRDefault="00795EC6" w:rsidP="00795EC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Scatterplots of Genetic Associations: These plots visualize the relationship between genetic variants and both the exposure and outcome, confirming the linear assumption critical for MR analysis.</w:t>
            </w:r>
          </w:p>
          <w:p w14:paraId="721C3EBE" w14:textId="77777777" w:rsidR="00795EC6" w:rsidRPr="00795EC6" w:rsidRDefault="00795EC6" w:rsidP="00795EC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Forest Plots: Display the effect estimates from each genetic variant, illustrating the distribution and impact across the study.</w:t>
            </w:r>
          </w:p>
          <w:p w14:paraId="03A6AB93" w14:textId="409FF39D" w:rsidR="00795EC6" w:rsidRPr="00795EC6" w:rsidRDefault="00795EC6" w:rsidP="00795EC6">
            <w:pPr>
              <w:spacing w:beforeLines="40" w:before="96" w:afterLines="40" w:after="96" w:line="24" w:lineRule="atLeast"/>
              <w:rPr>
                <w:rFonts w:eastAsia="Times New Roman"/>
                <w:sz w:val="18"/>
                <w:szCs w:val="18"/>
                <w:lang w:val="en-US" w:eastAsia="en-GB"/>
              </w:rPr>
            </w:pPr>
            <w:r w:rsidRPr="00795EC6">
              <w:rPr>
                <w:rFonts w:eastAsia="Times New Roman"/>
                <w:sz w:val="18"/>
                <w:szCs w:val="18"/>
                <w:lang w:val="en-US" w:eastAsia="en-GB"/>
              </w:rPr>
              <w:t>Leave-One-Out Plots: Further confirm that our results are not driven by any single genetic variant, enhancing the reliability of the findings.</w:t>
            </w:r>
          </w:p>
        </w:tc>
      </w:tr>
      <w:tr w:rsidR="00795EC6" w:rsidRPr="00B853C6" w14:paraId="5B7D2773" w14:textId="7D8D257A" w:rsidTr="00795EC6">
        <w:tc>
          <w:tcPr>
            <w:tcW w:w="587" w:type="dxa"/>
            <w:tcBorders>
              <w:top w:val="single" w:sz="6" w:space="0" w:color="7F7F7F"/>
            </w:tcBorders>
            <w:shd w:val="clear" w:color="auto" w:fill="auto"/>
          </w:tcPr>
          <w:p w14:paraId="5BDBDA65" w14:textId="77777777" w:rsidR="00795EC6" w:rsidRPr="00F0337F" w:rsidRDefault="00795EC6" w:rsidP="00795EC6">
            <w:pPr>
              <w:spacing w:beforeLines="40" w:before="96" w:afterLines="40" w:after="96" w:line="24" w:lineRule="atLeast"/>
              <w:rPr>
                <w:rFonts w:eastAsia="Times New Roman"/>
                <w:b/>
                <w:bCs/>
                <w:sz w:val="18"/>
                <w:szCs w:val="18"/>
                <w:lang w:val="en-GB" w:eastAsia="en-GB"/>
              </w:rPr>
            </w:pPr>
          </w:p>
        </w:tc>
        <w:tc>
          <w:tcPr>
            <w:tcW w:w="1810" w:type="dxa"/>
            <w:tcBorders>
              <w:top w:val="single" w:sz="6" w:space="0" w:color="7F7F7F"/>
            </w:tcBorders>
            <w:shd w:val="clear" w:color="auto" w:fill="auto"/>
          </w:tcPr>
          <w:p w14:paraId="1C564B75" w14:textId="77777777" w:rsidR="00795EC6" w:rsidRPr="00F0337F" w:rsidRDefault="00795EC6" w:rsidP="00795EC6">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DISCUSSION</w:t>
            </w:r>
          </w:p>
        </w:tc>
        <w:tc>
          <w:tcPr>
            <w:tcW w:w="6491" w:type="dxa"/>
            <w:tcBorders>
              <w:top w:val="single" w:sz="6" w:space="0" w:color="7F7F7F"/>
            </w:tcBorders>
            <w:shd w:val="clear" w:color="auto" w:fill="auto"/>
          </w:tcPr>
          <w:p w14:paraId="35997729" w14:textId="77777777" w:rsidR="00795EC6" w:rsidRPr="00A1236D" w:rsidRDefault="00795EC6" w:rsidP="00795EC6">
            <w:pPr>
              <w:spacing w:beforeLines="40" w:before="96" w:afterLines="40" w:after="96" w:line="24" w:lineRule="atLeast"/>
              <w:rPr>
                <w:rFonts w:eastAsia="Cambria"/>
                <w:sz w:val="18"/>
                <w:szCs w:val="18"/>
                <w:lang w:val="en-GB" w:eastAsia="en-US"/>
              </w:rPr>
            </w:pPr>
          </w:p>
        </w:tc>
        <w:tc>
          <w:tcPr>
            <w:tcW w:w="1397" w:type="dxa"/>
            <w:tcBorders>
              <w:top w:val="single" w:sz="6" w:space="0" w:color="7F7F7F"/>
            </w:tcBorders>
          </w:tcPr>
          <w:p w14:paraId="1AAD7FFB" w14:textId="77777777" w:rsidR="00795EC6" w:rsidRPr="00A1236D" w:rsidRDefault="00795EC6" w:rsidP="00795EC6">
            <w:pPr>
              <w:spacing w:beforeLines="40" w:before="96" w:afterLines="40" w:after="96" w:line="24" w:lineRule="atLeast"/>
              <w:rPr>
                <w:rFonts w:eastAsia="Cambria"/>
                <w:sz w:val="18"/>
                <w:szCs w:val="18"/>
                <w:lang w:val="en-GB" w:eastAsia="en-US"/>
              </w:rPr>
            </w:pPr>
          </w:p>
        </w:tc>
        <w:tc>
          <w:tcPr>
            <w:tcW w:w="4205" w:type="dxa"/>
            <w:tcBorders>
              <w:top w:val="single" w:sz="6" w:space="0" w:color="7F7F7F"/>
            </w:tcBorders>
          </w:tcPr>
          <w:p w14:paraId="2AE3A897" w14:textId="77777777" w:rsidR="00795EC6" w:rsidRDefault="00795EC6" w:rsidP="00795EC6">
            <w:pPr>
              <w:spacing w:beforeLines="40" w:before="96" w:afterLines="40" w:after="96" w:line="24" w:lineRule="atLeast"/>
              <w:rPr>
                <w:rFonts w:eastAsia="Cambria"/>
                <w:sz w:val="18"/>
                <w:szCs w:val="18"/>
                <w:lang w:val="en-GB" w:eastAsia="en-US"/>
              </w:rPr>
            </w:pPr>
          </w:p>
        </w:tc>
      </w:tr>
      <w:tr w:rsidR="00795EC6" w:rsidRPr="00B853C6" w14:paraId="1800AF05" w14:textId="4BEA2748" w:rsidTr="00795EC6">
        <w:tc>
          <w:tcPr>
            <w:tcW w:w="587" w:type="dxa"/>
            <w:shd w:val="clear" w:color="auto" w:fill="EEEEEE"/>
          </w:tcPr>
          <w:p w14:paraId="6B5F5286" w14:textId="77777777" w:rsidR="00795EC6" w:rsidRPr="00F0337F" w:rsidRDefault="00795EC6" w:rsidP="00795EC6">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14</w:t>
            </w:r>
          </w:p>
        </w:tc>
        <w:tc>
          <w:tcPr>
            <w:tcW w:w="1810" w:type="dxa"/>
            <w:shd w:val="clear" w:color="auto" w:fill="EEEEEE"/>
          </w:tcPr>
          <w:p w14:paraId="42EDC029" w14:textId="77777777" w:rsidR="00795EC6" w:rsidRPr="00F0337F" w:rsidRDefault="00795EC6" w:rsidP="00795EC6">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Key results </w:t>
            </w:r>
          </w:p>
        </w:tc>
        <w:tc>
          <w:tcPr>
            <w:tcW w:w="6491" w:type="dxa"/>
            <w:shd w:val="clear" w:color="auto" w:fill="EEEEEE"/>
          </w:tcPr>
          <w:p w14:paraId="35F1CADF" w14:textId="77777777" w:rsidR="00795EC6" w:rsidRPr="00A1236D" w:rsidRDefault="00795EC6" w:rsidP="00795EC6">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Summarize key results with reference to study objectives</w:t>
            </w:r>
          </w:p>
        </w:tc>
        <w:tc>
          <w:tcPr>
            <w:tcW w:w="1397" w:type="dxa"/>
            <w:shd w:val="clear" w:color="auto" w:fill="EEEEEE"/>
          </w:tcPr>
          <w:p w14:paraId="2C7117BF" w14:textId="566327D8" w:rsidR="00795EC6" w:rsidRPr="008B315B" w:rsidRDefault="008B315B" w:rsidP="00795EC6">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17</w:t>
            </w:r>
          </w:p>
        </w:tc>
        <w:tc>
          <w:tcPr>
            <w:tcW w:w="4205" w:type="dxa"/>
            <w:shd w:val="clear" w:color="auto" w:fill="EEEEEE"/>
          </w:tcPr>
          <w:p w14:paraId="369E2E06" w14:textId="77777777" w:rsidR="008B315B" w:rsidRPr="008B315B" w:rsidRDefault="008B315B" w:rsidP="008B315B">
            <w:pPr>
              <w:spacing w:beforeLines="40" w:before="96" w:afterLines="40" w:after="96" w:line="24" w:lineRule="atLeast"/>
              <w:rPr>
                <w:rFonts w:eastAsia="Times New Roman"/>
                <w:sz w:val="18"/>
                <w:szCs w:val="18"/>
                <w:lang w:val="en-US" w:eastAsia="en-GB"/>
              </w:rPr>
            </w:pPr>
            <w:r w:rsidRPr="008B315B">
              <w:rPr>
                <w:rFonts w:eastAsia="Times New Roman"/>
                <w:sz w:val="18"/>
                <w:szCs w:val="18"/>
                <w:lang w:val="en-US" w:eastAsia="en-GB"/>
              </w:rPr>
              <w:t xml:space="preserve">Previous observational studies have suggested an association between asthma and OA but encountered biases and challenges in delineating causation. Our analysis indicates a bidirectional association between asthma and overall OA, especially with KOA, but not with HOA. Allergic pathways, including mast cell activation and tryptase release, may drive asthma to OA progression. Genetic research links OA to allergic reaction genes, specifically IL-4 and IL-4 receptor genes, emphasizing asthma's role in OA risk. This convergence of allergic pathways emphasizes </w:t>
            </w:r>
            <w:r w:rsidRPr="008B315B">
              <w:rPr>
                <w:rFonts w:eastAsia="Times New Roman"/>
                <w:sz w:val="18"/>
                <w:szCs w:val="18"/>
                <w:lang w:val="en-US" w:eastAsia="en-GB"/>
              </w:rPr>
              <w:lastRenderedPageBreak/>
              <w:t>asthma's potential role in amplifying the risk of OA development</w:t>
            </w:r>
            <w:r w:rsidRPr="008B315B">
              <w:rPr>
                <w:rFonts w:eastAsia="Times New Roman"/>
                <w:sz w:val="18"/>
                <w:szCs w:val="18"/>
                <w:lang w:val="en-US" w:eastAsia="en-GB"/>
              </w:rPr>
              <w:fldChar w:fldCharType="begin"/>
            </w:r>
            <w:r w:rsidRPr="008B315B">
              <w:rPr>
                <w:rFonts w:eastAsia="Times New Roman"/>
                <w:sz w:val="18"/>
                <w:szCs w:val="18"/>
                <w:lang w:val="en-US" w:eastAsia="en-GB"/>
              </w:rPr>
              <w:instrText xml:space="preserve"> ADDIN ZOTERO_ITEM CSL_CITATION {"citationID":"jZUxg18A","properties":{"formattedCitation":"[4]","plainCitation":"[4]","noteIndex":0},"citationItems":[{"id":877,"uris":["http://zotero.org/users/11893546/items/3M3F5ELE"],"itemData":{"id":877,"type":"article-journal","abstract":"OBJECTIVES: To determine the incidence of osteoarthrits (OA) in patients with atopic disease compared with matched non-exposed patients.\nMETHODS: We conducted a retrospective cohort study with propensity score matching using claims data from Optum's de-identified Clinformatics Data Mart (CDM) (January 2003 to June 2019) and electronic health record data from the Stanford Research Repository (STARR) (January 2010 to December 2020). We included adult patients without pre-existing OA or inflammatory arthritis who were exposed to atopic disease or who were non-exposed. The primary outcome was the development of incident OA.\nRESULTS: In Optum CDM, we identified 117 346 exposed patients with asthma or atopic dermatitis (mean age 52 years; 60% female) and 1 247 196 non-exposed patients (mean age 50 years; 48% female). After propensity score matching (n=1 09 899 per group), OA incidence was higher in patients with asthma or atopic dermatitis (26.9 per 1000 person-years) compared with non-exposed patients (19.1 per 1000 person-years), with an adjusted odds ratio (aOR) of 1.58 (95% CI 1.55 to 1.62) for developing OA. This effect was even more pronounced in patients with both asthma and atopic dermatitis compared with non-exposed patients (aOR=2.15; 95% CI 1.93 to 2.39) and in patients with asthma compared with patients with chronic obstructive pulmonary disease (aOR=1.83; 95% CI 1.73 to 1.95). We replicated our results in an independent dataset (STARR), which provided the added richness of body mass index data. The aOR of developing OA in patients with asthma or atopic dermatitis versus non-exposed patients in STARR was 1.42 (95% CI 1.36 to 1.48).\nCONCLUSIONS: This study demonstrates an increased incidence of OA in patients with atopic disease. Future interventional studies may consider targeting allergic pathways for the prevention or treatment of OA.","container-title":"Annals of the Rheumatic Diseases","DOI":"10.1136/ard-2022-223640","ISSN":"1468-2060","issue":"6","journalAbbreviation":"Ann Rheum Dis","language":"eng","note":"PMID: 36987654\nPMCID: PMC10314085","page":"866-872","source":"PubMed","title":"Increased risk of osteoarthritis in patients with atopic disease","volume":"82","author":[{"family":"Baker","given":"Matthew C."},{"family":"Sheth","given":"Khushboo"},{"family":"Lu","given":"Rong"},{"family":"Lu","given":"Di"},{"family":"Kaeppler","given":"Ericka P.","non-dropping-particle":"von"},{"family":"Bhat","given":"Archana"},{"family":"Felson","given":"David T."},{"family":"Robinson","given":"William H."}],"issued":{"date-parts":[["2023",6]]}}}],"schema":"https://github.com/citation-style-language/schema/raw/master/csl-citation.json"} </w:instrText>
            </w:r>
            <w:r w:rsidRPr="008B315B">
              <w:rPr>
                <w:rFonts w:eastAsia="Times New Roman"/>
                <w:sz w:val="18"/>
                <w:szCs w:val="18"/>
                <w:lang w:val="en-US" w:eastAsia="en-GB"/>
              </w:rPr>
              <w:fldChar w:fldCharType="separate"/>
            </w:r>
            <w:r w:rsidRPr="008B315B">
              <w:rPr>
                <w:rFonts w:eastAsia="Times New Roman"/>
                <w:sz w:val="18"/>
                <w:szCs w:val="18"/>
                <w:lang w:val="en-US" w:eastAsia="en-GB"/>
              </w:rPr>
              <w:t>[4]</w:t>
            </w:r>
            <w:r w:rsidRPr="008B315B">
              <w:rPr>
                <w:rFonts w:eastAsia="Times New Roman"/>
                <w:sz w:val="18"/>
                <w:szCs w:val="18"/>
                <w:lang w:val="en-GB" w:eastAsia="en-GB"/>
              </w:rPr>
              <w:fldChar w:fldCharType="end"/>
            </w:r>
            <w:r w:rsidRPr="008B315B">
              <w:rPr>
                <w:rFonts w:eastAsia="Times New Roman"/>
                <w:sz w:val="18"/>
                <w:szCs w:val="18"/>
                <w:lang w:val="en-US" w:eastAsia="en-GB"/>
              </w:rPr>
              <w:t xml:space="preserve">. Inflammation, characterized by asthma's imbalances, increases OA risk due to elevated reactive oxygen levels and decreased SOD activity </w:t>
            </w:r>
            <w:r w:rsidRPr="008B315B">
              <w:rPr>
                <w:rFonts w:eastAsia="Times New Roman"/>
                <w:sz w:val="18"/>
                <w:szCs w:val="18"/>
                <w:lang w:val="en-US" w:eastAsia="en-GB"/>
              </w:rPr>
              <w:fldChar w:fldCharType="begin"/>
            </w:r>
            <w:r w:rsidRPr="008B315B">
              <w:rPr>
                <w:rFonts w:eastAsia="Times New Roman"/>
                <w:sz w:val="18"/>
                <w:szCs w:val="18"/>
                <w:lang w:val="en-US" w:eastAsia="en-GB"/>
              </w:rPr>
              <w:instrText xml:space="preserve"> ADDIN ZOTERO_ITEM CSL_CITATION {"citationID":"6i3wo836","properties":{"formattedCitation":"[49]","plainCitation":"[49]","noteIndex":0},"citationItems":[{"id":"ga4GnxTX/S7cR5qZR","uris":["http://zotero.org/users/local/k7mguTBH/items/RS786LNB"],"itemData":{"id":4021,"type":"article-journal","abstract":"Reactive oxygen species (ROS) are produced in many normal and abnormal processes in humans, including atheroma, asthma, joint diseases, aging, and cancer. The superoxide anion O2− is the main ROS. Increased ROS production leads to tissue damage associated with inflammation. Superoxide dismutases (SODs) convert superoxide to hydrogen peroxide, which is then removed by glutathione peroxidase or catalase. Thus, SODs prevent the formation of highly aggressive ROS, such as peroxynitrite or the hydroxyl radical. Experimental models involving SOD knockout or overexpression are beginning to shed light on the pathophysiological role of SOD in humans. Although the antiinflammatory effects of exogenous native SOD (orgotein) are modest, synthetic SOD mimetics hold considerable promise for modulating the inflammatory response. In this review, we discuss new knowledge about the role of the superoxide anion and its derivates as mediators of inflammation and the role of SODs and SOD mimetics as antioxidant treatments in joint diseases such as rheumatoid arthritis, osteoarthritis, and crystal-induced arthropathies.","container-title":"Joint Bone Spine","DOI":"10.1016/j.jbspin.2007.02.002","ISSN":"1297-319X","issue":"4","journalAbbreviation":"Joint Bone Spine","language":"en","page":"324-329","source":"ScienceDirect","title":"Reactive oxygen species and superoxide dismutases: Role in joint diseases","title-short":"Reactive oxygen species and superoxide dismutases","volume":"74","author":[{"family":"Afonso","given":"Valéry"},{"family":"Champy","given":"Romuald"},{"family":"Mitrovic","given":"Dragoslav"},{"family":"Collin","given":"Pascal"},{"family":"Lomri","given":"Abderrahim"}],"issued":{"date-parts":[["2007",7,1]]}}}],"schema":"https://github.com/citation-style-language/schema/raw/master/csl-citation.json"} </w:instrText>
            </w:r>
            <w:r w:rsidRPr="008B315B">
              <w:rPr>
                <w:rFonts w:eastAsia="Times New Roman"/>
                <w:sz w:val="18"/>
                <w:szCs w:val="18"/>
                <w:lang w:val="en-US" w:eastAsia="en-GB"/>
              </w:rPr>
              <w:fldChar w:fldCharType="separate"/>
            </w:r>
            <w:r w:rsidRPr="008B315B">
              <w:rPr>
                <w:rFonts w:eastAsia="Times New Roman"/>
                <w:sz w:val="18"/>
                <w:szCs w:val="18"/>
                <w:lang w:val="en-US" w:eastAsia="en-GB"/>
              </w:rPr>
              <w:t>[49]</w:t>
            </w:r>
            <w:r w:rsidRPr="008B315B">
              <w:rPr>
                <w:rFonts w:eastAsia="Times New Roman"/>
                <w:sz w:val="18"/>
                <w:szCs w:val="18"/>
                <w:lang w:val="en-GB" w:eastAsia="en-GB"/>
              </w:rPr>
              <w:fldChar w:fldCharType="end"/>
            </w:r>
            <w:r w:rsidRPr="008B315B">
              <w:rPr>
                <w:rFonts w:eastAsia="Times New Roman" w:hint="eastAsia"/>
                <w:sz w:val="18"/>
                <w:szCs w:val="18"/>
                <w:lang w:val="en-US" w:eastAsia="en-GB"/>
              </w:rPr>
              <w:t>.</w:t>
            </w:r>
            <w:r w:rsidRPr="008B315B">
              <w:rPr>
                <w:rFonts w:eastAsia="Times New Roman"/>
                <w:sz w:val="18"/>
                <w:szCs w:val="18"/>
                <w:lang w:val="en-US" w:eastAsia="en-GB"/>
              </w:rPr>
              <w:t xml:space="preserve"> The inflammatory mediator interleukin-1β (IL-1β), heightened in asthma, plays a potential role in OA's progression </w:t>
            </w:r>
            <w:r w:rsidRPr="008B315B">
              <w:rPr>
                <w:rFonts w:eastAsia="Times New Roman"/>
                <w:sz w:val="18"/>
                <w:szCs w:val="18"/>
                <w:lang w:val="en-US" w:eastAsia="en-GB"/>
              </w:rPr>
              <w:fldChar w:fldCharType="begin"/>
            </w:r>
            <w:r w:rsidRPr="008B315B">
              <w:rPr>
                <w:rFonts w:eastAsia="Times New Roman"/>
                <w:sz w:val="18"/>
                <w:szCs w:val="18"/>
                <w:lang w:val="en-US" w:eastAsia="en-GB"/>
              </w:rPr>
              <w:instrText xml:space="preserve"> ADDIN ZOTERO_ITEM CSL_CITATION {"citationID":"PP8jt3Mq","properties":{"formattedCitation":"[50]","plainCitation":"[50]","noteIndex":0},"citationItems":[{"id":"ga4GnxTX/KZZSD6tZ","uris":["http://zotero.org/users/local/k7mguTBH/items/Z643AXEW"],"itemData":{"id":4025,"type":"article-journal","abstract":"PURPOSE OF REVIEW: Interleukin-1β (IL-1β) is a potent proinflammatory cytokine, which is involved in many inflammatory conditions including autoinflammatory and allergic disorders. This review provides insights into recent advances of our understanding of the pathogenesis of IL-1β-associated allergy-related disorders.\nRECENT FINDINGS: In autoinflammatory as well as allergic diseases such as contact hypersensitivity, atopic dermatitis and bronchial asthma, dysfunctional inflammasome processing has been demonstrated to account for IL-1β-induced inflammation. IL-1-neutralizing drugs have been shown to completely suppress or markedly reduce inflammatory responses in clinical studies and experimental models of urticarial autoinflammatory diseases as well as common allergic disorders.\nSUMMARY: The recent findings support a crucial role for IL-1β and inflammasome components in a variety of allergy-related disorders.","container-title":"Current Opinion in Allergy and Clinical Immunology","DOI":"10.1097/ACI.0b013e3283574d0c","ISSN":"1473-6322","issue":"5","journalAbbreviation":"Curr Opin Allergy Clin Immunol","language":"eng","note":"PMID: 22885885","page":"477-484","source":"PubMed","title":"The role of interleukin-1 in allergy-related disorders","volume":"12","author":[{"family":"Krause","given":"Karoline"},{"family":"Metz","given":"Martin"},{"family":"Makris","given":"Michael"},{"family":"Zuberbier","given":"Torsten"},{"family":"Maurer","given":"Marcus"}],"issued":{"date-parts":[["2012",10]]}}}],"schema":"https://github.com/citation-style-language/schema/raw/master/csl-citation.json"} </w:instrText>
            </w:r>
            <w:r w:rsidRPr="008B315B">
              <w:rPr>
                <w:rFonts w:eastAsia="Times New Roman"/>
                <w:sz w:val="18"/>
                <w:szCs w:val="18"/>
                <w:lang w:val="en-US" w:eastAsia="en-GB"/>
              </w:rPr>
              <w:fldChar w:fldCharType="separate"/>
            </w:r>
            <w:r w:rsidRPr="008B315B">
              <w:rPr>
                <w:rFonts w:eastAsia="Times New Roman"/>
                <w:sz w:val="18"/>
                <w:szCs w:val="18"/>
                <w:lang w:val="en-US" w:eastAsia="en-GB"/>
              </w:rPr>
              <w:t>[50]</w:t>
            </w:r>
            <w:r w:rsidRPr="008B315B">
              <w:rPr>
                <w:rFonts w:eastAsia="Times New Roman"/>
                <w:sz w:val="18"/>
                <w:szCs w:val="18"/>
                <w:lang w:val="en-GB" w:eastAsia="en-GB"/>
              </w:rPr>
              <w:fldChar w:fldCharType="end"/>
            </w:r>
            <w:r w:rsidRPr="008B315B">
              <w:rPr>
                <w:rFonts w:eastAsia="Times New Roman"/>
                <w:sz w:val="18"/>
                <w:szCs w:val="18"/>
                <w:lang w:val="en-US" w:eastAsia="en-GB"/>
              </w:rPr>
              <w:t xml:space="preserve">. The NOD/RIPK2 signaling pathway, associated with asthma, might influence OA development through its impact on cartilage degradation </w:t>
            </w:r>
            <w:r w:rsidRPr="008B315B">
              <w:rPr>
                <w:rFonts w:eastAsia="Times New Roman"/>
                <w:sz w:val="18"/>
                <w:szCs w:val="18"/>
                <w:lang w:val="en-US" w:eastAsia="en-GB"/>
              </w:rPr>
              <w:fldChar w:fldCharType="begin"/>
            </w:r>
            <w:r w:rsidRPr="008B315B">
              <w:rPr>
                <w:rFonts w:eastAsia="Times New Roman"/>
                <w:sz w:val="18"/>
                <w:szCs w:val="18"/>
                <w:lang w:val="en-US" w:eastAsia="en-GB"/>
              </w:rPr>
              <w:instrText xml:space="preserve"> ADDIN ZOTERO_ITEM CSL_CITATION {"citationID":"GNoBCEMV","properties":{"formattedCitation":"[51,52]","plainCitation":"[51,52]","noteIndex":0},"citationItems":[{"id":"ga4GnxTX/7X1aPs7s","uris":["http://zotero.org/users/local/k7mguTBH/items/XYGZH7H8"],"itemData":{"id":4034,"type":"article-journal","abstract":"Receptor-interacting protein 2 (RIP2) is a key mediator implicated in multiple cellular processes, and its dysregulation has been recently reported in colitis, asthma and other inflammatory diseases. However, the effects of RIP2 on osteoarthritis (OA) and the underlying mechanisms remain unclear. In this study, we found that RIP2 expression was upregulated in human articular cartilage tissues with OA and interleukin-1β (IL-1β)-treated chondrocytes. Knockdown of RIP2 inhibited IL-1β-induced extracellular matrix (ECM) and oxidative stress. Moreover, knockdown of TRAF3 reversed the effects of RIP2 silencing on cartilage degradation and oxidative stress in IL-1β-induced chondrocytes. In addition, p38 mitogen-activated protein kinase (MAPK) activator dehydrocorydalmine chloride (Dc) also reversed the effects of RIP2 silencing on IL-1β-induced chondrocytes. Taken together, our data reveal that RIP2 knockdown inhibits cartilage degradation and oxidative stress in IL-1β-treated chondrocytes by regulating TRAF3 expression and p38 MAPK pathway activation.","container-title":"Clinical Immunology","DOI":"10.1016/j.clim.2021.108868","ISSN":"1521-6616","journalAbbreviation":"Clinical Immunology","language":"en","page":"108868","source":"ScienceDirect","title":"RIP2 knockdown inhibits cartilage degradation and oxidative stress in IL-1β-treated chondrocytes via regulating TRAF3 and inhibiting p38 MAPK pathway","volume":"232","author":[{"family":"Pan","given":"DongSheng"},{"family":"Lyu","given":"Yanhong"},{"family":"Zhang","given":"Na"},{"family":"Wang","given":"Xuankang"},{"family":"Lei","given":"Tao"},{"family":"Liang","given":"Zhuowen"}],"issued":{"date-parts":[["2021",11,1]]}}},{"id":"ga4GnxTX/txNG5qea","uris":["http://zotero.org/users/local/k7mguTBH/items/7EZSARSK"],"itemData":{"id":4029,"type":"article-journal","abstract":"Receptor-interacting serine/threonine kinase 2 (RIPK2) is a vital immunomodulator that plays critical roles in nucleotide-binding oligomerization domain 1 (NOD1), NOD2, and Toll-like receptors (TLRs) signaling. Stimulated NOD1 and NOD2 interact with RIPK2 and lead to the activation of nuclear factor kappa B (NF-κB) and mitogen-activated protein kinases (MAPK), followed by the production of pro-inflammatory cytokines such as TNF-α, IL-6, and IL-12/23. Defects in NOD/RIPK2 signaling are associated with numerous inflammatory diseases, including asthma, sarcoidosis, inflammatory bowel disease (Crohn’s disease and ulcerative colitis), multiple sclerosis, and Blau syndrome. As RIPK2 is a crucial element of innate immunity, small molecules regulating RIPK2 functions are attractive to establish novel immunotherapies. The increased interest in developing RIPK2 inhibitors has led to the clinical investigations of novel drug candidates. In this review, we attempt to summarize recent advances in the development of RIPK2 inhibitors and degraders.","container-title":"Frontiers in Pharmacology","ISSN":"1663-9812","source":"Frontiers","title":"Recent advances in the development of RIPK2 modulators for the treatment of inflammatory diseases","URL":"https://www.frontiersin.org/articles/10.3389/fphar.2023.1127722","volume":"14","author":[{"family":"Pham","given":"Anh-Tuan"},{"family":"Ghilardi","given":"Amanda Franceschini"},{"family":"Sun","given":"Lijun"}],"accessed":{"date-parts":[["2023",6,4]]},"issued":{"date-parts":[["2023"]]}}}],"schema":"https://github.com/citation-style-language/schema/raw/master/csl-citation.json"} </w:instrText>
            </w:r>
            <w:r w:rsidRPr="008B315B">
              <w:rPr>
                <w:rFonts w:eastAsia="Times New Roman"/>
                <w:sz w:val="18"/>
                <w:szCs w:val="18"/>
                <w:lang w:val="en-US" w:eastAsia="en-GB"/>
              </w:rPr>
              <w:fldChar w:fldCharType="separate"/>
            </w:r>
            <w:r w:rsidRPr="008B315B">
              <w:rPr>
                <w:rFonts w:eastAsia="Times New Roman"/>
                <w:sz w:val="18"/>
                <w:szCs w:val="18"/>
                <w:lang w:val="en-US" w:eastAsia="en-GB"/>
              </w:rPr>
              <w:t>[51,52]</w:t>
            </w:r>
            <w:r w:rsidRPr="008B315B">
              <w:rPr>
                <w:rFonts w:eastAsia="Times New Roman"/>
                <w:sz w:val="18"/>
                <w:szCs w:val="18"/>
                <w:lang w:val="en-GB" w:eastAsia="en-GB"/>
              </w:rPr>
              <w:fldChar w:fldCharType="end"/>
            </w:r>
            <w:r w:rsidRPr="008B315B">
              <w:rPr>
                <w:rFonts w:eastAsia="Times New Roman" w:hint="eastAsia"/>
                <w:sz w:val="18"/>
                <w:szCs w:val="18"/>
                <w:lang w:val="en-US" w:eastAsia="en-GB"/>
              </w:rPr>
              <w:t>.</w:t>
            </w:r>
            <w:r w:rsidRPr="008B315B">
              <w:rPr>
                <w:rFonts w:eastAsia="Times New Roman"/>
                <w:sz w:val="18"/>
                <w:szCs w:val="18"/>
                <w:lang w:val="en-US" w:eastAsia="en-GB"/>
              </w:rPr>
              <w:t xml:space="preserve"> Additionally, the signaling molecule Sema-3A, protective in OA, is reduced in asthma, suggesting a bridging role between the conditions</w:t>
            </w:r>
            <w:r w:rsidRPr="008B315B">
              <w:rPr>
                <w:rFonts w:eastAsia="Times New Roman"/>
                <w:sz w:val="18"/>
                <w:szCs w:val="18"/>
                <w:lang w:val="en-US" w:eastAsia="en-GB"/>
              </w:rPr>
              <w:fldChar w:fldCharType="begin"/>
            </w:r>
            <w:r w:rsidRPr="008B315B">
              <w:rPr>
                <w:rFonts w:eastAsia="Times New Roman"/>
                <w:sz w:val="18"/>
                <w:szCs w:val="18"/>
                <w:lang w:val="en-US" w:eastAsia="en-GB"/>
              </w:rPr>
              <w:instrText xml:space="preserve"> ADDIN ZOTERO_ITEM CSL_CITATION {"citationID":"0XRQtOME","properties":{"formattedCitation":"[53]","plainCitation":"[53]","noteIndex":0},"citationItems":[{"id":"ga4GnxTX/sU8TYFC4","uris":["http://zotero.org/users/local/k7mguTBH/items/936U6ZWV"],"itemData":{"id":4038,"type":"article-journal","abstract":"Rheumatic diseases are disorders characterized by joint inflammation, in which other organs are also affected. There are more than two hundred rheumatic diseases, the most studied so far are rheumatoid arthritis, osteoarthritis, spondyloarthritis, systemic lupus erythematosus, and systemic sclerosis. The semaphorin family is a large group of proteins initially described as axon guidance molecules involved in nervous system development. Studies have demonstrated that semaphorins play a role in other processes such as the regulation of immunity, angiogenesis, bone remodeling, apoptosis, and cell migration and invasion. Moreover, semaphorins have been related to the pathogenesis of multiple sclerosis, asthma, Alzheimer, myocarditis, atherosclerosis, fibrotic diseases, osteopetrosis, and cancer. The aim of this review is to summarize current knowledge regarding the role of semaphorins in rheumatic diseases, and discuss their potential applications as therapeutic targets to treat these disorders.","container-title":"International Journal of Molecular Sciences","DOI":"10.3390/ijms20020374","ISSN":"1422-0067","issue":"2","language":"en","license":"http://creativecommons.org/licenses/by/3.0/","note":"number: 2\npublisher: Multidisciplinary Digital Publishing Institute","page":"374","source":"www.mdpi.com","title":"Role of Semaphorins in Immunopathologies and Rheumatic Diseases","volume":"20","author":[{"family":"Garcia","given":"Samuel"}],"issued":{"date-parts":[["2019",1]]}}}],"schema":"https://github.com/citation-style-language/schema/raw/master/csl-citation.json"} </w:instrText>
            </w:r>
            <w:r w:rsidRPr="008B315B">
              <w:rPr>
                <w:rFonts w:eastAsia="Times New Roman"/>
                <w:sz w:val="18"/>
                <w:szCs w:val="18"/>
                <w:lang w:val="en-US" w:eastAsia="en-GB"/>
              </w:rPr>
              <w:fldChar w:fldCharType="separate"/>
            </w:r>
            <w:r w:rsidRPr="008B315B">
              <w:rPr>
                <w:rFonts w:eastAsia="Times New Roman"/>
                <w:sz w:val="18"/>
                <w:szCs w:val="18"/>
                <w:lang w:val="en-US" w:eastAsia="en-GB"/>
              </w:rPr>
              <w:t>[53]</w:t>
            </w:r>
            <w:r w:rsidRPr="008B315B">
              <w:rPr>
                <w:rFonts w:eastAsia="Times New Roman"/>
                <w:sz w:val="18"/>
                <w:szCs w:val="18"/>
                <w:lang w:val="en-GB" w:eastAsia="en-GB"/>
              </w:rPr>
              <w:fldChar w:fldCharType="end"/>
            </w:r>
            <w:r w:rsidRPr="008B315B">
              <w:rPr>
                <w:rFonts w:eastAsia="Times New Roman"/>
                <w:sz w:val="18"/>
                <w:szCs w:val="18"/>
                <w:lang w:val="en-US" w:eastAsia="en-GB"/>
              </w:rPr>
              <w:t>. OA may also increase asthma risk. Contrary to earlier beliefs, NSAIDs might have a protective role in the OA-asthma relationship, warranting further investigation</w:t>
            </w:r>
            <w:r w:rsidRPr="008B315B">
              <w:rPr>
                <w:rFonts w:eastAsia="Times New Roman"/>
                <w:sz w:val="18"/>
                <w:szCs w:val="18"/>
                <w:lang w:val="en-US" w:eastAsia="en-GB"/>
              </w:rPr>
              <w:fldChar w:fldCharType="begin"/>
            </w:r>
            <w:r w:rsidRPr="008B315B">
              <w:rPr>
                <w:rFonts w:eastAsia="Times New Roman"/>
                <w:sz w:val="18"/>
                <w:szCs w:val="18"/>
                <w:lang w:val="en-US" w:eastAsia="en-GB"/>
              </w:rPr>
              <w:instrText xml:space="preserve"> ADDIN ZOTERO_ITEM CSL_CITATION {"citationID":"lcwocPZ4","properties":{"formattedCitation":"[6]","plainCitation":"[6]","noteIndex":0},"citationItems":[{"id":881,"uris":["http://zotero.org/users/11893546/items/A7BP9N85"],"itemData":{"id":881,"type":"article-journal","abstract":"BACKGROUND: Asthma and osteoarthritis (OA) are medical conditions that inhibit physical activity and adversely affect quality of life. Despite the high prevalence, there are limited studies focusing on the comorbid condition and association between asthma and OA. The aim of this study was to assess the prevalence of OA co-occurring with asthma and to identify the relevant clinical considerations.\nMETHODS: Adult participants aged over 40 years who completed questionnaire assessments and spirometry tests were enrolled from the Korean National Health and Nutrition Examination Survey. Asthma and OA were defined based on the medical history of a diagnosis made by a doctor. Radiographic severities of OA were measured using the Kellgren-Lawrence grading system. Chronic obstructive pulmonary disease (COPD), as a comparative respiratory disease, was diagnosed based on the spirometric results.\nRESULTS: A total of 9344 subjects were enrolled, and the prevalence of asthma and COPD were 4.6% ± 0.3% and 12.0% ± 0.5%, respectively. The prevalence of OA in the asthma group was 31.9% ± 2.8%, which was significantly higher than that in the COPD (17.8% ± 1.5%) or control (16.2% ± 0.6%) groups. OA was more prevalent in patients with asthma after adjusting for age, sex, body mass index, and smoking status (OR 1.65; 95% CI 1.27-2.13). Furthermore, after adjustment of this model for the prescription of OA medication, OA remained independently associated with asthma (OR 1.56; 95% CI 1.10-2.20). Conversely, the relationship of OA medication with asthma was not significant (P = 0.64). This relationship was evident in patients with asthma without airflow limitation measured by spirometry (OR 1.97; 95% CI 1.32-2.93). Moreover, the radiographic severity of knee OA correlated with asthma (OR 1.10; 95% CI 1.0-‍‍1.21).\nCONCLUSIONS: OA shows a high prevalence in patients with asthma, higher than in patients with COPD or the controls. The comorbid characteristics of these two conditions need to be considered in clinical practice.","container-title":"BMC pulmonary medicine","DOI":"10.1186/s12890-021-01425-6","ISSN":"1471-2466","issue":"1","journalAbbreviation":"BMC Pulm Med","language":"eng","note":"PMID: 33593334\nPMCID: PMC7885236","page":"59","source":"PubMed","title":"Novel association between asthma and osteoarthritis: a nationwide health and nutrition examination survey","title-short":"Novel association between asthma and osteoarthritis","volume":"21","author":[{"family":"Koo","given":"Hyeon-Kyoung"},{"family":"Song","given":"Pamela"},{"family":"Lee","given":"Joo-Hyun"}],"issued":{"date-parts":[["2021",2,16]]}}}],"schema":"https://github.com/citation-style-language/schema/raw/master/csl-citation.json"} </w:instrText>
            </w:r>
            <w:r w:rsidRPr="008B315B">
              <w:rPr>
                <w:rFonts w:eastAsia="Times New Roman"/>
                <w:sz w:val="18"/>
                <w:szCs w:val="18"/>
                <w:lang w:val="en-US" w:eastAsia="en-GB"/>
              </w:rPr>
              <w:fldChar w:fldCharType="separate"/>
            </w:r>
            <w:r w:rsidRPr="008B315B">
              <w:rPr>
                <w:rFonts w:eastAsia="Times New Roman"/>
                <w:sz w:val="18"/>
                <w:szCs w:val="18"/>
                <w:lang w:val="en-US" w:eastAsia="en-GB"/>
              </w:rPr>
              <w:t>[6]</w:t>
            </w:r>
            <w:r w:rsidRPr="008B315B">
              <w:rPr>
                <w:rFonts w:eastAsia="Times New Roman"/>
                <w:sz w:val="18"/>
                <w:szCs w:val="18"/>
                <w:lang w:val="en-GB" w:eastAsia="en-GB"/>
              </w:rPr>
              <w:fldChar w:fldCharType="end"/>
            </w:r>
            <w:r w:rsidRPr="008B315B">
              <w:rPr>
                <w:rFonts w:eastAsia="Times New Roman"/>
                <w:sz w:val="18"/>
                <w:szCs w:val="18"/>
                <w:lang w:val="en-US" w:eastAsia="en-GB"/>
              </w:rPr>
              <w:t>. In conclusion, our findings indicate a bidirectional association between asthma and certain OA subtypes, notably KOA, while not supporting a similar association with HOA. This distinction highlights the importance of further research into joint-specific factors and genetic predispositions that may influence OA susceptibility</w:t>
            </w:r>
            <w:r w:rsidRPr="008B315B">
              <w:rPr>
                <w:rFonts w:eastAsia="Times New Roman"/>
                <w:sz w:val="18"/>
                <w:szCs w:val="18"/>
                <w:lang w:val="en-US" w:eastAsia="en-GB"/>
              </w:rPr>
              <w:fldChar w:fldCharType="begin"/>
            </w:r>
            <w:r w:rsidRPr="008B315B">
              <w:rPr>
                <w:rFonts w:eastAsia="Times New Roman"/>
                <w:sz w:val="18"/>
                <w:szCs w:val="18"/>
                <w:lang w:val="en-US" w:eastAsia="en-GB"/>
              </w:rPr>
              <w:instrText xml:space="preserve"> ADDIN ZOTERO_ITEM CSL_CITATION {"citationID":"MZRNxWqq","properties":{"formattedCitation":"[6]","plainCitation":"[6]","noteIndex":0},"citationItems":[{"id":881,"uris":["http://zotero.org/users/11893546/items/A7BP9N85"],"itemData":{"id":881,"type":"article-journal","abstract":"BACKGROUND: Asthma and osteoarthritis (OA) are medical conditions that inhibit physical activity and adversely affect quality of life. Despite the high prevalence, there are limited studies focusing on the comorbid condition and association between asthma and OA. The aim of this study was to assess the prevalence of OA co-occurring with asthma and to identify the relevant clinical considerations.\nMETHODS: Adult participants aged over 40 years who completed questionnaire assessments and spirometry tests were enrolled from the Korean National Health and Nutrition Examination Survey. Asthma and OA were defined based on the medical history of a diagnosis made by a doctor. Radiographic severities of OA were measured using the Kellgren-Lawrence grading system. Chronic obstructive pulmonary disease (COPD), as a comparative respiratory disease, was diagnosed based on the spirometric results.\nRESULTS: A total of 9344 subjects were enrolled, and the prevalence of asthma and COPD were 4.6% ± 0.3% and 12.0% ± 0.5%, respectively. The prevalence of OA in the asthma group was 31.9% ± 2.8%, which was significantly higher than that in the COPD (17.8% ± 1.5%) or control (16.2% ± 0.6%) groups. OA was more prevalent in patients with asthma after adjusting for age, sex, body mass index, and smoking status (OR 1.65; 95% CI 1.27-2.13). Furthermore, after adjustment of this model for the prescription of OA medication, OA remained independently associated with asthma (OR 1.56; 95% CI 1.10-2.20). Conversely, the relationship of OA medication with asthma was not significant (P = 0.64). This relationship was evident in patients with asthma without airflow limitation measured by spirometry (OR 1.97; 95% CI 1.32-2.93). Moreover, the radiographic severity of knee OA correlated with asthma (OR 1.10; 95% CI 1.0-‍‍1.21).\nCONCLUSIONS: OA shows a high prevalence in patients with asthma, higher than in patients with COPD or the controls. The comorbid characteristics of these two conditions need to be considered in clinical practice.","container-title":"BMC pulmonary medicine","DOI":"10.1186/s12890-021-01425-6","ISSN":"1471-2466","issue":"1","journalAbbreviation":"BMC Pulm Med","language":"eng","note":"PMID: 33593334\nPMCID: PMC7885236","page":"59","source":"PubMed","title":"Novel association between asthma and osteoarthritis: a nationwide health and nutrition examination survey","title-short":"Novel association between asthma and osteoarthritis","volume":"21","author":[{"family":"Koo","given":"Hyeon-Kyoung"},{"family":"Song","given":"Pamela"},{"family":"Lee","given":"Joo-Hyun"}],"issued":{"date-parts":[["2021",2,16]]}}}],"schema":"https://github.com/citation-style-language/schema/raw/master/csl-citation.json"} </w:instrText>
            </w:r>
            <w:r w:rsidRPr="008B315B">
              <w:rPr>
                <w:rFonts w:eastAsia="Times New Roman"/>
                <w:sz w:val="18"/>
                <w:szCs w:val="18"/>
                <w:lang w:val="en-US" w:eastAsia="en-GB"/>
              </w:rPr>
              <w:fldChar w:fldCharType="separate"/>
            </w:r>
            <w:r w:rsidRPr="008B315B">
              <w:rPr>
                <w:rFonts w:eastAsia="Times New Roman"/>
                <w:sz w:val="18"/>
                <w:szCs w:val="18"/>
                <w:lang w:val="en-US" w:eastAsia="en-GB"/>
              </w:rPr>
              <w:t>[6]</w:t>
            </w:r>
            <w:r w:rsidRPr="008B315B">
              <w:rPr>
                <w:rFonts w:eastAsia="Times New Roman"/>
                <w:sz w:val="18"/>
                <w:szCs w:val="18"/>
                <w:lang w:val="en-GB" w:eastAsia="en-GB"/>
              </w:rPr>
              <w:fldChar w:fldCharType="end"/>
            </w:r>
            <w:r w:rsidRPr="008B315B">
              <w:rPr>
                <w:rFonts w:eastAsia="Times New Roman" w:hint="eastAsia"/>
                <w:sz w:val="18"/>
                <w:szCs w:val="18"/>
                <w:lang w:val="en-US" w:eastAsia="en-GB"/>
              </w:rPr>
              <w:t>.</w:t>
            </w:r>
          </w:p>
          <w:p w14:paraId="70F1DDE7" w14:textId="77777777" w:rsidR="00795EC6" w:rsidRDefault="00795EC6" w:rsidP="00795EC6">
            <w:pPr>
              <w:spacing w:beforeLines="40" w:before="96" w:afterLines="40" w:after="96" w:line="24" w:lineRule="atLeast"/>
              <w:rPr>
                <w:rFonts w:eastAsia="Times New Roman"/>
                <w:sz w:val="18"/>
                <w:szCs w:val="18"/>
                <w:lang w:val="en-GB" w:eastAsia="en-GB"/>
              </w:rPr>
            </w:pPr>
          </w:p>
        </w:tc>
      </w:tr>
      <w:tr w:rsidR="00795EC6" w:rsidRPr="00B853C6" w14:paraId="06BFAFA4" w14:textId="151FB6CE" w:rsidTr="00795EC6">
        <w:tc>
          <w:tcPr>
            <w:tcW w:w="587" w:type="dxa"/>
            <w:shd w:val="clear" w:color="auto" w:fill="auto"/>
          </w:tcPr>
          <w:p w14:paraId="6D471CC5" w14:textId="77777777" w:rsidR="00795EC6" w:rsidRPr="00F0337F" w:rsidRDefault="00795EC6" w:rsidP="00795EC6">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15</w:t>
            </w:r>
          </w:p>
        </w:tc>
        <w:tc>
          <w:tcPr>
            <w:tcW w:w="1810" w:type="dxa"/>
            <w:shd w:val="clear" w:color="auto" w:fill="auto"/>
          </w:tcPr>
          <w:p w14:paraId="5C27961E" w14:textId="77777777" w:rsidR="00795EC6" w:rsidRPr="00F0337F" w:rsidRDefault="00795EC6" w:rsidP="00795EC6">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Limitations</w:t>
            </w:r>
          </w:p>
        </w:tc>
        <w:tc>
          <w:tcPr>
            <w:tcW w:w="6491" w:type="dxa"/>
            <w:shd w:val="clear" w:color="auto" w:fill="auto"/>
          </w:tcPr>
          <w:p w14:paraId="75B6F41B" w14:textId="77777777" w:rsidR="00795EC6" w:rsidRPr="00A1236D" w:rsidRDefault="00795EC6" w:rsidP="00795EC6">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Discuss limitations of the study, </w:t>
            </w:r>
            <w:proofErr w:type="gramStart"/>
            <w:r w:rsidRPr="00A1236D">
              <w:rPr>
                <w:rFonts w:eastAsia="Times New Roman"/>
                <w:sz w:val="18"/>
                <w:szCs w:val="18"/>
                <w:lang w:val="en-GB" w:eastAsia="en-GB"/>
              </w:rPr>
              <w:t>taking into account</w:t>
            </w:r>
            <w:proofErr w:type="gramEnd"/>
            <w:r w:rsidRPr="00A1236D">
              <w:rPr>
                <w:rFonts w:eastAsia="Times New Roman"/>
                <w:sz w:val="18"/>
                <w:szCs w:val="18"/>
                <w:lang w:val="en-GB" w:eastAsia="en-GB"/>
              </w:rPr>
              <w:t xml:space="preserve"> the validity of the IV assumptions, other sources of potential bias, and imprecision. Discuss both direction and magnitude of any potential bias and any efforts to address them</w:t>
            </w:r>
            <w:r w:rsidRPr="00A1236D">
              <w:rPr>
                <w:rFonts w:eastAsia="Times New Roman"/>
                <w:sz w:val="18"/>
                <w:szCs w:val="18"/>
                <w:shd w:val="clear" w:color="auto" w:fill="FFFFFF"/>
                <w:lang w:val="en-GB" w:eastAsia="en-GB"/>
              </w:rPr>
              <w:t> </w:t>
            </w:r>
          </w:p>
        </w:tc>
        <w:tc>
          <w:tcPr>
            <w:tcW w:w="1397" w:type="dxa"/>
          </w:tcPr>
          <w:p w14:paraId="201D4281" w14:textId="1F3362AC" w:rsidR="00795EC6" w:rsidRPr="008B315B" w:rsidRDefault="008B315B" w:rsidP="00795EC6">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22</w:t>
            </w:r>
          </w:p>
        </w:tc>
        <w:tc>
          <w:tcPr>
            <w:tcW w:w="4205" w:type="dxa"/>
          </w:tcPr>
          <w:p w14:paraId="3D8BBEC3" w14:textId="77777777" w:rsidR="008B315B" w:rsidRPr="008B315B" w:rsidRDefault="008B315B" w:rsidP="008B315B">
            <w:pPr>
              <w:spacing w:beforeLines="40" w:before="96" w:afterLines="40" w:after="96" w:line="24" w:lineRule="atLeast"/>
              <w:rPr>
                <w:rFonts w:eastAsia="Times New Roman"/>
                <w:sz w:val="18"/>
                <w:szCs w:val="18"/>
                <w:lang w:val="en-US" w:eastAsia="en-GB"/>
              </w:rPr>
            </w:pPr>
            <w:r w:rsidRPr="008B315B">
              <w:rPr>
                <w:rFonts w:eastAsia="Times New Roman"/>
                <w:sz w:val="18"/>
                <w:szCs w:val="18"/>
                <w:lang w:val="en-US" w:eastAsia="en-GB"/>
              </w:rPr>
              <w:t xml:space="preserve">In our analysis, we employed MR to investigate the genetic relationships between asthma, OA, and GERD. It's important to note that MR, while powerful for identifying genetic associations, has limitations in determining the temporal progression of diseases. To address this limitation, complementing MR with longitudinal studies is essential for a comprehensive understanding of disease progression and causality. </w:t>
            </w:r>
            <w:bookmarkStart w:id="22" w:name="_Hlk158132215"/>
            <w:r w:rsidRPr="008B315B">
              <w:rPr>
                <w:rFonts w:eastAsia="Times New Roman"/>
                <w:sz w:val="18"/>
                <w:szCs w:val="18"/>
                <w:lang w:val="en-US" w:eastAsia="en-GB"/>
              </w:rPr>
              <w:t>Some of our results showed small effect sizes, possibly due to specific biological factors or population characteristics. Future studies with larger and more diverse datasets may clarify these findings.</w:t>
            </w:r>
            <w:bookmarkEnd w:id="22"/>
            <w:r w:rsidRPr="008B315B">
              <w:rPr>
                <w:rFonts w:eastAsia="Times New Roman"/>
                <w:sz w:val="18"/>
                <w:szCs w:val="18"/>
                <w:lang w:val="en-US" w:eastAsia="en-GB"/>
              </w:rPr>
              <w:t xml:space="preserve"> </w:t>
            </w:r>
            <w:bookmarkStart w:id="23" w:name="_Hlk157464861"/>
            <w:r w:rsidRPr="008B315B">
              <w:rPr>
                <w:rFonts w:eastAsia="Times New Roman"/>
                <w:sz w:val="18"/>
                <w:szCs w:val="18"/>
                <w:lang w:val="en-US" w:eastAsia="en-GB"/>
              </w:rPr>
              <w:t>Additionally, some statistically significant P-values coincided with CI spanning zero, highlighting the need for cautious interpretation, especially with large sample sizes and data variability.</w:t>
            </w:r>
            <w:bookmarkEnd w:id="23"/>
            <w:r w:rsidRPr="008B315B">
              <w:rPr>
                <w:rFonts w:eastAsia="Times New Roman"/>
                <w:sz w:val="18"/>
                <w:szCs w:val="18"/>
                <w:lang w:val="en-US" w:eastAsia="en-GB"/>
              </w:rPr>
              <w:t xml:space="preserve"> </w:t>
            </w:r>
            <w:bookmarkStart w:id="24" w:name="_Hlk158128130"/>
            <w:r w:rsidRPr="008B315B">
              <w:rPr>
                <w:rFonts w:eastAsia="Times New Roman"/>
                <w:sz w:val="18"/>
                <w:szCs w:val="18"/>
                <w:lang w:val="en-US" w:eastAsia="en-GB"/>
              </w:rPr>
              <w:t xml:space="preserve">A limitation of our study is the absence of a phenome-wide association study (PheWAS) to explore genetic variants' pleiotropic effects, mainly due to data and resource </w:t>
            </w:r>
            <w:r w:rsidRPr="008B315B">
              <w:rPr>
                <w:rFonts w:eastAsia="Times New Roman"/>
                <w:sz w:val="18"/>
                <w:szCs w:val="18"/>
                <w:lang w:val="en-US" w:eastAsia="en-GB"/>
              </w:rPr>
              <w:lastRenderedPageBreak/>
              <w:t xml:space="preserve">constraints. Despite our rigorous use of MR techniques and sensitivity analyses to ensure reliability, incorporating PheWAS in future research can enhance our understanding of genetic pleiotropy and causal inferences.  </w:t>
            </w:r>
            <w:bookmarkStart w:id="25" w:name="_Hlk158130090"/>
            <w:bookmarkEnd w:id="24"/>
            <w:r w:rsidRPr="008B315B">
              <w:rPr>
                <w:rFonts w:eastAsia="Times New Roman"/>
                <w:sz w:val="18"/>
                <w:szCs w:val="18"/>
                <w:lang w:val="en-US" w:eastAsia="en-GB"/>
              </w:rPr>
              <w:t>We also acknowledge the inherent constraints of the MR approach in establishing the temporal sequence of disease development. Despite MR's strength in suggesting potential causality based on genetic predispositions, it does not directly inform us about the chronological order in which conditions develop.</w:t>
            </w:r>
            <w:bookmarkEnd w:id="25"/>
            <w:r w:rsidRPr="008B315B">
              <w:rPr>
                <w:rFonts w:eastAsia="Times New Roman"/>
                <w:sz w:val="18"/>
                <w:szCs w:val="18"/>
                <w:lang w:val="en-US" w:eastAsia="en-GB"/>
              </w:rPr>
              <w:t xml:space="preserve"> Future research could focus on revealing the time series and causal relationships between asthma, GERD, and OA through longitudinal studies, exploring the role of NSAIDs in the progression of OA to asthma through randomized controlled trials, and delving into the biological and lifestyle factors that are lacking a clear association between asthma and HOA.</w:t>
            </w:r>
          </w:p>
          <w:p w14:paraId="7CB4BA33" w14:textId="77777777" w:rsidR="00795EC6" w:rsidRPr="008B315B" w:rsidRDefault="00795EC6" w:rsidP="00795EC6">
            <w:pPr>
              <w:spacing w:beforeLines="40" w:before="96" w:afterLines="40" w:after="96" w:line="24" w:lineRule="atLeast"/>
              <w:rPr>
                <w:rFonts w:eastAsia="Times New Roman"/>
                <w:sz w:val="18"/>
                <w:szCs w:val="18"/>
                <w:lang w:val="en-US" w:eastAsia="en-GB"/>
              </w:rPr>
            </w:pPr>
          </w:p>
        </w:tc>
      </w:tr>
      <w:tr w:rsidR="00795EC6" w:rsidRPr="00B853C6" w14:paraId="71F8B8B5" w14:textId="34C247AC" w:rsidTr="00795EC6">
        <w:tc>
          <w:tcPr>
            <w:tcW w:w="587" w:type="dxa"/>
            <w:shd w:val="clear" w:color="auto" w:fill="EEEEEE"/>
          </w:tcPr>
          <w:p w14:paraId="02C1D590" w14:textId="77777777" w:rsidR="00795EC6" w:rsidRPr="00F0337F" w:rsidRDefault="00795EC6" w:rsidP="00795EC6">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16</w:t>
            </w:r>
          </w:p>
        </w:tc>
        <w:tc>
          <w:tcPr>
            <w:tcW w:w="1810" w:type="dxa"/>
            <w:shd w:val="clear" w:color="auto" w:fill="EEEEEE"/>
          </w:tcPr>
          <w:p w14:paraId="612AA484" w14:textId="77777777" w:rsidR="00795EC6" w:rsidRPr="00F0337F" w:rsidRDefault="00795EC6" w:rsidP="00795EC6">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Interpretation</w:t>
            </w:r>
          </w:p>
        </w:tc>
        <w:tc>
          <w:tcPr>
            <w:tcW w:w="6491" w:type="dxa"/>
            <w:shd w:val="clear" w:color="auto" w:fill="EEEEEE"/>
          </w:tcPr>
          <w:p w14:paraId="3BF6466E" w14:textId="77777777" w:rsidR="00795EC6" w:rsidRPr="00A1236D" w:rsidRDefault="00795EC6" w:rsidP="00795EC6">
            <w:pPr>
              <w:spacing w:beforeLines="40" w:before="96" w:afterLines="40" w:after="96" w:line="24" w:lineRule="atLeast"/>
              <w:rPr>
                <w:rFonts w:eastAsia="Cambria"/>
                <w:sz w:val="18"/>
                <w:szCs w:val="18"/>
                <w:lang w:val="en-GB" w:eastAsia="en-US"/>
              </w:rPr>
            </w:pPr>
          </w:p>
        </w:tc>
        <w:tc>
          <w:tcPr>
            <w:tcW w:w="1397" w:type="dxa"/>
            <w:shd w:val="clear" w:color="auto" w:fill="EEEEEE"/>
          </w:tcPr>
          <w:p w14:paraId="4B5179B2" w14:textId="77777777" w:rsidR="00795EC6" w:rsidRPr="00A1236D" w:rsidRDefault="00795EC6" w:rsidP="00795EC6">
            <w:pPr>
              <w:spacing w:beforeLines="40" w:before="96" w:afterLines="40" w:after="96" w:line="24" w:lineRule="atLeast"/>
              <w:rPr>
                <w:rFonts w:eastAsia="Cambria"/>
                <w:sz w:val="18"/>
                <w:szCs w:val="18"/>
                <w:lang w:val="en-GB" w:eastAsia="en-US"/>
              </w:rPr>
            </w:pPr>
          </w:p>
        </w:tc>
        <w:tc>
          <w:tcPr>
            <w:tcW w:w="4205" w:type="dxa"/>
            <w:shd w:val="clear" w:color="auto" w:fill="EEEEEE"/>
          </w:tcPr>
          <w:p w14:paraId="1C445080" w14:textId="77777777" w:rsidR="00795EC6" w:rsidRDefault="00795EC6" w:rsidP="00795EC6">
            <w:pPr>
              <w:spacing w:beforeLines="40" w:before="96" w:afterLines="40" w:after="96" w:line="24" w:lineRule="atLeast"/>
              <w:rPr>
                <w:rFonts w:eastAsia="Cambria"/>
                <w:sz w:val="18"/>
                <w:szCs w:val="18"/>
                <w:lang w:val="en-GB" w:eastAsia="en-US"/>
              </w:rPr>
            </w:pPr>
          </w:p>
        </w:tc>
      </w:tr>
      <w:tr w:rsidR="00795EC6" w:rsidRPr="00B853C6" w14:paraId="62E6D51A" w14:textId="140D03A2" w:rsidTr="00795EC6">
        <w:tc>
          <w:tcPr>
            <w:tcW w:w="587" w:type="dxa"/>
            <w:shd w:val="clear" w:color="auto" w:fill="auto"/>
          </w:tcPr>
          <w:p w14:paraId="6DD2F448" w14:textId="77777777" w:rsidR="00795EC6" w:rsidRPr="00F0337F" w:rsidRDefault="00795EC6" w:rsidP="00795EC6">
            <w:pPr>
              <w:spacing w:beforeLines="40" w:before="96" w:afterLines="40" w:after="96" w:line="24" w:lineRule="atLeast"/>
              <w:jc w:val="right"/>
              <w:rPr>
                <w:rFonts w:eastAsia="Cambria"/>
                <w:b/>
                <w:bCs/>
                <w:sz w:val="18"/>
                <w:szCs w:val="18"/>
                <w:lang w:val="en-GB" w:eastAsia="en-US"/>
              </w:rPr>
            </w:pPr>
          </w:p>
        </w:tc>
        <w:tc>
          <w:tcPr>
            <w:tcW w:w="1810" w:type="dxa"/>
            <w:shd w:val="clear" w:color="auto" w:fill="auto"/>
          </w:tcPr>
          <w:p w14:paraId="50F26A29" w14:textId="77777777" w:rsidR="00795EC6" w:rsidRPr="00F0337F" w:rsidRDefault="00795EC6" w:rsidP="00795EC6">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491" w:type="dxa"/>
            <w:shd w:val="clear" w:color="auto" w:fill="auto"/>
          </w:tcPr>
          <w:p w14:paraId="7EDF9868" w14:textId="096ED659" w:rsidR="00795EC6" w:rsidRPr="00A1236D" w:rsidRDefault="00795EC6" w:rsidP="00795EC6">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Meaning: Give a cautious overall interpretation of results in the context of their limitations </w:t>
            </w:r>
            <w:proofErr w:type="gramStart"/>
            <w:r w:rsidRPr="00A1236D">
              <w:rPr>
                <w:rFonts w:eastAsia="Times New Roman"/>
                <w:sz w:val="18"/>
                <w:szCs w:val="18"/>
                <w:lang w:val="en-GB" w:eastAsia="en-GB"/>
              </w:rPr>
              <w:t xml:space="preserve">and in comparison </w:t>
            </w:r>
            <w:proofErr w:type="gramEnd"/>
            <w:r>
              <w:rPr>
                <w:rFonts w:eastAsia="Times New Roman"/>
                <w:sz w:val="18"/>
                <w:szCs w:val="18"/>
                <w:lang w:val="en-GB" w:eastAsia="en-GB"/>
              </w:rPr>
              <w:t>with</w:t>
            </w:r>
            <w:r w:rsidRPr="00A1236D">
              <w:rPr>
                <w:rFonts w:eastAsia="Times New Roman"/>
                <w:sz w:val="18"/>
                <w:szCs w:val="18"/>
                <w:lang w:val="en-GB" w:eastAsia="en-GB"/>
              </w:rPr>
              <w:t xml:space="preserve"> other studies</w:t>
            </w:r>
          </w:p>
        </w:tc>
        <w:tc>
          <w:tcPr>
            <w:tcW w:w="1397" w:type="dxa"/>
          </w:tcPr>
          <w:p w14:paraId="565CC165" w14:textId="09ACCC95" w:rsidR="00795EC6" w:rsidRPr="00C71B85" w:rsidRDefault="00C71B85" w:rsidP="00795EC6">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18-20</w:t>
            </w:r>
          </w:p>
        </w:tc>
        <w:tc>
          <w:tcPr>
            <w:tcW w:w="4205" w:type="dxa"/>
          </w:tcPr>
          <w:p w14:paraId="5251245C" w14:textId="30F287FF" w:rsidR="00795EC6" w:rsidRDefault="00C71B85" w:rsidP="00795EC6">
            <w:pPr>
              <w:spacing w:beforeLines="40" w:before="96" w:afterLines="40" w:after="96" w:line="24" w:lineRule="atLeast"/>
              <w:rPr>
                <w:rFonts w:eastAsia="Times New Roman"/>
                <w:sz w:val="18"/>
                <w:szCs w:val="18"/>
                <w:lang w:val="en-GB" w:eastAsia="en-GB"/>
              </w:rPr>
            </w:pPr>
            <w:r w:rsidRPr="00C71B85">
              <w:rPr>
                <w:rFonts w:eastAsia="Times New Roman"/>
                <w:sz w:val="18"/>
                <w:szCs w:val="18"/>
                <w:lang w:eastAsia="en-GB"/>
              </w:rPr>
              <w:t>Our results should be interpreted with caution due to the limitations associated with Mendelian randomization, such as potential pleiotropy and population stratification. While our findings align with some previous studies, indicating genetic links between asthma, osteoarthritis, and GERD, they diverge from others that suggest different or more complex interactions. It's essential to consider these disparities in the context of our study's design and the specific genetic instruments used, which might not capture all relevant biological pathways.</w:t>
            </w:r>
          </w:p>
        </w:tc>
      </w:tr>
      <w:tr w:rsidR="00795EC6" w:rsidRPr="00B853C6" w14:paraId="156B69E5" w14:textId="453FC5BE" w:rsidTr="00795EC6">
        <w:tc>
          <w:tcPr>
            <w:tcW w:w="587" w:type="dxa"/>
            <w:shd w:val="clear" w:color="auto" w:fill="EEEEEE"/>
          </w:tcPr>
          <w:p w14:paraId="4C8A2215" w14:textId="77777777" w:rsidR="00795EC6" w:rsidRPr="00F0337F" w:rsidRDefault="00795EC6" w:rsidP="00795EC6">
            <w:pPr>
              <w:spacing w:beforeLines="40" w:before="96" w:afterLines="40" w:after="96" w:line="24" w:lineRule="atLeast"/>
              <w:jc w:val="right"/>
              <w:rPr>
                <w:rFonts w:eastAsia="Cambria"/>
                <w:b/>
                <w:bCs/>
                <w:sz w:val="18"/>
                <w:szCs w:val="18"/>
                <w:lang w:val="en-GB" w:eastAsia="en-US"/>
              </w:rPr>
            </w:pPr>
          </w:p>
        </w:tc>
        <w:tc>
          <w:tcPr>
            <w:tcW w:w="1810" w:type="dxa"/>
            <w:shd w:val="clear" w:color="auto" w:fill="EEEEEE"/>
          </w:tcPr>
          <w:p w14:paraId="6A4A5F16" w14:textId="77777777" w:rsidR="00795EC6" w:rsidRPr="00F0337F" w:rsidRDefault="00795EC6" w:rsidP="00795EC6">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491" w:type="dxa"/>
            <w:shd w:val="clear" w:color="auto" w:fill="EEEEEE"/>
          </w:tcPr>
          <w:p w14:paraId="422EB891" w14:textId="35DEA636" w:rsidR="00795EC6" w:rsidRPr="00A1236D" w:rsidRDefault="00795EC6" w:rsidP="00795EC6">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w:t>
            </w:r>
            <w:r>
              <w:rPr>
                <w:rFonts w:eastAsia="Times New Roman"/>
                <w:sz w:val="18"/>
                <w:szCs w:val="18"/>
                <w:lang w:val="en-GB" w:eastAsia="en-GB"/>
              </w:rPr>
              <w:t xml:space="preserve">only </w:t>
            </w:r>
            <w:r w:rsidRPr="00A1236D">
              <w:rPr>
                <w:rFonts w:eastAsia="Times New Roman"/>
                <w:sz w:val="18"/>
                <w:szCs w:val="18"/>
                <w:lang w:val="en-GB" w:eastAsia="en-GB"/>
              </w:rPr>
              <w:t xml:space="preserve">under certain assumptions </w:t>
            </w:r>
          </w:p>
        </w:tc>
        <w:tc>
          <w:tcPr>
            <w:tcW w:w="1397" w:type="dxa"/>
            <w:shd w:val="clear" w:color="auto" w:fill="EEEEEE"/>
          </w:tcPr>
          <w:p w14:paraId="2FA4AA4D" w14:textId="0E8A15D9" w:rsidR="00795EC6" w:rsidRPr="008B315B" w:rsidRDefault="008B315B" w:rsidP="00795EC6">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18-19</w:t>
            </w:r>
          </w:p>
        </w:tc>
        <w:tc>
          <w:tcPr>
            <w:tcW w:w="4205" w:type="dxa"/>
            <w:shd w:val="clear" w:color="auto" w:fill="EEEEEE"/>
          </w:tcPr>
          <w:p w14:paraId="38929BF2" w14:textId="77777777" w:rsidR="008B315B" w:rsidRPr="008B315B" w:rsidRDefault="008B315B" w:rsidP="008B315B">
            <w:pPr>
              <w:spacing w:beforeLines="40" w:before="96" w:afterLines="40" w:after="96" w:line="24" w:lineRule="atLeast"/>
              <w:rPr>
                <w:rFonts w:eastAsia="Times New Roman"/>
                <w:sz w:val="18"/>
                <w:szCs w:val="18"/>
                <w:lang w:val="en-US" w:eastAsia="en-GB"/>
              </w:rPr>
            </w:pPr>
            <w:r w:rsidRPr="008B315B">
              <w:rPr>
                <w:rFonts w:eastAsia="Times New Roman"/>
                <w:sz w:val="18"/>
                <w:szCs w:val="18"/>
                <w:lang w:val="en-US" w:eastAsia="en-GB"/>
              </w:rPr>
              <w:t>Our study uncovers a novel bidirectional link between GERD and OA, revealing unexplored territory. GERD is likely connected to OA through pharmacological and physiological pathways. Chronic use of Proton Pump Inhibitors (PPIs) in GERD management may lead to hypomagnesemia, exacerbating OA symptoms. Diminished serum magnesium levels correlate with increased KOA prevalence, pain, and function deterioration</w:t>
            </w:r>
            <w:r w:rsidRPr="008B315B">
              <w:rPr>
                <w:rFonts w:eastAsia="Times New Roman"/>
                <w:sz w:val="18"/>
                <w:szCs w:val="18"/>
                <w:lang w:val="en-US" w:eastAsia="en-GB"/>
              </w:rPr>
              <w:fldChar w:fldCharType="begin"/>
            </w:r>
            <w:r w:rsidRPr="008B315B">
              <w:rPr>
                <w:rFonts w:eastAsia="Times New Roman"/>
                <w:sz w:val="18"/>
                <w:szCs w:val="18"/>
                <w:lang w:val="en-US" w:eastAsia="en-GB"/>
              </w:rPr>
              <w:instrText xml:space="preserve"> ADDIN ZOTERO_ITEM CSL_CITATION {"citationID":"5yPjus8K","properties":{"formattedCitation":"[54\\uc0\\u8211{}57]","plainCitation":"[54–57]","noteIndex":0},"citationItems":[{"id":"ga4GnxTX/WR6hcL9i","uris":["http://zotero.org/users/local/k7mguTBH/items/KY3Z6DCK"],"itemData":{"id":4139,"type":"article-journal","container-title":"Osteoarthritis and Cartilage","DOI":"10.1016/j.joca.2018.02.002","ISSN":"1063-4584, 1522-9653","issue":"5","journalAbbreviation":"Osteoarthritis and Cartilage","language":"English","note":"publisher: Elsevier\nPMID: 29454594","page":"651-658","source":"www.oarsijournal.com","title":"Low magnesium intake is associated with increased knee pain in subjects with radiographic knee osteoarthritis: data from the Osteoarthritis Initiative","title-short":"Low magnesium intake is associated with increased knee pain in subjects with radiographic knee osteoarthritis","volume":"26","author":[{"family":"Shmagel","given":"A."},{"family":"Onizuka","given":"N."},{"family":"Langsetmo","given":"L."},{"family":"Vo","given":"T."},{"family":"Foley","given":"R."},{"family":"Ensrud","given":"K."},{"family":"Valen","given":"P."}],"issued":{"date-parts":[["2018",5,1]]}}},{"id":"ga4GnxTX/uQsdB9x5","uris":["http://zotero.org/users/local/k7mguTBH/items/K97BYWH6"],"itemData":{"id":4132,"type":"article-journal","abstract":"Background. Osteoarthritis (OA) is a disorder of the whole synovial joint organ. There is growing evidence of the importance of bone turnover in OA, and human studies have demonstrated that the subchondral bone is metabolically active in OA. The aim of this study was to assess the relationships of radiographic knee OA with altered bone turnover and calcium regulation.Methods. We performed a matched and unmatched case–control study using twins assessed for OA. The subjects were 1644 female Caucasian twin pairs (266 monozygotic and 556 dizygotic) aged 24–79 yr from the St Thomas’ UK Adult Twin Registry. Assays for measures of bone turnover [bone-specific alkaline phosphatase, osteocalcin and urinary deoxypyridinoline (DPD)] and calcium regulation [serum parathyroid hormone (PTH), 25-hydroxyvitamin D, serum calcium, serum magnesium and serum phosphate] were performed. The radiological features of knee OA were graded on a four-point scale (0–3) for osteophytes and a five-point scale (0–4) for Kellgren and Lawrence classification. Adjustment for age, body mass index (BMI) and relatedness was made. Conditional logistic regression analysis was also used to estimate the odds ratio (OR) and 95% confidence intervals (CI) for having radiological features of knee OA per standardized unit difference of serum variable between twins.Results. Of the 1644 women studied, 474 (28.8%) had radiological evidence of knee osteophytes. There was evidence of increased bone turnover, increased PTH levels and decreased vitamin D levels in this group compared with those without osteophytes. No association was seen with joint space loss. After adjusting for age, BMI and relatedness, all of the differences disappeared except for a significant increase 10% in urinary DPD (P = 0.04). Discordant twin pair analysis (performed on a subgroup of 229 pairs) confirmed modest increases in bone resorption indicated by urinary DPD (OR 1.67, 95% CI 0.88–3.16) and a significant decrease in serum magnesium (OR 0.65, 95% CI 0.46–0.92) in the co-twins with OA.Conclusion. Bone resorption is increased in women with knee OA, consistent with metabolically active subchondral bone. However, bone formation, vitamin D and calcium regulation were not different after adjusting for age and BMI. The results suggest that bone resorption is increased in the presence of OA. Although we cannot clearly differentiate a cause or effect relationship, these results suggest that this is related to disease mechanisms and point to potential diagnostic or therapeutic avenues for bone resorption in OA.","container-title":"Rheumatology","DOI":"10.1093/rheumatology/keg373","ISSN":"1462-0324","issue":"11","journalAbbreviation":"Rheumatology","page":"1311-1316","source":"Silverchair","title":"Evidence of altered bone turnover, vitamin D and calcium regulation with knee osteoarthritis in female twins","volume":"42","author":[{"family":"Hunter","given":"D. J."},{"family":"Hart","given":"D."},{"family":"Snieder","given":"H."},{"family":"Bettica","given":"P."},{"family":"Swaminathan","given":"R."},{"family":"Spector","given":"T. D."}],"issued":{"date-parts":[["2003",11,1]]}}},{"id":"ga4GnxTX/2cJ7JlyC","uris":["http://zotero.org/users/local/k7mguTBH/items/8NAZNWQK"],"itemData":{"id":4153,"type":"article-journal","abstract":"Objective. To establish whether there is a relationship between serum magnesium (Mg) concentration and radiographic knee osteoarthritis (OA).\nMethods. There were 2855 subjects in this cross-sectional stud</w:instrText>
            </w:r>
            <w:r w:rsidRPr="008B315B">
              <w:rPr>
                <w:rFonts w:eastAsia="Times New Roman" w:hint="eastAsia"/>
                <w:sz w:val="18"/>
                <w:szCs w:val="18"/>
                <w:lang w:val="en-US" w:eastAsia="en-GB"/>
              </w:rPr>
              <w:instrText>y. Serum Mg concentration was measured using the chemiluminescence method. Radiographic OA of the knee was defined as changes consistent with Kellgren-Lawrence (K-L) grade 2 on at least 1 side. Mg concentration was classified into 1 of 4 quartiles: ≤ 0.87, 0.88–0.91, 0.92–0.96, or ≥ 0.97 mmol/l. Multivariable logistic analysis was used to test the association between serum Mg and radiographic knee OA after adjustment for potentially confounding factors. The OR with 95% CI for the association between radio</w:instrText>
            </w:r>
            <w:r w:rsidRPr="008B315B">
              <w:rPr>
                <w:rFonts w:eastAsia="Times New Roman"/>
                <w:sz w:val="18"/>
                <w:szCs w:val="18"/>
                <w:lang w:val="en-US" w:eastAsia="en-GB"/>
              </w:rPr>
              <w:instrText xml:space="preserve">graphic knee OA and serum Mg concentration were calculated for each quartile. The quartile with the lowest value was regarded as the reference category.\nResults. Significant association between serum Mg concentration and radiographic knee OA was observed in the model after adjustment for age, sex, and body mass index, as well as in the multivariable model. The multivariable-adjusted OR (95% CI) for radiographic knee OA in the second, third, and fourth serum Mg concentration quartiles were 0.90 (95% CI 0.71–1.13), 0.92 (95% CI 0.73–1.16), and 0.72 (95% CI 0.57–0.92), respectively, compared with the lowest (first) quartile. A clear trend (p for trend was 0.01) was observed. The relative odds of radiographic knee OA was decreased by 0.72 times in the fourth serum Mg quartile compared with the lowest quartile.\nConclusion. Serum Mg concentration may have an inverse relationship with radiographic OA of the knee.","container-title":"The Journal of Rheumatology","DOI":"10.3899/jrheum.141414","ISSN":"0315-162X, 1499-2752","issue":"7","language":"en","license":"© 2015","note":"publisher: The Journal of Rheumatology\nsection: Article\nPMID: 26034158","page":"1231-1236","source":"www.jrheum.org","title":"Relationship between Serum Magnesium Concentration and Radiographic Knee Osteoarthritis","volume":"42","author":[{"family":"Zeng","given":"Chao"},{"family":"Wei","given":"Jie"},{"family":"Li","given":"Hui"},{"family":"Yang","given":"Tuo"},{"family":"Zhang","given":"Fang-Jie"},{"family":"Pan","given":"Ding"},{"family":"Xiao","given":"Yong-Bing"},{"family":"Yang","given":"Tu-Bao"},{"family":"Lei","given":"Guang-Hua"}],"issued":{"date-parts":[["2015",7,1]]}}},{"id":"ga4GnxTX/S5Xv0vZX","uris":["http://zotero.org/users/local/k7mguTBH/items/5PIHBRVB"],"itemData":{"id":4156,"type":"article-journal","abstract":"Objective To examine the cross-sectional associations between dietary magnesium (Mg) intake and radiographic knee osteoarthritis (OA), joint space narrowing (JSN), and osteophytes (OST) respectively. Methods A total of 1626 subjects were included in the study. Dietary intake was assessed using a validated semi-quantitative food frequency questionnaire. Radiographic knee OA was defined as Kellgren-Lawrence (K-L) Grade 2 in at least one leg. JSN and OST were assessed individually according to the Osteoarthritis Research Society International (OARSI) atlas. A multivariable logistic analysis model was applied to test the various associations after adjusting for potentially confounding factors. Results The relative odds of radiographic knee OA were decreased by 0.53 times in the third quintile of Mg intake [odds ratio (OR) 0.53, 95% confidence interval (CI) 0.28–1.01], 0.40 times in the fourth quintile (OR 0.40, 95% CI 0.17–0.94) and 0.34 times in the fifth quintile (OR 0.34, 95% CI 0.11–1.00) compared with those in the lowest quintile, while P for trend was 0.111. The relative odds of JSN were decreased by 0.49 times in the third quintile of Mg intake (OR 0.49, 95% CI 0.28–0.88) and 0.37 times in the fifth quintile (OR 0.37, 95% CI 0.14–0.98) compared with those in the lowest quintile, while P for trend was 0.088. There was no significant relationship between dietary Mg intake and the presence of OST. Conclusions The findings of this cross-sectional study indicate that Mg intake is inversely associated with radiographic knee OA and JSN. It supports potential role of Mg in the prevention of knee OA. Level of Evidence LevelIII, cross-sectional study.","container-title":"PLOS ONE","DOI":"10.1371/journal.pone.0127666","ISSN":"1932-6203","issue":"5","journalAbbreviation":"PLOS ONE","language":"en","note":"publisher: Public Library of Science","page":"e0127666","source":"PLoS Journals","title":"Association between Dietary Magnesium Intake and Radiographic Knee Osteoarthritis","volume":"10","author":[{"family":"Zeng","given":"Chao"},{"family":"Li","given":"Hui"},{"family":"Wei","given":"Jie"},{"family":"Yang","given":"Tuo"},{"family":"Deng","given":"Zhen-han"},{"family":"Yang","given":"Ye"},{"family":"Zhang","given":"Yi"},{"family":"Yang","given":"Tu-bao"},{"family":"Lei","given":"Guang-hua"}],"issued":{"date-parts":[["2015",5,26]]}}}],"schema":"https://github.com/citation-style-language/schema/raw/master/csl-citation.json"} </w:instrText>
            </w:r>
            <w:r w:rsidRPr="008B315B">
              <w:rPr>
                <w:rFonts w:eastAsia="Times New Roman"/>
                <w:sz w:val="18"/>
                <w:szCs w:val="18"/>
                <w:lang w:val="en-US" w:eastAsia="en-GB"/>
              </w:rPr>
              <w:fldChar w:fldCharType="separate"/>
            </w:r>
            <w:r w:rsidRPr="008B315B">
              <w:rPr>
                <w:rFonts w:eastAsia="Times New Roman"/>
                <w:sz w:val="18"/>
                <w:szCs w:val="18"/>
                <w:lang w:val="en-US" w:eastAsia="en-GB"/>
              </w:rPr>
              <w:t>[54–57]</w:t>
            </w:r>
            <w:r w:rsidRPr="008B315B">
              <w:rPr>
                <w:rFonts w:eastAsia="Times New Roman"/>
                <w:sz w:val="18"/>
                <w:szCs w:val="18"/>
                <w:lang w:val="en-GB" w:eastAsia="en-GB"/>
              </w:rPr>
              <w:fldChar w:fldCharType="end"/>
            </w:r>
            <w:r w:rsidRPr="008B315B">
              <w:rPr>
                <w:rFonts w:eastAsia="Times New Roman"/>
                <w:sz w:val="18"/>
                <w:szCs w:val="18"/>
                <w:lang w:val="en-US" w:eastAsia="en-GB"/>
              </w:rPr>
              <w:t xml:space="preserve">. Animal models emphasize magnesium's role in maintaining </w:t>
            </w:r>
            <w:r w:rsidRPr="008B315B">
              <w:rPr>
                <w:rFonts w:eastAsia="Times New Roman"/>
                <w:sz w:val="18"/>
                <w:szCs w:val="18"/>
                <w:lang w:val="en-US" w:eastAsia="en-GB"/>
              </w:rPr>
              <w:lastRenderedPageBreak/>
              <w:t>chondrocyte density</w:t>
            </w:r>
            <w:r w:rsidRPr="008B315B">
              <w:rPr>
                <w:rFonts w:eastAsia="Times New Roman"/>
                <w:sz w:val="18"/>
                <w:szCs w:val="18"/>
                <w:lang w:val="en-US" w:eastAsia="en-GB"/>
              </w:rPr>
              <w:fldChar w:fldCharType="begin"/>
            </w:r>
            <w:r w:rsidRPr="008B315B">
              <w:rPr>
                <w:rFonts w:eastAsia="Times New Roman"/>
                <w:sz w:val="18"/>
                <w:szCs w:val="18"/>
                <w:lang w:val="en-US" w:eastAsia="en-GB"/>
              </w:rPr>
              <w:instrText xml:space="preserve"> ADDIN ZOTERO_ITEM CSL_CITATION {"citationID":"zWrh7Iow","properties":{"formattedCitation":"[58,59]","plainCitation":"[58,59]","noteIndex":0},"citationItems":[{"id":"ga4GnxTX/KMzYVwHd","uris":["http://zotero.org/users/local/k7mguTBH/items/LUWB4RZK"],"itemData":{"id":4173,"type":"article-journal","container-title":"Osteoarthritis and Cartilage","DOI":"10.1016/j.joca.2009.05.006","ISSN":"1063-4584, 1522-9653","issue":"11","journalAbbreviation":"Osteoarthritis and Cartilage","language":"English","note":"publisher: Elsevier\nPMID: 19490963","page":"1485-1493","source":"www.oarsijournal.com","title":"Intra-articular magnesium sulfate (MgSO4) reduces experimental osteoarthritis and nociception: association with attenuation of N-methyl-d-aspartate (NMDA) receptor subunit 1 phosphorylation and apoptosis in rat chondrocytes","title-short":"Intra-articular magnesium sulfate (MgSO4) reduces experimental osteoarthritis and nociception","volume":"17","author":[{"family":"Lee","given":"C. H."},{"family":"Wen","given":"Z. H."},{"family":"Chang","given":"Y. C."},{"family":"Huang","given":"S. Y."},{"family":"Tang","given":"C. C."},{"family":"Chen","given":"W. F."},{"family":"Hsieh","given":"S. P."},{"family":"Hsieh","given":"C. S."},{"family":"Jean","given":"Y. H."}],"issued":{"date-parts":[["2009",11,1]]}}},{"id":"ga4GnxTX/nnCgImNb","uris":["http://zotero.org/users/local/k7mguTBH/items/CFVSL4Y8"],"itemData":{"id":4172,"type":"article-journal","abstract":"Insufficient dietary magnesium (Mg) intake has been associated with low bone mass in humans, and recent basic science studies have indicated that this bone loss may be secondary to increased release of substance P and TNFα. Much less is known about the effects of low Mg intake on cartilage. We have evaluated growth plate and articular cartilage in rats following a 6 month dietary Mg restriction. Histomorphometry demonstrated significantly decreased distal femur articular cartilage chondrocyte density and decreased tibial growth plate width in experimental animals compared to controls. Growth plates of Mg-restricted animals showed reduced chondrocyte column formation. Extracellular matrix of both articular cartilage and growth plates in experimental animals contained reduced amounts of proteoglycans. Immunolocalization of Sox9 was decreased in both articular and growth plate cartilage in experimental animals compared to controls, suggesting that reduced Mg intake causes cartilage changes that may be secondary to reduced levels of the SOX9 transcription factor.","container-title":"Biotechnic &amp; Histochemistry","DOI":"10.1080/10520290410001697913","ISSN":"1052-0295","issue":"1","note":"publisher: Taylor &amp; Francis\n_eprint: https://doi.org/10.1080/10520290410001697913\nPMID: 15223753","page":"45-52","source":"Taylor and Francis+NEJM","title":"Alterations in growth plate and articular cartilage morphology are associated with reduced SOX9 localization in the magnesium-deficient rat","volume":"79","author":[{"family":"Gruber","given":"HE"},{"family":"Ingram","given":"J"},{"family":"Norton","given":"HJ"},{"family":"Wei","given":"LY"},{"family":"Frausto","given":"A"},{"family":"Mills","given":"BG"},{"family":"Rude","given":"RK"}],"issued":{"date-parts":[["2004",2,1]]}}}],"schema":"https://github.com/citation-style-language/schema/raw/master/csl-citation.json"} </w:instrText>
            </w:r>
            <w:r w:rsidRPr="008B315B">
              <w:rPr>
                <w:rFonts w:eastAsia="Times New Roman"/>
                <w:sz w:val="18"/>
                <w:szCs w:val="18"/>
                <w:lang w:val="en-US" w:eastAsia="en-GB"/>
              </w:rPr>
              <w:fldChar w:fldCharType="separate"/>
            </w:r>
            <w:r w:rsidRPr="008B315B">
              <w:rPr>
                <w:rFonts w:eastAsia="Times New Roman"/>
                <w:sz w:val="18"/>
                <w:szCs w:val="18"/>
                <w:lang w:val="en-US" w:eastAsia="en-GB"/>
              </w:rPr>
              <w:t>[58,59]</w:t>
            </w:r>
            <w:r w:rsidRPr="008B315B">
              <w:rPr>
                <w:rFonts w:eastAsia="Times New Roman"/>
                <w:sz w:val="18"/>
                <w:szCs w:val="18"/>
                <w:lang w:val="en-GB" w:eastAsia="en-GB"/>
              </w:rPr>
              <w:fldChar w:fldCharType="end"/>
            </w:r>
            <w:r w:rsidRPr="008B315B">
              <w:rPr>
                <w:rFonts w:eastAsia="Times New Roman"/>
                <w:sz w:val="18"/>
                <w:szCs w:val="18"/>
                <w:lang w:val="en-US" w:eastAsia="en-GB"/>
              </w:rPr>
              <w:t>. Moreover, PPIs are implicated in promoting bone resorption, which is related to OA development. Obesity, a lifestyle factor, adds to the GERD-OA interaction by increasing abdominal pressure and joint loading, potentially worsening OA</w:t>
            </w:r>
            <w:r w:rsidRPr="008B315B">
              <w:rPr>
                <w:rFonts w:eastAsia="Times New Roman"/>
                <w:sz w:val="18"/>
                <w:szCs w:val="18"/>
                <w:lang w:val="en-US" w:eastAsia="en-GB"/>
              </w:rPr>
              <w:fldChar w:fldCharType="begin"/>
            </w:r>
            <w:r w:rsidRPr="008B315B">
              <w:rPr>
                <w:rFonts w:eastAsia="Times New Roman"/>
                <w:sz w:val="18"/>
                <w:szCs w:val="18"/>
                <w:lang w:val="en-US" w:eastAsia="en-GB"/>
              </w:rPr>
              <w:instrText xml:space="preserve"> ADDIN ZOTERO_ITEM CSL_CITATION {"citationID":"cf2AafXf","properties":{"formattedCitation":"[17]","plainCitation":"[17]","noteIndex":0},"citationItems":[{"id":898,"uris":["http://zotero.org/users/11893546/items/S2J7PEQF"],"itemData":{"id":898,"type":"article-journal","abstract":"BACKGROUND: Increased morbidity is associated with increasing severity of obesity. However, among morbidly obese patients, comorbid prevalence has been reported primarily in the bariatric surgical literature. This study compares demographic characteristics and selected comorbid conditions of morbidly obese patients discharged after surgical obesity procedures and morbidly obese patients discharged after all other hospital procedures.\nMETHODS: The 2002 National Hospital Discharge Survey (a nationally representative sample of hospital discharge records) and the International Classification of Diseases, 9th Revision, Clinical Modification were used to identify and describe all morbidly obese patient discharges (n = 3,473) and to quantify the prevalence of selected obesity-related comorbid conditions.\nRESULTS: Compared with all other morbidly obese patients, the obesity surgery patients (n = 833) were younger (median, 42 vs 48 years; range, 17 to 67) and more female (82.3% vs. 63.7%), with higher rates of sleep apnea (24.0% vs. 11.8%), osteoarthritis (22.9% vs. 11.8%), and gastroesophageal reflux disease (27.7% vs. 11.7%) (all P &lt; .001). The prevalence of type 2 diabetes mellitus was lower in the obesity surgery patients (16.1% vs. 24.3%; P = .003), whereas the rates of hypertension (45.9% vs. 41.0%; P = .13) and asthma (9.6% vs. 12.0%; P = .26) were similar in the two groups.\nCONCLUSIONS: Demographic characteristics and comorbid prevalence of morbidly obese patients discharged after obesity surgery are consistent with reports in the bariatric surgical literature. Obesity surgery patients had a higher prevalence of some comorbid conditions. Possible explanations for this include preferential diagnosis, differential diagnostic coding, or increased severity of morbid obesity. Advancing surgical and insurance guidelines for bariatric surgery will require clinical data that accurately describe and quantify the demographic distribution of obesity and the associated burden of disease.","container-title":"Surgery for Obesity and Related Diseases: Official Journal of the American Society for Bariatric Surgery","DOI":"10.1016/j.soard.2006.01.004","ISSN":"1550-7289","issue":"2","journalAbbreviation":"Surg Obes Relat Dis","language":"eng","note":"PMID: 16925332","page":"105-111","source":"PubMed","title":"Comorbidity among the morbidly obese: a comparative study of 2002 U.S. hospital patient discharges","title-short":"Comorbidity among the morbidly obese","volume":"2","author":[{"family":"Scott","given":"Susanne K."},{"family":"Rabito","given":"Felicia A."},{"family":"Price","given":"Phillip D."},{"family":"Butler","given":"Nancy N."},{"family":"Schwartzbaum","given":"Judith A."},{"family":"Jackson","given":"Benita M."},{"family":"Love","given":"Randi L."},{"family":"Harris","given":"Randall E."}],"issued":{"date-parts":[["2006"]]}}}],"schema":"https://github.com/citation-style-language/schema/raw/master/csl-citation.json"} </w:instrText>
            </w:r>
            <w:r w:rsidRPr="008B315B">
              <w:rPr>
                <w:rFonts w:eastAsia="Times New Roman"/>
                <w:sz w:val="18"/>
                <w:szCs w:val="18"/>
                <w:lang w:val="en-US" w:eastAsia="en-GB"/>
              </w:rPr>
              <w:fldChar w:fldCharType="separate"/>
            </w:r>
            <w:r w:rsidRPr="008B315B">
              <w:rPr>
                <w:rFonts w:eastAsia="Times New Roman"/>
                <w:sz w:val="18"/>
                <w:szCs w:val="18"/>
                <w:lang w:val="en-US" w:eastAsia="en-GB"/>
              </w:rPr>
              <w:t>[17]</w:t>
            </w:r>
            <w:r w:rsidRPr="008B315B">
              <w:rPr>
                <w:rFonts w:eastAsia="Times New Roman"/>
                <w:sz w:val="18"/>
                <w:szCs w:val="18"/>
                <w:lang w:val="en-GB" w:eastAsia="en-GB"/>
              </w:rPr>
              <w:fldChar w:fldCharType="end"/>
            </w:r>
            <w:r w:rsidRPr="008B315B">
              <w:rPr>
                <w:rFonts w:eastAsia="Times New Roman"/>
                <w:sz w:val="18"/>
                <w:szCs w:val="18"/>
                <w:lang w:val="en-US" w:eastAsia="en-GB"/>
              </w:rPr>
              <w:t>. The diagnostic overlap between GERD and asthma could indirectly affect OA's course. GERD, OA, KOA, and HOA appear mutually influential, with medication use implicated.</w:t>
            </w:r>
            <w:r w:rsidRPr="008B315B">
              <w:rPr>
                <w:rFonts w:eastAsia="Times New Roman" w:hint="eastAsia"/>
                <w:sz w:val="18"/>
                <w:szCs w:val="18"/>
                <w:lang w:val="en-US" w:eastAsia="en-GB"/>
              </w:rPr>
              <w:t xml:space="preserve"> </w:t>
            </w:r>
            <w:r w:rsidRPr="008B315B">
              <w:rPr>
                <w:rFonts w:eastAsia="Times New Roman"/>
                <w:sz w:val="18"/>
                <w:szCs w:val="18"/>
                <w:lang w:val="en-US" w:eastAsia="en-GB"/>
              </w:rPr>
              <w:t>In general, patients with OA often suffer from unbearable pain and require long-term use of various medications, including NSAIDs. Patients treated with NSAIDs experience upper gastrointestinal symptoms such as dyspepsia in 15-20% of individuals. The relative risk of GERD in NSAID</w:t>
            </w:r>
            <w:r w:rsidRPr="008B315B">
              <w:rPr>
                <w:rFonts w:eastAsia="Times New Roman" w:hint="eastAsia"/>
                <w:sz w:val="18"/>
                <w:szCs w:val="18"/>
                <w:lang w:val="en-US" w:eastAsia="en-GB"/>
              </w:rPr>
              <w:t>s</w:t>
            </w:r>
            <w:r w:rsidRPr="008B315B">
              <w:rPr>
                <w:rFonts w:eastAsia="Times New Roman"/>
                <w:sz w:val="18"/>
                <w:szCs w:val="18"/>
                <w:lang w:val="en-US" w:eastAsia="en-GB"/>
              </w:rPr>
              <w:t xml:space="preserve"> users is 2.11 compared to those for whom the drug is not indicated</w:t>
            </w:r>
            <w:r w:rsidRPr="008B315B">
              <w:rPr>
                <w:rFonts w:eastAsia="Times New Roman"/>
                <w:sz w:val="18"/>
                <w:szCs w:val="18"/>
                <w:lang w:val="en-US" w:eastAsia="en-GB"/>
              </w:rPr>
              <w:fldChar w:fldCharType="begin"/>
            </w:r>
            <w:r w:rsidRPr="008B315B">
              <w:rPr>
                <w:rFonts w:eastAsia="Times New Roman"/>
                <w:sz w:val="18"/>
                <w:szCs w:val="18"/>
                <w:lang w:val="en-US" w:eastAsia="en-GB"/>
              </w:rPr>
              <w:instrText xml:space="preserve"> ADDIN ZOTERO_ITEM CSL_CITATION {"citationID":"M4acwgsc","properties":{"formattedCitation":"[60]","plainCitation":"[60]","noteIndex":0},"citationItems":[{"id":804,"uris":["http://zotero.org/users/11893546/items/9SPBHBF4"],"itemData":{"id":804,"type":"article-journal","abstract":"PURPOSE: The purpose of the study was to determine the incidence of GERD associated with prescription NSAID consumption.\nMETHODS: All Georgia Medicaid patients &gt; 25 years of age and continuously eligible for 1996, 1997, and 1998 were included in the study. Patients were excluded if they received a GERD diagnoses during 1996 and 1997. Patients were observed in 1998 and classified into GERD and control cohorts. Comorbidities, demographics, and NSAID prescription consumption were retained and modeled with logistic regression.\nRESULTS: The absolute risk of developing GERD without previous NSAID consumption was 0.38. The absolute risk of developing GERD for those patients who consumed one or more NSAID prescriptions during 1996 and 1997 was 0.80. Thus, the relative risk of GERD for NSAID patients was 2.11. GERD was significantly associated with one or more NSAID prescriptions (OR = 1.82), age (OR = 1.05 for 5 year range), gender (OR = 1.31 for females), asthma (OR = 3.24), obesity (OR = 2.77), hiatal hernia (OR = 4.17), tobacco use (OR = 2.56), and alcohol (OR = 1.83). The initial NSAID prescription was responsible for the greatest marginal increase in GERD.\nCONCLUSIONS: Our study suggests that NSAIDs are associated with GERD especially for females, alcohol and tobacco users, and patients with asthma, hiatal hernia, or obesity.","container-title":"Pharmaceutical Research","DOI":"10.1023/a:1013010616496","ISSN":"0724-8741","issue":"9","journalAbbreviation":"Pharm Res","language":"eng","note":"PMID: 11683254","page":"1367-1372","source":"PubMed","title":"Assessing NSAID prescription use as a predisposing factor for gastroesophageal reflux disease in a Medicaid population","volume":"18","author":[{"family":"Kotzan","given":"J."},{"family":"Wade","given":"W."},{"family":"Yu","given":"H. H."}],"issued":{"date-parts":[["2001",9]]}}}],"schema":"https://github.com/citation-style-language/schema/raw/master/csl-citation.json"} </w:instrText>
            </w:r>
            <w:r w:rsidRPr="008B315B">
              <w:rPr>
                <w:rFonts w:eastAsia="Times New Roman"/>
                <w:sz w:val="18"/>
                <w:szCs w:val="18"/>
                <w:lang w:val="en-US" w:eastAsia="en-GB"/>
              </w:rPr>
              <w:fldChar w:fldCharType="separate"/>
            </w:r>
            <w:r w:rsidRPr="008B315B">
              <w:rPr>
                <w:rFonts w:eastAsia="Times New Roman"/>
                <w:sz w:val="18"/>
                <w:szCs w:val="18"/>
                <w:lang w:val="en-US" w:eastAsia="en-GB"/>
              </w:rPr>
              <w:t>[60]</w:t>
            </w:r>
            <w:r w:rsidRPr="008B315B">
              <w:rPr>
                <w:rFonts w:eastAsia="Times New Roman"/>
                <w:sz w:val="18"/>
                <w:szCs w:val="18"/>
                <w:lang w:val="en-GB" w:eastAsia="en-GB"/>
              </w:rPr>
              <w:fldChar w:fldCharType="end"/>
            </w:r>
            <w:r w:rsidRPr="008B315B">
              <w:rPr>
                <w:rFonts w:eastAsia="Times New Roman" w:hint="eastAsia"/>
                <w:sz w:val="18"/>
                <w:szCs w:val="18"/>
                <w:lang w:val="en-US" w:eastAsia="en-GB"/>
              </w:rPr>
              <w:t>.</w:t>
            </w:r>
            <w:r w:rsidRPr="008B315B">
              <w:rPr>
                <w:rFonts w:eastAsia="Times New Roman"/>
                <w:sz w:val="18"/>
                <w:szCs w:val="18"/>
                <w:lang w:val="en-US" w:eastAsia="en-GB"/>
              </w:rPr>
              <w:t xml:space="preserve"> Consequently, various types of NSAIDs are also considered to be risk factors for GERD </w:t>
            </w:r>
            <w:r w:rsidRPr="008B315B">
              <w:rPr>
                <w:rFonts w:eastAsia="Times New Roman"/>
                <w:sz w:val="18"/>
                <w:szCs w:val="18"/>
                <w:lang w:val="en-US" w:eastAsia="en-GB"/>
              </w:rPr>
              <w:fldChar w:fldCharType="begin"/>
            </w:r>
            <w:r w:rsidRPr="008B315B">
              <w:rPr>
                <w:rFonts w:eastAsia="Times New Roman"/>
                <w:sz w:val="18"/>
                <w:szCs w:val="18"/>
                <w:lang w:val="en-US" w:eastAsia="en-GB"/>
              </w:rPr>
              <w:instrText xml:space="preserve"> ADDIN ZOTERO_ITEM CSL_CITATION {"citationID":"iJZFrxAp","properties":{"formattedCitation":"[61\\uc0\\u8211{}63]","plainCitation":"[61–63]","noteIndex":0},"citationItems":[{"id":785,"uris":["http://zotero.org/users/11893546/items/QJC847DD"],"itemData":{"id":785,"type":"article-journal","abstract":"OBJECTIVES: Gastro-oesophageal reflux symptoms are common in the community, but there has been no definitive systematic review and meta-analysis of data from all studies to estimate their global prevalence, or potential risk factors for them.\nDESIGN: Medline, Embase and Embase Classic were searched (until September 2016) to identify population-based studies that reported the prevalence of gastro-oesophageal reflux symptoms in adults (</w:instrText>
            </w:r>
            <w:r w:rsidRPr="008B315B">
              <w:rPr>
                <w:rFonts w:eastAsia="Times New Roman" w:hint="eastAsia"/>
                <w:sz w:val="18"/>
                <w:szCs w:val="18"/>
                <w:lang w:val="en-US" w:eastAsia="en-GB"/>
              </w:rPr>
              <w:instrText>≥</w:instrText>
            </w:r>
            <w:r w:rsidRPr="008B315B">
              <w:rPr>
                <w:rFonts w:eastAsia="Times New Roman"/>
                <w:sz w:val="18"/>
                <w:szCs w:val="18"/>
                <w:lang w:val="en-US" w:eastAsia="en-GB"/>
              </w:rPr>
              <w:instrText xml:space="preserve">15 years); gastro-oesophageal reflux was defined using symptom-based criteria or questionnaires. The prevalence was extracted for all studies, and according to the criteria used to define it. Pooled prevalence, according to study location and certain other characteristics, OR and 95% CIs were calculated.\nRESULTS: Of the 14 132 citations evaluated, 102 reported the prevalence of gastro-oesophageal reflux symptoms in 108 separate study populations, containing 460 984 subjects. Prevalence varied according to country (from 2.5% in China to 51.2% in Greece) and criteria used to define gastro-oesophageal reflux symptoms. When only studies using a weekly frequency of heart burn or regurgitation to define presence were considered, pooled prevalence was 13.3% (95% CI 12.0% to 14.6%). Prevalence was higher in subjects </w:instrText>
            </w:r>
            <w:r w:rsidRPr="008B315B">
              <w:rPr>
                <w:rFonts w:eastAsia="Times New Roman" w:hint="eastAsia"/>
                <w:sz w:val="18"/>
                <w:szCs w:val="18"/>
                <w:lang w:val="en-US" w:eastAsia="en-GB"/>
              </w:rPr>
              <w:instrText>≥</w:instrText>
            </w:r>
            <w:r w:rsidRPr="008B315B">
              <w:rPr>
                <w:rFonts w:eastAsia="Times New Roman"/>
                <w:sz w:val="18"/>
                <w:szCs w:val="18"/>
                <w:lang w:val="en-US" w:eastAsia="en-GB"/>
              </w:rPr>
              <w:instrText xml:space="preserve">50 years (OR 1.32; 95% CI 1.12 to 1.54), smokers (OR 1.26; 95% CI 1.04 to 1.52), non-steroidal anti-inflammatory drug (NSAID)/aspirin users (OR 1.44; 95% CI 1.10 to 1.88) and obese individuals (OR 1.73; 95% CI 1.46 to 2.06).\nCONCLUSIONS: The prevalence of gastro-oesophageal reflux symptoms varied strikingly among countries, even when similar definitions were used to define their presence. Prevalence was significantly higher in subjects </w:instrText>
            </w:r>
            <w:r w:rsidRPr="008B315B">
              <w:rPr>
                <w:rFonts w:eastAsia="Times New Roman" w:hint="eastAsia"/>
                <w:sz w:val="18"/>
                <w:szCs w:val="18"/>
                <w:lang w:val="en-US" w:eastAsia="en-GB"/>
              </w:rPr>
              <w:instrText>≥</w:instrText>
            </w:r>
            <w:r w:rsidRPr="008B315B">
              <w:rPr>
                <w:rFonts w:eastAsia="Times New Roman"/>
                <w:sz w:val="18"/>
                <w:szCs w:val="18"/>
                <w:lang w:val="en-US" w:eastAsia="en-GB"/>
              </w:rPr>
              <w:instrText xml:space="preserve">50 years, smokers, NSAID users and obese individuals, although these associations were modest.","container-title":"Gut","DOI":"10.1136/gutjnl-2016-313589","ISSN":"1468-3288","issue":"3","journalAbbreviation":"Gut","language":"eng","note":"PMID: 28232473","page":"430-440","source":"PubMed","title":"Global prevalence of, and risk factors for, gastro-oesophageal reflux symptoms: a meta-analysis","title-short":"Global prevalence of, and risk factors for, gastro-oesophageal reflux symptoms","volume":"67","author":[{"family":"Eusebi","given":"Leonardo H."},{"family":"Ratnakumaran","given":"Raguprakash"},{"family":"Yuan","given":"Yuhong"},{"family":"Solaymani-Dodaran","given":"Masoud"},{"family":"Bazzoli","given":"Franco"},{"family":"Ford","given":"Alexander C."}],"issued":{"date-parts":[["2018",3]]}}},{"id":787,"uris":["http://zotero.org/users/11893546/items/T9J9NZPR"],"itemData":{"id":787,"type":"article-journal","abstract":"Background Gastroesophageal reflux disease (GERD) is one of the most common gastrointestinal disorders that has substantial health and economic consequences. Several modifiable risk factors are associated with GERD, hence we conducted the present study to assess the prevalence and risk factors of GERD in a previously understudied population of southwestern Saudi Arabia. Methods A cross-sectional study was carried out to calculate the prevalence of GERD and assess its risk factors. A structured self-administered questionnaire was distributed on a random sample of 853 participants from Jazan region, Saudi Arabia. The questionnaire consisted of questions on the participants' sociodemographic and lifestyle characteristics. The presence of GERD was detected using the GERD questionnaire (GerdQ). Data were analyzed using descriptive statistics and chi-square test, with a significance level of P &lt; 0.05 or P &lt; 0.01. Results The study included 853 participants; 69.1% males and 30.9% females. The proportion of participants who scored &gt;8 on the GerdQ (had GERD) was 32.2%. GERD was associated with age (P &lt; 0.01), marital status (P &lt; 0.01), employment status (P &lt; 0.01), fast food intake (P &lt; 0.01), analgesics use (P &lt; 0.01), and smoking (P &lt; 0.01). GERD was more common among Khat chewers compared to non-Khat chewers (P &lt; 0.05) and showed a significant association with the frequency of Khat use. Conclusion The results show a high prevalence of GERD in the general population of Southwestern Saudi Arabia. Several sociodemographic and lifestyle characteristics were associated with the disease.","container-title":"Cureus","DOI":"10.7759/cureus.6626","ISSN":"2168-8184","issue":"1","journalAbbreviation":"Cureus","language":"eng","note":"PMID: 31966942\nPMCID: PMC6957026","page":"e6626","source":"PubMed","title":"Prevalence and Risk Factors of Gastroesophageal Reflux Disease in Southwestern Saudi Arabia","volume":"12","author":[{"family":"Kariri","given":"Ali M."},{"family":"Darraj","given":"Mohammad A."},{"family":"Wassly","given":"Almonther"},{"family":"Arishi","given":"Hassan A."},{"family":"Lughbi","given":"Majid"},{"family":"Kariri","given":"Alhassan"},{"family":"Madkhali","given":"Abdullah M."},{"family":"Ezzi","given":"Musab I."},{"family":"Khawaji","given":"Basim"}],"issued":{"date-parts":[["2020",1,10]]}}},{"id":800,"uris":["http://zotero.org/users/11893546/items/U8BUPA98"],"itemData":{"id":800,"type":"article-journal","abstract":"There have been many studies documenting the deleterious effects of non-steroidal anti-inflammatory drugs (NSAIDs) on the gastrointestinal tract, and it is widely accepted that these agents cause mucosal damage in the stomach, duodenum, jejunum, ileum and colon. The mechanism of this toxicity is at least partly due to inhibition of endogenous prostaglandin synthesis. Prostaglandins, especially PGE2, PGI2 and the synthetic PGE1 analogue misoprostol, protect the stomach from these harmful effects. There is good theoretical evidence that the opposite is the case in the oesophagus, with prostaglandins causing relaxation of the lower oesophageal sphincter, increasing acid reflux and acting as mediators of the inflammatory response. NSAIDs have beneficial effects in some models of oesophagitis and have even been proposed as treatment for oesophagitis. In spite of these theoretical benefits, there are many reports implicating NSAIDs in the pathogenesis of oesophagitis, oesophageal ulceration and stricture formation.","container-title":"European Journal of Gastroenterology &amp; Hepatology","DOI":"10.1097/00042737-199904000-00002","ISSN":"0954-691X","issue":"4","journalAbbreviation":"Eur J Gastroenterol Hepatol","language":"eng","note":"PMID: 10321751","page":"369-373","source":"PubMed","title":"NSAIDs and the oesophagus","volume":"11","author":[{"family":"Mason","given":"J. C."}],"issued":{"date-parts":[["1999",4]]}}}],"schema":"https://github.com/citation-style-language/schema/raw/master/csl-citation.json"} </w:instrText>
            </w:r>
            <w:r w:rsidRPr="008B315B">
              <w:rPr>
                <w:rFonts w:eastAsia="Times New Roman"/>
                <w:sz w:val="18"/>
                <w:szCs w:val="18"/>
                <w:lang w:val="en-US" w:eastAsia="en-GB"/>
              </w:rPr>
              <w:fldChar w:fldCharType="separate"/>
            </w:r>
            <w:r w:rsidRPr="008B315B">
              <w:rPr>
                <w:rFonts w:eastAsia="Times New Roman"/>
                <w:sz w:val="18"/>
                <w:szCs w:val="18"/>
                <w:lang w:val="en-US" w:eastAsia="en-GB"/>
              </w:rPr>
              <w:t>[61–63]</w:t>
            </w:r>
            <w:r w:rsidRPr="008B315B">
              <w:rPr>
                <w:rFonts w:eastAsia="Times New Roman"/>
                <w:sz w:val="18"/>
                <w:szCs w:val="18"/>
                <w:lang w:val="en-GB" w:eastAsia="en-GB"/>
              </w:rPr>
              <w:fldChar w:fldCharType="end"/>
            </w:r>
            <w:r w:rsidRPr="008B315B">
              <w:rPr>
                <w:rFonts w:eastAsia="Times New Roman" w:hint="eastAsia"/>
                <w:sz w:val="18"/>
                <w:szCs w:val="18"/>
                <w:lang w:val="en-US" w:eastAsia="en-GB"/>
              </w:rPr>
              <w:t xml:space="preserve">, </w:t>
            </w:r>
            <w:r w:rsidRPr="008B315B">
              <w:rPr>
                <w:rFonts w:eastAsia="Times New Roman"/>
                <w:sz w:val="18"/>
                <w:szCs w:val="18"/>
                <w:lang w:val="en-US" w:eastAsia="en-GB"/>
              </w:rPr>
              <w:t xml:space="preserve">possibly because NSAIDs may increase the duration of acid reflux </w:t>
            </w:r>
            <w:r w:rsidRPr="008B315B">
              <w:rPr>
                <w:rFonts w:eastAsia="Times New Roman"/>
                <w:sz w:val="18"/>
                <w:szCs w:val="18"/>
                <w:lang w:val="en-US" w:eastAsia="en-GB"/>
              </w:rPr>
              <w:fldChar w:fldCharType="begin"/>
            </w:r>
            <w:r w:rsidRPr="008B315B">
              <w:rPr>
                <w:rFonts w:eastAsia="Times New Roman"/>
                <w:sz w:val="18"/>
                <w:szCs w:val="18"/>
                <w:lang w:val="en-US" w:eastAsia="en-GB"/>
              </w:rPr>
              <w:instrText xml:space="preserve"> ADDIN ZOTERO_ITEM CSL_CITATION {"citationID":"1ey20Smq","properties":{"formattedCitation":"[64]","plainCitation":"[64]","noteIndex":0},"citationItems":[{"id":808,"uris":["http://zotero.org/users/11893546/items/2NMQJ2EP"],"itemData":{"id":808,"type":"article-journal","container-title":"Gastroenterology","DOI":"10.1016/S0016-5085(00)85589-4","ISSN":"0016-5085","issue":"118","language":"English","page":"A862","source":"www.infona.pl","title":"Effects of non-steroidal anti-inflammatory drugs (NSAIDs) on acid reflux in patients with gastroesophageal reflux disease (GERD)","volume":"4 Part 1","author":[{"family":"Cryer","given":"Byron"},{"family":"Spechler","given":"Stuart J."}],"issued":{"date-parts":[["2000"]]}}}],"schema":"https://github.com/citation-style-language/schema/raw/master/csl-citation.json"} </w:instrText>
            </w:r>
            <w:r w:rsidRPr="008B315B">
              <w:rPr>
                <w:rFonts w:eastAsia="Times New Roman"/>
                <w:sz w:val="18"/>
                <w:szCs w:val="18"/>
                <w:lang w:val="en-US" w:eastAsia="en-GB"/>
              </w:rPr>
              <w:fldChar w:fldCharType="separate"/>
            </w:r>
            <w:r w:rsidRPr="008B315B">
              <w:rPr>
                <w:rFonts w:eastAsia="Times New Roman"/>
                <w:sz w:val="18"/>
                <w:szCs w:val="18"/>
                <w:lang w:val="en-US" w:eastAsia="en-GB"/>
              </w:rPr>
              <w:t>[64]</w:t>
            </w:r>
            <w:r w:rsidRPr="008B315B">
              <w:rPr>
                <w:rFonts w:eastAsia="Times New Roman"/>
                <w:sz w:val="18"/>
                <w:szCs w:val="18"/>
                <w:lang w:val="en-GB" w:eastAsia="en-GB"/>
              </w:rPr>
              <w:fldChar w:fldCharType="end"/>
            </w:r>
            <w:r w:rsidRPr="008B315B">
              <w:rPr>
                <w:rFonts w:eastAsia="Times New Roman" w:hint="eastAsia"/>
                <w:sz w:val="18"/>
                <w:szCs w:val="18"/>
                <w:lang w:val="en-US" w:eastAsia="en-GB"/>
              </w:rPr>
              <w:t>.</w:t>
            </w:r>
            <w:r w:rsidRPr="008B315B">
              <w:rPr>
                <w:rFonts w:eastAsia="Times New Roman"/>
                <w:sz w:val="18"/>
                <w:szCs w:val="18"/>
                <w:lang w:val="en-US" w:eastAsia="en-GB"/>
              </w:rPr>
              <w:t xml:space="preserve"> In addition, people with OA tend to be less active due to fear of pain. At the same time, a cross-sectional study showed that increasing the frequency of physical activity generally reduces the risk of GERD </w:t>
            </w:r>
            <w:r w:rsidRPr="008B315B">
              <w:rPr>
                <w:rFonts w:eastAsia="Times New Roman"/>
                <w:sz w:val="18"/>
                <w:szCs w:val="18"/>
                <w:lang w:val="en-US" w:eastAsia="en-GB"/>
              </w:rPr>
              <w:fldChar w:fldCharType="begin"/>
            </w:r>
            <w:r w:rsidRPr="008B315B">
              <w:rPr>
                <w:rFonts w:eastAsia="Times New Roman"/>
                <w:sz w:val="18"/>
                <w:szCs w:val="18"/>
                <w:lang w:val="en-US" w:eastAsia="en-GB"/>
              </w:rPr>
              <w:instrText xml:space="preserve"> ADDIN ZOTERO_ITEM CSL_CITATION {"citationID":"BPg8Wf1P","properties":{"formattedCitation":"[65]","plainCitation":"[65]","noteIndex":0},"citationItems":[{"id":782,"uris":["http://zotero.org/users/11893546/items/XBFL87HM"],"itemData":{"id":782,"type":"article-journal","abstract":"Physical activity, obesity and gastroesophageal reflux disease in the general population","container-title":"World Journal of Gastroenterology","DOI":"10.3748/wjg.v18.i28.3710","issue":"28","language":"en","note":"publisher: Baishideng Publishing Group Inc.","page":"3710-3714","source":"www.wjgnet.com","title":"Physical activity, obesity and gastroesophageal reflux disease in the general population","volume":"18","author":[{"family":"Dj&amp;auml","given":"Therese"},{"family":"Rv","given":"Anna Wikman"}],"issued":{"date-parts":[["2012",7,28]]}}}],"schema":"https://github.com/citation-style-language/schema/raw/master/csl-citation.json"} </w:instrText>
            </w:r>
            <w:r w:rsidRPr="008B315B">
              <w:rPr>
                <w:rFonts w:eastAsia="Times New Roman"/>
                <w:sz w:val="18"/>
                <w:szCs w:val="18"/>
                <w:lang w:val="en-US" w:eastAsia="en-GB"/>
              </w:rPr>
              <w:fldChar w:fldCharType="separate"/>
            </w:r>
            <w:r w:rsidRPr="008B315B">
              <w:rPr>
                <w:rFonts w:eastAsia="Times New Roman"/>
                <w:sz w:val="18"/>
                <w:szCs w:val="18"/>
                <w:lang w:val="en-US" w:eastAsia="en-GB"/>
              </w:rPr>
              <w:t>[65]</w:t>
            </w:r>
            <w:r w:rsidRPr="008B315B">
              <w:rPr>
                <w:rFonts w:eastAsia="Times New Roman"/>
                <w:sz w:val="18"/>
                <w:szCs w:val="18"/>
                <w:lang w:val="en-GB" w:eastAsia="en-GB"/>
              </w:rPr>
              <w:fldChar w:fldCharType="end"/>
            </w:r>
            <w:r w:rsidRPr="008B315B">
              <w:rPr>
                <w:rFonts w:eastAsia="Times New Roman" w:hint="eastAsia"/>
                <w:sz w:val="18"/>
                <w:szCs w:val="18"/>
                <w:lang w:val="en-US" w:eastAsia="en-GB"/>
              </w:rPr>
              <w:t>,</w:t>
            </w:r>
            <w:r w:rsidRPr="008B315B">
              <w:rPr>
                <w:rFonts w:eastAsia="Times New Roman"/>
                <w:sz w:val="18"/>
                <w:szCs w:val="18"/>
                <w:lang w:val="en-US" w:eastAsia="en-GB"/>
              </w:rPr>
              <w:t xml:space="preserve"> meaning that lower activity levels increase the likelihood of developing the disease </w:t>
            </w:r>
            <w:r w:rsidRPr="008B315B">
              <w:rPr>
                <w:rFonts w:eastAsia="Times New Roman"/>
                <w:sz w:val="18"/>
                <w:szCs w:val="18"/>
                <w:lang w:val="en-US" w:eastAsia="en-GB"/>
              </w:rPr>
              <w:fldChar w:fldCharType="begin"/>
            </w:r>
            <w:r w:rsidRPr="008B315B">
              <w:rPr>
                <w:rFonts w:eastAsia="Times New Roman"/>
                <w:sz w:val="18"/>
                <w:szCs w:val="18"/>
                <w:lang w:val="en-US" w:eastAsia="en-GB"/>
              </w:rPr>
              <w:instrText xml:space="preserve"> ADDIN ZOTERO_ITEM CSL_CITATION {"citationID":"U3bzSCao","properties":{"formattedCitation":"[66]","plainCitation":"[66]","noteIndex":0},"citationItems":[{"id":790,"uris":["http://zotero.org/users/11893546/items/YFPKN3AI"],"itemData":{"id":790,"type":"article-journal","abstract":"Background\nGastroesophageal reflux disease (GERD) is one of the most prevalent gastrointestinal tract diseases worldwide. GERD has an effect on the patients’ quality of life as well as the health care system that can be prevented by identifying its risk factors among the population. Hence, we applied this study to assess the GERD’s risk factors in Saudi Arabia.\n\nMethods\nA cross-sectional study was designed to assess the GERD’s risk factors among the community of Saudi Arabia. The sample was collected randomly during the period from November to December 2016. Through a self-administered validated GERD questionnaire (GerdQ), GERD was diagnosed. Then, the GERD’s risk factors were assessed among all participants. The data were analyzed using Statistical Package for Social Sciences version 21.0; the Student’s t-test was used to assess the association of GERD and risk factors.\n\nResults\nA total of 2,043 subjects participated in the study. The characteristics and behaviors of parti</w:instrText>
            </w:r>
            <w:r w:rsidRPr="008B315B">
              <w:rPr>
                <w:rFonts w:eastAsia="Times New Roman" w:hint="eastAsia"/>
                <w:sz w:val="18"/>
                <w:szCs w:val="18"/>
                <w:lang w:val="en-US" w:eastAsia="en-GB"/>
              </w:rPr>
              <w:instrText>cipants statistically significant with GERD were positive family history (39.3%), obese (body mass index &gt; 30 kg/m2) (39.4%), not performing weekly regular physical activities ≥ 30 min (31.1%) and smoking (39.3%). GERD was commonly noticed in participants on analgesics (38.4%), not taking fibers (37.4%), drinking tea (33.4%), eating greasy (31.2%) and fast food (32.7%), and these were statistically significant with GERD (P ≤ 0.05).\n\nConclusion\nThe characteristics and behaviors associated with GERD in S</w:instrText>
            </w:r>
            <w:r w:rsidRPr="008B315B">
              <w:rPr>
                <w:rFonts w:eastAsia="Times New Roman"/>
                <w:sz w:val="18"/>
                <w:szCs w:val="18"/>
                <w:lang w:val="en-US" w:eastAsia="en-GB"/>
              </w:rPr>
              <w:instrText xml:space="preserve">audi population are family history of GERD, obesity, sedentary lifestyle and smoking. Other common risk factors correlated with GERD are analgesics intake, no fibers intake, drinking tea, greasy and fast food intake.","container-title":"Gastroenterology Research","DOI":"10.14740/gr906w","ISSN":"1918-2805","issue":"5","journalAbbreviation":"Gastroenterology Res","note":"PMID: 29118870\nPMCID: PMC5667695","page":"294-300","source":"PubMed Central","title":"Risk Factors for Gastroesophageal Reflux Disease in Saudi Arabia","volume":"10","author":[{"family":"Alkhathami","given":"Ali Mesfer"},{"family":"Alzahrani","given":"Abdulrahman Ahmad"},{"family":"Alzhrani","given":"Mohammed Abdullah"},{"family":"Alsuwat","given":"Obaidallah Buraykan"},{"family":"Mahfouz","given":"Mohammad Eid Mahmoud"}],"issued":{"date-parts":[["2017",10]]}}}],"schema":"https://github.com/citation-style-language/schema/raw/master/csl-citation.json"} </w:instrText>
            </w:r>
            <w:r w:rsidRPr="008B315B">
              <w:rPr>
                <w:rFonts w:eastAsia="Times New Roman"/>
                <w:sz w:val="18"/>
                <w:szCs w:val="18"/>
                <w:lang w:val="en-US" w:eastAsia="en-GB"/>
              </w:rPr>
              <w:fldChar w:fldCharType="separate"/>
            </w:r>
            <w:r w:rsidRPr="008B315B">
              <w:rPr>
                <w:rFonts w:eastAsia="Times New Roman"/>
                <w:sz w:val="18"/>
                <w:szCs w:val="18"/>
                <w:lang w:val="en-US" w:eastAsia="en-GB"/>
              </w:rPr>
              <w:t>[66]</w:t>
            </w:r>
            <w:r w:rsidRPr="008B315B">
              <w:rPr>
                <w:rFonts w:eastAsia="Times New Roman"/>
                <w:sz w:val="18"/>
                <w:szCs w:val="18"/>
                <w:lang w:val="en-GB" w:eastAsia="en-GB"/>
              </w:rPr>
              <w:fldChar w:fldCharType="end"/>
            </w:r>
            <w:r w:rsidRPr="008B315B">
              <w:rPr>
                <w:rFonts w:eastAsia="Times New Roman" w:hint="eastAsia"/>
                <w:sz w:val="18"/>
                <w:szCs w:val="18"/>
                <w:lang w:val="en-US" w:eastAsia="en-GB"/>
              </w:rPr>
              <w:t>,</w:t>
            </w:r>
            <w:r w:rsidRPr="008B315B">
              <w:rPr>
                <w:rFonts w:eastAsia="Times New Roman"/>
                <w:sz w:val="18"/>
                <w:szCs w:val="18"/>
                <w:lang w:val="en-US" w:eastAsia="en-GB"/>
              </w:rPr>
              <w:t xml:space="preserve"> partly explaining why OA causes GERD</w:t>
            </w:r>
            <w:r w:rsidRPr="008B315B">
              <w:rPr>
                <w:rFonts w:eastAsia="Times New Roman" w:hint="eastAsia"/>
                <w:sz w:val="18"/>
                <w:szCs w:val="18"/>
                <w:lang w:val="en-US" w:eastAsia="en-GB"/>
              </w:rPr>
              <w:t>.</w:t>
            </w:r>
            <w:r w:rsidRPr="008B315B">
              <w:rPr>
                <w:rFonts w:eastAsia="Times New Roman"/>
                <w:sz w:val="18"/>
                <w:szCs w:val="18"/>
                <w:lang w:val="en-US" w:eastAsia="en-GB"/>
              </w:rPr>
              <w:t xml:space="preserve"> Sedentary lifestyles in OA patients, driven by pain avoidance, contribute to caloric imbalances and obesity, a recognized risk factor for GERD, further entangling the OA-GERD relationship</w:t>
            </w:r>
            <w:r w:rsidRPr="008B315B">
              <w:rPr>
                <w:rFonts w:eastAsia="Times New Roman"/>
                <w:sz w:val="18"/>
                <w:szCs w:val="18"/>
                <w:lang w:val="en-US" w:eastAsia="en-GB"/>
              </w:rPr>
              <w:fldChar w:fldCharType="begin"/>
            </w:r>
            <w:r w:rsidRPr="008B315B">
              <w:rPr>
                <w:rFonts w:eastAsia="Times New Roman"/>
                <w:sz w:val="18"/>
                <w:szCs w:val="18"/>
                <w:lang w:val="en-US" w:eastAsia="en-GB"/>
              </w:rPr>
              <w:instrText xml:space="preserve"> ADDIN ZOTERO_ITEM CSL_CITATION {"citationID":"eTe8wEIA","properties":{"formattedCitation":"[61,67]","plainCitation":"[61,67]","noteIndex":0},"citationItems":[{"id":785,"uris":["http://zotero.org/users/11893546/items/QJC847DD"],"itemData":{"id":785,"type":"article-journal","abstract":"OBJECTIVES: Gastro-oesophageal reflux symptoms are common in the community, but there has been no definitive systematic review and meta-analysis of data from all studies to estimate their global prevalence, or potential risk factors for them.\nDESIGN: Medline, Embase and Embase Classic were searched (until September 2016) to identify population-based studies that reported the prevalence of gastro-oesophageal reflux symptoms in adults (</w:instrText>
            </w:r>
            <w:r w:rsidRPr="008B315B">
              <w:rPr>
                <w:rFonts w:eastAsia="Times New Roman" w:hint="eastAsia"/>
                <w:sz w:val="18"/>
                <w:szCs w:val="18"/>
                <w:lang w:val="en-US" w:eastAsia="en-GB"/>
              </w:rPr>
              <w:instrText>≥</w:instrText>
            </w:r>
            <w:r w:rsidRPr="008B315B">
              <w:rPr>
                <w:rFonts w:eastAsia="Times New Roman"/>
                <w:sz w:val="18"/>
                <w:szCs w:val="18"/>
                <w:lang w:val="en-US" w:eastAsia="en-GB"/>
              </w:rPr>
              <w:instrText xml:space="preserve">15 years); gastro-oesophageal reflux was defined using symptom-based criteria or questionnaires. The prevalence was extracted for all studies, and according to the criteria used to define it. Pooled prevalence, according to study location and certain other characteristics, OR and 95% CIs were calculated.\nRESULTS: Of the 14 132 citations evaluated, 102 reported the prevalence of gastro-oesophageal reflux symptoms in 108 separate study populations, containing 460 984 subjects. Prevalence varied according to country (from 2.5% in China to 51.2% in Greece) and criteria used to define gastro-oesophageal reflux symptoms. When only studies using a weekly frequency of heart burn or regurgitation to define presence were considered, pooled prevalence was 13.3% (95% CI 12.0% to 14.6%). Prevalence was higher in subjects </w:instrText>
            </w:r>
            <w:r w:rsidRPr="008B315B">
              <w:rPr>
                <w:rFonts w:eastAsia="Times New Roman" w:hint="eastAsia"/>
                <w:sz w:val="18"/>
                <w:szCs w:val="18"/>
                <w:lang w:val="en-US" w:eastAsia="en-GB"/>
              </w:rPr>
              <w:instrText>≥</w:instrText>
            </w:r>
            <w:r w:rsidRPr="008B315B">
              <w:rPr>
                <w:rFonts w:eastAsia="Times New Roman"/>
                <w:sz w:val="18"/>
                <w:szCs w:val="18"/>
                <w:lang w:val="en-US" w:eastAsia="en-GB"/>
              </w:rPr>
              <w:instrText xml:space="preserve">50 years (OR 1.32; 95% CI 1.12 to 1.54), smokers (OR 1.26; 95% CI 1.04 to 1.52), non-steroidal anti-inflammatory drug (NSAID)/aspirin users (OR 1.44; 95% CI 1.10 to 1.88) and obese individuals (OR 1.73; 95% CI 1.46 to 2.06).\nCONCLUSIONS: The prevalence of gastro-oesophageal reflux symptoms varied strikingly among countries, even when similar definitions were used to define their presence. Prevalence was significantly higher in subjects </w:instrText>
            </w:r>
            <w:r w:rsidRPr="008B315B">
              <w:rPr>
                <w:rFonts w:eastAsia="Times New Roman" w:hint="eastAsia"/>
                <w:sz w:val="18"/>
                <w:szCs w:val="18"/>
                <w:lang w:val="en-US" w:eastAsia="en-GB"/>
              </w:rPr>
              <w:instrText>≥</w:instrText>
            </w:r>
            <w:r w:rsidRPr="008B315B">
              <w:rPr>
                <w:rFonts w:eastAsia="Times New Roman"/>
                <w:sz w:val="18"/>
                <w:szCs w:val="18"/>
                <w:lang w:val="en-US" w:eastAsia="en-GB"/>
              </w:rPr>
              <w:instrText xml:space="preserve">50 years, smokers, NSAID users and obese individuals, although these associations were modest.","container-title":"Gut","DOI":"10.1136/gutjnl-2016-313589","ISSN":"1468-3288","issue":"3","journalAbbreviation":"Gut","language":"eng","note":"PMID: 28232473","page":"430-440","source":"PubMed","title":"Global prevalence of, and risk factors for, gastro-oesophageal reflux symptoms: a meta-analysis","title-short":"Global prevalence of, and risk factors for, gastro-oesophageal reflux symptoms","volume":"67","author":[{"family":"Eusebi","given":"Leonardo H."},{"family":"Ratnakumaran","given":"Raguprakash"},{"family":"Yuan","given":"Yuhong"},{"family":"Solaymani-Dodaran","given":"Masoud"},{"family":"Bazzoli","given":"Franco"},{"family":"Ford","given":"Alexander C."}],"issued":{"date-parts":[["2018",3]]}}},{"id":799,"uris":["http://zotero.org/users/11893546/items/V7N7A2GW"],"itemData":{"id":799,"type":"article-journal","container-title":"Annals of Internal Medicine","DOI":"10.7326/0003-4819-143-3-200508020-00006","ISSN":"0003-4819","issue":"3","journalAbbreviation":"Ann Intern Med","note":"publisher: American College of Physicians","page":"199-211","source":"acpjournals.org (Atypon)","title":"Meta-Analysis: Obesity and the Risk for Gastroesophageal Reflux Disease and Its Complications","title-short":"Meta-Analysis","volume":"143","author":[{"family":"Hampel","given":"Howard"},{"family":"Abraham","given":"Neena S."},{"family":"El-Serag","given":"Hashem B."}],"issued":{"date-parts":[["2005",8,2]]}}}],"schema":"https://github.com/citation-style-language/schema/raw/master/csl-citation.json"} </w:instrText>
            </w:r>
            <w:r w:rsidRPr="008B315B">
              <w:rPr>
                <w:rFonts w:eastAsia="Times New Roman"/>
                <w:sz w:val="18"/>
                <w:szCs w:val="18"/>
                <w:lang w:val="en-US" w:eastAsia="en-GB"/>
              </w:rPr>
              <w:fldChar w:fldCharType="separate"/>
            </w:r>
            <w:r w:rsidRPr="008B315B">
              <w:rPr>
                <w:rFonts w:eastAsia="Times New Roman"/>
                <w:sz w:val="18"/>
                <w:szCs w:val="18"/>
                <w:lang w:val="en-US" w:eastAsia="en-GB"/>
              </w:rPr>
              <w:t>[61,67]</w:t>
            </w:r>
            <w:r w:rsidRPr="008B315B">
              <w:rPr>
                <w:rFonts w:eastAsia="Times New Roman"/>
                <w:sz w:val="18"/>
                <w:szCs w:val="18"/>
                <w:lang w:val="en-GB" w:eastAsia="en-GB"/>
              </w:rPr>
              <w:fldChar w:fldCharType="end"/>
            </w:r>
            <w:r w:rsidRPr="008B315B">
              <w:rPr>
                <w:rFonts w:eastAsia="Times New Roman" w:hint="eastAsia"/>
                <w:sz w:val="18"/>
                <w:szCs w:val="18"/>
                <w:lang w:val="en-US" w:eastAsia="en-GB"/>
              </w:rPr>
              <w:t>.</w:t>
            </w:r>
            <w:r w:rsidRPr="008B315B">
              <w:rPr>
                <w:rFonts w:eastAsia="Times New Roman"/>
                <w:sz w:val="18"/>
                <w:szCs w:val="18"/>
                <w:lang w:val="en-US" w:eastAsia="en-GB"/>
              </w:rPr>
              <w:t xml:space="preserve"> In our investigation of the impact of NSAIDs on the risk of GERD in the context of OA using a two-step MR approach, we observed statistically significant p-values. However, the wide CIs associated with these findings hinted at substantial variability in the effects of NSAIDs. This complexity underscores the intricate relationship between NSAIDs and GERD risk within the OA context. As a result, we must approach the interpretation of NSAIDs' potential role as modifiers with caution.</w:t>
            </w:r>
          </w:p>
          <w:p w14:paraId="6B7574FE" w14:textId="77777777" w:rsidR="008B315B" w:rsidRPr="008B315B" w:rsidRDefault="008B315B" w:rsidP="008B315B">
            <w:pPr>
              <w:spacing w:beforeLines="40" w:before="96" w:afterLines="40" w:after="96" w:line="24" w:lineRule="atLeast"/>
              <w:rPr>
                <w:rFonts w:eastAsia="Times New Roman"/>
                <w:sz w:val="18"/>
                <w:szCs w:val="18"/>
                <w:lang w:val="en-US" w:eastAsia="en-GB"/>
              </w:rPr>
            </w:pPr>
            <w:r w:rsidRPr="008B315B">
              <w:rPr>
                <w:rFonts w:eastAsia="Times New Roman"/>
                <w:sz w:val="18"/>
                <w:szCs w:val="18"/>
                <w:lang w:val="en-US" w:eastAsia="en-GB"/>
              </w:rPr>
              <w:t xml:space="preserve">Our study investigates the intricate association between asthma and GERD, identifying them as potential mutual risk factors. GERD may influence asthma through mechanisms such as reflux in the </w:t>
            </w:r>
            <w:r w:rsidRPr="008B315B">
              <w:rPr>
                <w:rFonts w:eastAsia="Times New Roman"/>
                <w:sz w:val="18"/>
                <w:szCs w:val="18"/>
                <w:lang w:val="en-US" w:eastAsia="en-GB"/>
              </w:rPr>
              <w:lastRenderedPageBreak/>
              <w:t xml:space="preserve">lower esophagus causing vagally mediated reflexes, and proximal gastroesophageal reflux potentially triggering pulmonary symptoms </w:t>
            </w:r>
            <w:r w:rsidRPr="008B315B">
              <w:rPr>
                <w:rFonts w:eastAsia="Times New Roman"/>
                <w:sz w:val="18"/>
                <w:szCs w:val="18"/>
                <w:lang w:val="en-US" w:eastAsia="en-GB"/>
              </w:rPr>
              <w:fldChar w:fldCharType="begin"/>
            </w:r>
            <w:r w:rsidRPr="008B315B">
              <w:rPr>
                <w:rFonts w:eastAsia="Times New Roman"/>
                <w:sz w:val="18"/>
                <w:szCs w:val="18"/>
                <w:lang w:val="en-US" w:eastAsia="en-GB"/>
              </w:rPr>
              <w:instrText xml:space="preserve"> ADDIN ZOTERO_ITEM CSL_CITATION {"citationID":"zLeGwHaa","properties":{"formattedCitation":"[27,31]","plainCitation":"[27,31]","noteIndex":0},"citationItems":[{"id":910,"uris":["http://zotero.org/users/11893546/items/AR4E9ZQK"],"itemData":{"id":910,"type":"article-journal","abstract":"BACKGROUND: A relation between gastroesophageal reflux disease (GERD) and asthma has been suggested; however, causality has not been investigated.\nOBJECTIVE: This study aimed to delineate the causal relation between GERD an</w:instrText>
            </w:r>
            <w:r w:rsidRPr="008B315B">
              <w:rPr>
                <w:rFonts w:eastAsia="Times New Roman" w:hint="eastAsia"/>
                <w:sz w:val="18"/>
                <w:szCs w:val="18"/>
                <w:lang w:val="en-US" w:eastAsia="en-GB"/>
              </w:rPr>
              <w:instrText xml:space="preserve">d asthma.\nMETHODS: Participants of the Korean National Health Insurance Service-National Sample Cohort 2002-2013 who were ≥20 years old were selected for this study. In study I, 116,502 patients with GERD were matched in a 1:2 ratio to 233,004 control I </w:instrText>
            </w:r>
            <w:r w:rsidRPr="008B315B">
              <w:rPr>
                <w:rFonts w:eastAsia="Times New Roman"/>
                <w:sz w:val="18"/>
                <w:szCs w:val="18"/>
                <w:lang w:val="en-US" w:eastAsia="en-GB"/>
              </w:rPr>
              <w:instrText xml:space="preserve">participants, and the hazard ratio (HR) of asthma in patients with GERD was analyzed. In study II, 104,146 patients with asthma were matched in a 1:1 ratio to 104,146 control II participants, and the HR for GERD in patients with asthma was analyzed. A stratified Cox-proportional hazards model was used. Subgroup analyses were performed according to age and sex.\nRESULTS: In study I, 12.5% (14,595 of 116,502) of the GERD group and 7.8% (18,135 of 233,004) of the control I group presented asthma (P &lt; .001). The GERD group demonstrated a 1.46-fold higher HR for asthma than the control I group (95% confidence interval [CI] = 1.42-1.49, P &lt; .001). In study II, 16.9% (17,582 of 104,146) of the asthma group and 11.9% (12,393 of 104,146) of the control II group presented GERD (P &lt; .001). The asthma group showed a 1.36-fold higher HR for GERD than the control II group (95% CI = 1.33-1.39, P &lt; .001). All age and sex subgroups presented consistent results.\nCONCLUSION: GERD and asthma had a bidirectional relation in the study population.","container-title":"The Journal of Allergy and Clinical Immunology. In Practice","DOI":"10.1016/j.jaip.2019.10.043","ISSN":"2213-2201","issue":"3","journalAbbreviation":"J Allergy Clin Immunol Pract","language":"eng","note":"PMID: 31733335","page":"1005-1013.e9","source":"PubMed","title":"Bidirectional Association Between GERD and Asthma: Two Longitudinal Follow-Up Studies Using a National Sample Cohort","title-short":"Bidirectional Association Between GERD and Asthma","volume":"8","author":[{"family":"Kim","given":"So Young"},{"family":"Min","given":"Chanyang"},{"family":"Oh","given":"Dong Jun"},{"family":"Choi","given":"Hyo Geun"}],"issued":{"date-parts":[["2020",3]]}},"label":"page"},{"id":917,"uris":["http://zotero.org/users/11893546/items/8V4Y59J8"],"itemData":{"id":917,"type":"article-journal","abstract":"Gastroesophageal reflux disease (GERD) occurs in up to one-third of the adult US population. Most affected individuals are either unaware of their condition or do not seek medical help, relying on nonprescription acid suppressants and antacids for relief. GERD, a common disorder of infancy, old age, and pregnancy, is particularly prevalent in patients with asthma. A causal relationship between the two diseases has been postulated by many investigators. The physiologic changes of asthma exacerbations and the actions of some of the medications used to treat asthma both aggravate GERD. The adverse effect of GERD on asthma and the pathophysiology of this relationship are still under debate. Some studies showed no objective improvement by spirometry of asthmatics treated for GERD, but recognized improvement in asthma symptoms and decreased use of asthma medication. Other studies, supporting GERD induction of asthma, have been performed to test two hypotheses: that asthma is exacerbated by endotracheal aspiration of gastric contents or by a reflex response to stimulation of esophageal receptors. Clinical experience has shown that early diagnosis and treatment of GERD often leads to better control of asthma.","container-title":"Allergy","DOI":"10.1111/j.1398-9995.1999.00093.x","ISSN":"0105-4538","issue":"7","journalAbbreviation":"Allergy","language":"eng","note":"PMID: 10442520","page":"651-661","source":"PubMed","title":"Gastroesophageal reflux and asthma: a review of pathogenesis, diagnosis, and therapy","title-short":"Gastroesophageal reflux and asthma","volume":"54","author":[{"family":"Theodoropoulos","given":"D. S."},{"family":"Lockey","given":"R. F."},{"family":"Boyce","given":"H. W."},{"family":"Bukantz","given":"S. C."}],"issued":{"date-parts":[["1999",7]]}}}],"schema":"https://github.com/citation-style-language/schema/raw/master/csl-citation.json"} </w:instrText>
            </w:r>
            <w:r w:rsidRPr="008B315B">
              <w:rPr>
                <w:rFonts w:eastAsia="Times New Roman"/>
                <w:sz w:val="18"/>
                <w:szCs w:val="18"/>
                <w:lang w:val="en-US" w:eastAsia="en-GB"/>
              </w:rPr>
              <w:fldChar w:fldCharType="separate"/>
            </w:r>
            <w:r w:rsidRPr="008B315B">
              <w:rPr>
                <w:rFonts w:eastAsia="Times New Roman"/>
                <w:sz w:val="18"/>
                <w:szCs w:val="18"/>
                <w:lang w:val="en-US" w:eastAsia="en-GB"/>
              </w:rPr>
              <w:t>[27,31]</w:t>
            </w:r>
            <w:r w:rsidRPr="008B315B">
              <w:rPr>
                <w:rFonts w:eastAsia="Times New Roman"/>
                <w:sz w:val="18"/>
                <w:szCs w:val="18"/>
                <w:lang w:val="en-GB" w:eastAsia="en-GB"/>
              </w:rPr>
              <w:fldChar w:fldCharType="end"/>
            </w:r>
            <w:r w:rsidRPr="008B315B">
              <w:rPr>
                <w:rFonts w:eastAsia="Times New Roman"/>
                <w:sz w:val="18"/>
                <w:szCs w:val="18"/>
                <w:lang w:val="en-US" w:eastAsia="en-GB"/>
              </w:rPr>
              <w:t xml:space="preserve">. The influence of GERD on asthma could be attributed to factors including impaired acid clearance, esophagitis, heightened vagal activity, autonomic imbalance, and neurogenic inflammation  </w:t>
            </w:r>
            <w:r w:rsidRPr="008B315B">
              <w:rPr>
                <w:rFonts w:eastAsia="Times New Roman"/>
                <w:sz w:val="18"/>
                <w:szCs w:val="18"/>
                <w:lang w:val="en-US" w:eastAsia="en-GB"/>
              </w:rPr>
              <w:fldChar w:fldCharType="begin"/>
            </w:r>
            <w:r w:rsidRPr="008B315B">
              <w:rPr>
                <w:rFonts w:eastAsia="Times New Roman"/>
                <w:sz w:val="18"/>
                <w:szCs w:val="18"/>
                <w:lang w:val="en-US" w:eastAsia="en-GB"/>
              </w:rPr>
              <w:instrText xml:space="preserve"> ADDIN ZOTERO_ITEM CSL_CITATION {"citationID":"1iBdakNK","properties":{"formattedCitation":"[27]","plainCitation":"[27]","noteIndex":0},"citationItems":[{"id":917,"uris":["http://zotero.org/users/11893546/items/8V4Y59J8"],"itemData":{"id":917,"type":"article-journal","abstract":"Gastroesophageal reflux disease (GERD) occurs in up to one-third of the adult US population. Most affected individuals are either unaware of their condition or do not seek medical help, relying on nonprescription acid suppressants and antacids for relief. GERD, a common disorder of infancy, old age, and pregnancy, is particularly prevalent in patients with asthma. A causal relationship between the two diseases has been postulated by many investigators. The physiologic changes of asthma exacerbations and the actions of some of the medications used to treat asthma both aggravate GERD. The adverse effect of GERD on asthma and the pathophysiology of this relationship are still under debate. Some studies showed no objective improvement by spirometry of asthmatics treated for GERD, but recognized improvement in asthma symptoms and decreased use of asthma medication. Other studies, supporting GERD induction of asthma, have been performed to test two hypotheses: that asthma is exacerbated by endotracheal aspiration of gastric contents or by a reflex response to stimulation of esophageal receptors. Clinical experience has shown that early diagnosis and treatment of GERD often leads to better control of asthma.","container-title":"Allergy","DOI":"10.1111/j.1398-9995.1999.00093.x","ISSN":"0105-4538","issue":"7","journalAbbreviation":"Allergy","language":"eng","note":"PMID: 10442520","page":"651-661","source":"PubMed","title":"Gastroesophageal reflux and asthma: a review of pathogenesis, diagnosis, and therapy","title-short":"Gastroesophageal reflux and asthma","volume":"54","author":[{"family":"Theodoropoulos","given":"D. S."},{"family":"Lockey","given":"R. F."},{"family":"Boyce","given":"H. W."},{"family":"Bukantz","given":"S. C."}],"issued":{"date-parts":[["1999",7]]}}}],"schema":"https://github.com/citation-style-language/schema/raw/master/csl-citation.json"} </w:instrText>
            </w:r>
            <w:r w:rsidRPr="008B315B">
              <w:rPr>
                <w:rFonts w:eastAsia="Times New Roman"/>
                <w:sz w:val="18"/>
                <w:szCs w:val="18"/>
                <w:lang w:val="en-US" w:eastAsia="en-GB"/>
              </w:rPr>
              <w:fldChar w:fldCharType="separate"/>
            </w:r>
            <w:r w:rsidRPr="008B315B">
              <w:rPr>
                <w:rFonts w:eastAsia="Times New Roman"/>
                <w:sz w:val="18"/>
                <w:szCs w:val="18"/>
                <w:lang w:val="en-US" w:eastAsia="en-GB"/>
              </w:rPr>
              <w:t>[27]</w:t>
            </w:r>
            <w:r w:rsidRPr="008B315B">
              <w:rPr>
                <w:rFonts w:eastAsia="Times New Roman"/>
                <w:sz w:val="18"/>
                <w:szCs w:val="18"/>
                <w:lang w:val="en-GB" w:eastAsia="en-GB"/>
              </w:rPr>
              <w:fldChar w:fldCharType="end"/>
            </w:r>
            <w:r w:rsidRPr="008B315B">
              <w:rPr>
                <w:rFonts w:eastAsia="Times New Roman"/>
                <w:sz w:val="18"/>
                <w:szCs w:val="18"/>
                <w:lang w:val="en-US" w:eastAsia="en-GB"/>
              </w:rPr>
              <w:t xml:space="preserve">. The reflux of stomach contents may contribute to damage and inflammation of the airways, potentially exacerbating asthma symptoms </w:t>
            </w:r>
            <w:r w:rsidRPr="008B315B">
              <w:rPr>
                <w:rFonts w:eastAsia="Times New Roman"/>
                <w:sz w:val="18"/>
                <w:szCs w:val="18"/>
                <w:lang w:val="en-US" w:eastAsia="en-GB"/>
              </w:rPr>
              <w:fldChar w:fldCharType="begin"/>
            </w:r>
            <w:r w:rsidRPr="008B315B">
              <w:rPr>
                <w:rFonts w:eastAsia="Times New Roman"/>
                <w:sz w:val="18"/>
                <w:szCs w:val="18"/>
                <w:lang w:val="en-US" w:eastAsia="en-GB"/>
              </w:rPr>
              <w:instrText xml:space="preserve"> ADDIN ZOTERO_ITEM CSL_CITATION {"citationID":"BJ8BeAeJ","properties":{"formattedCitation":"[32]","plainCitation":"[32]","noteIndex":0},"citationItems":[{"id":912,"uris":["http://zotero.org/users/11893546/items/53QD7U9J"],"itemData":{"id":912,"type":"article-journal","abstract":"BACKGROUND: The causal relationship between asthma and gastroesophageal reflux disease (GERD) is unknown in children.\nMETHODS: The Korean Health Insurance Review and Assessment Service-National Sample Cohort 2002-2013 was used. The population age &lt;15 years was selected. In study I, 86,096 asthmatic children were 1:1 matched with 86,096 control I participants. In study II, 532 GERD children were 1:2 matched with 1064 control II participants. The stratified Cox proportional hazard ratios for GERD in patients with asthma (study I) and asthma in patients with GERD (study II) were analyzed.\nRESULTS: In total, 0.7% (583/86,096) of the asthma group and 0.5% (430/86,096) of the control I group had GERD (P &lt; 0.001). The asthma group demonstrated a 1.36 times higher HR for GERD than the control I group (95% CI = 1.20-1.54, P &lt; 0.001). Subgroup analyses according to age and sex showed consistent results. In total, 15.0% (80/532) of the GERD group and 10.0% (106/1,064) of the control II group had asthma (P &lt; 0.001). The GERD group showed a 1.62-fold higher HR for asthma than the control II group (95% CI = 1.21-2.18, P &lt; 0.001).\nCONCLUSION: GERD and asthma demonstrated a bidirectional relationship in children.","container-title":"Pediatric Research","DOI":"10.1038/s41390-020-0749-1","ISSN":"1530-0447","issue":"2","journalAbbreviation":"Pediatr Res","language":"eng","note":"PMID: 31923915","page":"320-324","source":"PubMed","title":"Bidirectional association between GERD and asthma in children: two longitudinal follow-up studies using a national sample cohort","title-short":"Bidirectional association between GERD and asthma in children","volume":"88","author":[{"family":"Kim","given":"So Young"},{"family":"Kim","given":"Hye-Rim"},{"family":"Min","given":"Chanyang"},{"family":"Oh","given":"Dong Jun"},{"family":"Park","given":"Bumjung"},{"family":"Choi","given":"Hyo Geun"}],"issued":{"date-parts":[["2020",8]]}}}],"schema":"https://github.com/citation-style-language/schema/raw/master/csl-citation.json"} </w:instrText>
            </w:r>
            <w:r w:rsidRPr="008B315B">
              <w:rPr>
                <w:rFonts w:eastAsia="Times New Roman"/>
                <w:sz w:val="18"/>
                <w:szCs w:val="18"/>
                <w:lang w:val="en-US" w:eastAsia="en-GB"/>
              </w:rPr>
              <w:fldChar w:fldCharType="separate"/>
            </w:r>
            <w:r w:rsidRPr="008B315B">
              <w:rPr>
                <w:rFonts w:eastAsia="Times New Roman"/>
                <w:sz w:val="18"/>
                <w:szCs w:val="18"/>
                <w:lang w:val="en-US" w:eastAsia="en-GB"/>
              </w:rPr>
              <w:t>[32]</w:t>
            </w:r>
            <w:r w:rsidRPr="008B315B">
              <w:rPr>
                <w:rFonts w:eastAsia="Times New Roman"/>
                <w:sz w:val="18"/>
                <w:szCs w:val="18"/>
                <w:lang w:val="en-GB" w:eastAsia="en-GB"/>
              </w:rPr>
              <w:fldChar w:fldCharType="end"/>
            </w:r>
            <w:r w:rsidRPr="008B315B">
              <w:rPr>
                <w:rFonts w:eastAsia="Times New Roman"/>
                <w:sz w:val="18"/>
                <w:szCs w:val="18"/>
                <w:lang w:val="en-US" w:eastAsia="en-GB"/>
              </w:rPr>
              <w:t xml:space="preserve">. Conversely, the aggravation of GERD in the context of asthma might involve a range of physiological and pathological mechanisms. For instance, the neural connection between the esophagus and airways, particularly through reflexive activity of the </w:t>
            </w:r>
            <w:proofErr w:type="spellStart"/>
            <w:r w:rsidRPr="008B315B">
              <w:rPr>
                <w:rFonts w:eastAsia="Times New Roman"/>
                <w:sz w:val="18"/>
                <w:szCs w:val="18"/>
                <w:lang w:val="en-US" w:eastAsia="en-GB"/>
              </w:rPr>
              <w:t>vagus</w:t>
            </w:r>
            <w:proofErr w:type="spellEnd"/>
            <w:r w:rsidRPr="008B315B">
              <w:rPr>
                <w:rFonts w:eastAsia="Times New Roman"/>
                <w:sz w:val="18"/>
                <w:szCs w:val="18"/>
                <w:lang w:val="en-US" w:eastAsia="en-GB"/>
              </w:rPr>
              <w:t xml:space="preserve"> nerve, may link respiratory irritations induced by asthma with esophageal dysfunctions </w:t>
            </w:r>
            <w:r w:rsidRPr="008B315B">
              <w:rPr>
                <w:rFonts w:eastAsia="Times New Roman"/>
                <w:sz w:val="18"/>
                <w:szCs w:val="18"/>
                <w:lang w:val="en-US" w:eastAsia="en-GB"/>
              </w:rPr>
              <w:fldChar w:fldCharType="begin"/>
            </w:r>
            <w:r w:rsidRPr="008B315B">
              <w:rPr>
                <w:rFonts w:eastAsia="Times New Roman"/>
                <w:sz w:val="18"/>
                <w:szCs w:val="18"/>
                <w:lang w:val="en-US" w:eastAsia="en-GB"/>
              </w:rPr>
              <w:instrText xml:space="preserve"> ADDIN ZOTERO_ITEM CSL_CITATION {"citationID":"6w0nNXhp","properties":{"formattedCitation":"[32]","plainCitation":"[32]","noteIndex":0},"citationItems":[{"id":912,"uris":["http://zotero.org/users/11893546/items/53QD7U9J"],"itemData":{"id":912,"type":"article-journal","abstract":"BACKGROUND: The causal relationship between asthma and gastroesophageal reflux disease (GERD) is unknown in children.\nMETHODS: The Korean Health Insurance Review and Assessment Service-National Sample Cohort 2002-2013 was used. The population age &lt;15 years was selected. In study I, 86,096 asthmatic children were 1:1 matched with 86,096 control I participants. In study II, 532 GERD children were 1:2 matched with 1064 control II participants. The stratified Cox proportional hazard ratios for GERD in patients with asthma (study I) and asthma in patients with GERD (study II) were analyzed.\nRESULTS: In total, 0.7% (583/86,096) of the asthma group and 0.5% (430/86,096) of the control I group had GERD (P &lt; 0.001). The asthma group demonstrated a 1.36 times higher HR for GERD than the control I group (95% CI = 1.20-1.54, P &lt; 0.001). Subgroup analyses according to age and sex showed consistent results. In total, 15.0% (80/532) of the GERD group and 10.0% (106/1,064) of the control II group had asthma (P &lt; 0.001). The GERD group showed a 1.62-fold higher HR for asthma than the control II group (95% CI = 1.21-2.18, P &lt; 0.001).\nCONCLUSION: GERD and asthma demonstrated a bidirectional relationship in children.","container-title":"Pediatric Research","DOI":"10.1038/s41390-020-0749-1","ISSN":"1530-0447","issue":"2","journalAbbreviation":"Pediatr Res","language":"eng","note":"PMID: 31923915","page":"320-324","source":"PubMed","title":"Bidirectional association between GERD and asthma in children: two longitudinal follow-up studies using a national sample cohort","title-short":"Bidirectional association between GERD and asthma in children","volume":"88","author":[{"family":"Kim","given":"So Young"},{"family":"Kim","given":"Hye-Rim"},{"family":"Min","given":"Chanyang"},{"family":"Oh","given":"Dong Jun"},{"family":"Park","given":"Bumjung"},{"family":"Choi","given":"Hyo Geun"}],"issued":{"date-parts":[["2020",8]]}}}],"schema":"https://github.com/citation-style-language/schema/raw/master/csl-citation.json"} </w:instrText>
            </w:r>
            <w:r w:rsidRPr="008B315B">
              <w:rPr>
                <w:rFonts w:eastAsia="Times New Roman"/>
                <w:sz w:val="18"/>
                <w:szCs w:val="18"/>
                <w:lang w:val="en-US" w:eastAsia="en-GB"/>
              </w:rPr>
              <w:fldChar w:fldCharType="separate"/>
            </w:r>
            <w:r w:rsidRPr="008B315B">
              <w:rPr>
                <w:rFonts w:eastAsia="Times New Roman"/>
                <w:sz w:val="18"/>
                <w:szCs w:val="18"/>
                <w:lang w:val="en-US" w:eastAsia="en-GB"/>
              </w:rPr>
              <w:t>[32]</w:t>
            </w:r>
            <w:r w:rsidRPr="008B315B">
              <w:rPr>
                <w:rFonts w:eastAsia="Times New Roman"/>
                <w:sz w:val="18"/>
                <w:szCs w:val="18"/>
                <w:lang w:val="en-GB" w:eastAsia="en-GB"/>
              </w:rPr>
              <w:fldChar w:fldCharType="end"/>
            </w:r>
            <w:r w:rsidRPr="008B315B">
              <w:rPr>
                <w:rFonts w:eastAsia="Times New Roman"/>
                <w:sz w:val="18"/>
                <w:szCs w:val="18"/>
                <w:lang w:val="en-US" w:eastAsia="en-GB"/>
              </w:rPr>
              <w:t>. Excessive ventilation and lung expansion during an asthma episode could provoke or exacerbate functional impairments of the LES, leading to acid reflux</w:t>
            </w:r>
            <w:r w:rsidRPr="008B315B">
              <w:rPr>
                <w:rFonts w:eastAsia="Times New Roman"/>
                <w:sz w:val="18"/>
                <w:szCs w:val="18"/>
                <w:lang w:val="en-US" w:eastAsia="en-GB"/>
              </w:rPr>
              <w:fldChar w:fldCharType="begin"/>
            </w:r>
            <w:r w:rsidRPr="008B315B">
              <w:rPr>
                <w:rFonts w:eastAsia="Times New Roman"/>
                <w:sz w:val="18"/>
                <w:szCs w:val="18"/>
                <w:lang w:val="en-US" w:eastAsia="en-GB"/>
              </w:rPr>
              <w:instrText xml:space="preserve"> ADDIN ZOTERO_ITEM CSL_CITATION {"citationID":"9dtxdo5D","properties":{"formattedCitation":"[31]","plainCitation":"[31]","noteIndex":0},"citationItems":[{"id":910,"uris":["http://zotero.org/users/11893546/items/AR4E9ZQK"],"itemData":{"id":910,"type":"article-journal","abstract":"BACKGROUND: A relation between gastroesophageal reflux disease (GERD) and asthma has been suggested; however, causality has not been investigated.\nOBJECTIVE: This study aimed to delineate the causal relation between GERD and asth</w:instrText>
            </w:r>
            <w:r w:rsidRPr="008B315B">
              <w:rPr>
                <w:rFonts w:eastAsia="Times New Roman" w:hint="eastAsia"/>
                <w:sz w:val="18"/>
                <w:szCs w:val="18"/>
                <w:lang w:val="en-US" w:eastAsia="en-GB"/>
              </w:rPr>
              <w:instrText>ma.\nMETHODS: Participants of the Korean National Health Insurance Service-National Sample Cohort 2002-2013 who were ≥20 years old were selected for this study. In study I, 116,502 patients with GERD were matched in a 1:2 ratio to 233,004 control I partic</w:instrText>
            </w:r>
            <w:r w:rsidRPr="008B315B">
              <w:rPr>
                <w:rFonts w:eastAsia="Times New Roman"/>
                <w:sz w:val="18"/>
                <w:szCs w:val="18"/>
                <w:lang w:val="en-US" w:eastAsia="en-GB"/>
              </w:rPr>
              <w:instrText xml:space="preserve">ipants, and the hazard ratio (HR) of asthma in patients with GERD was analyzed. In study II, 104,146 patients with asthma were matched in a 1:1 ratio to 104,146 control II participants, and the HR for GERD in patients with asthma was analyzed. A stratified Cox-proportional hazards model was used. Subgroup analyses were performed according to age and sex.\nRESULTS: In study I, 12.5% (14,595 of 116,502) of the GERD group and 7.8% (18,135 of 233,004) of the control I group presented asthma (P &lt; .001). The GERD group demonstrated a 1.46-fold higher HR for asthma than the control I group (95% confidence interval [CI] = 1.42-1.49, P &lt; .001). In study II, 16.9% (17,582 of 104,146) of the asthma group and 11.9% (12,393 of 104,146) of the control II group presented GERD (P &lt; .001). The asthma group showed a 1.36-fold higher HR for GERD than the control II group (95% CI = 1.33-1.39, P &lt; .001). All age and sex subgroups presented consistent results.\nCONCLUSION: GERD and asthma had a bidirectional relation in the study population.","container-title":"The Journal of Allergy and Clinical Immunology. In Practice","DOI":"10.1016/j.jaip.2019.10.043","ISSN":"2213-2201","issue":"3","journalAbbreviation":"J Allergy Clin Immunol Pract","language":"eng","note":"PMID: 31733335","page":"1005-1013.e9","source":"PubMed","title":"Bidirectional Association Between GERD and Asthma: Two Longitudinal Follow-Up Studies Using a National Sample Cohort","title-short":"Bidirectional Association Between GERD and Asthma","volume":"8","author":[{"family":"Kim","given":"So Young"},{"family":"Min","given":"Chanyang"},{"family":"Oh","given":"Dong Jun"},{"family":"Choi","given":"Hyo Geun"}],"issued":{"date-parts":[["2020",3]]}}}],"schema":"https://github.com/citation-style-language/schema/raw/master/csl-citation.json"} </w:instrText>
            </w:r>
            <w:r w:rsidRPr="008B315B">
              <w:rPr>
                <w:rFonts w:eastAsia="Times New Roman"/>
                <w:sz w:val="18"/>
                <w:szCs w:val="18"/>
                <w:lang w:val="en-US" w:eastAsia="en-GB"/>
              </w:rPr>
              <w:fldChar w:fldCharType="separate"/>
            </w:r>
            <w:r w:rsidRPr="008B315B">
              <w:rPr>
                <w:rFonts w:eastAsia="Times New Roman"/>
                <w:sz w:val="18"/>
                <w:szCs w:val="18"/>
                <w:lang w:val="en-US" w:eastAsia="en-GB"/>
              </w:rPr>
              <w:t>[31]</w:t>
            </w:r>
            <w:r w:rsidRPr="008B315B">
              <w:rPr>
                <w:rFonts w:eastAsia="Times New Roman"/>
                <w:sz w:val="18"/>
                <w:szCs w:val="18"/>
                <w:lang w:val="en-GB" w:eastAsia="en-GB"/>
              </w:rPr>
              <w:fldChar w:fldCharType="end"/>
            </w:r>
            <w:r w:rsidRPr="008B315B">
              <w:rPr>
                <w:rFonts w:eastAsia="Times New Roman"/>
                <w:sz w:val="18"/>
                <w:szCs w:val="18"/>
                <w:lang w:val="en-US" w:eastAsia="en-GB"/>
              </w:rPr>
              <w:t>. Additionally, medications commonly used to manage asthma, such as corticosteroids and β-agonists, may affect LES tone, potentially heightening the risk of GERD</w:t>
            </w:r>
            <w:r w:rsidRPr="008B315B">
              <w:rPr>
                <w:rFonts w:eastAsia="Times New Roman"/>
                <w:sz w:val="18"/>
                <w:szCs w:val="18"/>
                <w:lang w:val="en-US" w:eastAsia="en-GB"/>
              </w:rPr>
              <w:fldChar w:fldCharType="begin"/>
            </w:r>
            <w:r w:rsidRPr="008B315B">
              <w:rPr>
                <w:rFonts w:eastAsia="Times New Roman"/>
                <w:sz w:val="18"/>
                <w:szCs w:val="18"/>
                <w:lang w:val="en-US" w:eastAsia="en-GB"/>
              </w:rPr>
              <w:instrText xml:space="preserve"> ADDIN ZOTERO_ITEM CSL_CITATION {"citationID":"sZUjNzVR","properties":{"formattedCitation":"[31]","plainCitation":"[31]","noteIndex":0},"citationItems":[{"id":910,"uris":["http://zotero.org/users/11893546/items/AR4E9ZQK"],"itemData":{"id":910,"type":"article-journal","abstract":"BACKGROUND: A relation between gastroesophageal reflux disease (GERD) and asthma has been suggested; however, causality has not been investigated.\nOBJECTIVE: This study aimed to delineate the causal relation between GERD and asth</w:instrText>
            </w:r>
            <w:r w:rsidRPr="008B315B">
              <w:rPr>
                <w:rFonts w:eastAsia="Times New Roman" w:hint="eastAsia"/>
                <w:sz w:val="18"/>
                <w:szCs w:val="18"/>
                <w:lang w:val="en-US" w:eastAsia="en-GB"/>
              </w:rPr>
              <w:instrText>ma.\nMETHODS: Participants of the Korean National Health Insurance Service-National Sample Cohort 2002-2013 who were ≥20 years old were selected for this study. In study I, 116,502 patients with GERD were matched in a 1:2 ratio to 233,004 control I partic</w:instrText>
            </w:r>
            <w:r w:rsidRPr="008B315B">
              <w:rPr>
                <w:rFonts w:eastAsia="Times New Roman"/>
                <w:sz w:val="18"/>
                <w:szCs w:val="18"/>
                <w:lang w:val="en-US" w:eastAsia="en-GB"/>
              </w:rPr>
              <w:instrText xml:space="preserve">ipants, and the hazard ratio (HR) of asthma in patients with GERD was analyzed. In study II, 104,146 patients with asthma were matched in a 1:1 ratio to 104,146 control II participants, and the HR for GERD in patients with asthma was analyzed. A stratified Cox-proportional hazards model was used. Subgroup analyses were performed according to age and sex.\nRESULTS: In study I, 12.5% (14,595 of 116,502) of the GERD group and 7.8% (18,135 of 233,004) of the control I group presented asthma (P &lt; .001). The GERD group demonstrated a 1.46-fold higher HR for asthma than the control I group (95% confidence interval [CI] = 1.42-1.49, P &lt; .001). In study II, 16.9% (17,582 of 104,146) of the asthma group and 11.9% (12,393 of 104,146) of the control II group presented GERD (P &lt; .001). The asthma group showed a 1.36-fold higher HR for GERD than the control II group (95% CI = 1.33-1.39, P &lt; .001). All age and sex subgroups presented consistent results.\nCONCLUSION: GERD and asthma had a bidirectional relation in the study population.","container-title":"The Journal of Allergy and Clinical Immunology. In Practice","DOI":"10.1016/j.jaip.2019.10.043","ISSN":"2213-2201","issue":"3","journalAbbreviation":"J Allergy Clin Immunol Pract","language":"eng","note":"PMID: 31733335","page":"1005-1013.e9","source":"PubMed","title":"Bidirectional Association Between GERD and Asthma: Two Longitudinal Follow-Up Studies Using a National Sample Cohort","title-short":"Bidirectional Association Between GERD and Asthma","volume":"8","author":[{"family":"Kim","given":"So Young"},{"family":"Min","given":"Chanyang"},{"family":"Oh","given":"Dong Jun"},{"family":"Choi","given":"Hyo Geun"}],"issued":{"date-parts":[["2020",3]]}}}],"schema":"https://github.com/citation-style-language/schema/raw/master/csl-citation.json"} </w:instrText>
            </w:r>
            <w:r w:rsidRPr="008B315B">
              <w:rPr>
                <w:rFonts w:eastAsia="Times New Roman"/>
                <w:sz w:val="18"/>
                <w:szCs w:val="18"/>
                <w:lang w:val="en-US" w:eastAsia="en-GB"/>
              </w:rPr>
              <w:fldChar w:fldCharType="separate"/>
            </w:r>
            <w:r w:rsidRPr="008B315B">
              <w:rPr>
                <w:rFonts w:eastAsia="Times New Roman"/>
                <w:sz w:val="18"/>
                <w:szCs w:val="18"/>
                <w:lang w:val="en-US" w:eastAsia="en-GB"/>
              </w:rPr>
              <w:t>[31]</w:t>
            </w:r>
            <w:r w:rsidRPr="008B315B">
              <w:rPr>
                <w:rFonts w:eastAsia="Times New Roman"/>
                <w:sz w:val="18"/>
                <w:szCs w:val="18"/>
                <w:lang w:val="en-GB" w:eastAsia="en-GB"/>
              </w:rPr>
              <w:fldChar w:fldCharType="end"/>
            </w:r>
            <w:r w:rsidRPr="008B315B">
              <w:rPr>
                <w:rFonts w:eastAsia="Times New Roman"/>
                <w:sz w:val="18"/>
                <w:szCs w:val="18"/>
                <w:lang w:val="en-US" w:eastAsia="en-GB"/>
              </w:rPr>
              <w:t xml:space="preserve">. Factors like inflammatory mediators or environmental irritants might play a role in the co-occurrence of both conditions. The temporal dynamics between asthma and GERD remain a subject of debate, with evidence suggesting that GERD might influence the progression of asthma, possibly through the therapeutic effects of PPIs. Nevertheless, further comprehensive studies are warranted to elucidate the long-term impacts of PPIs on asthma management </w:t>
            </w:r>
            <w:r w:rsidRPr="008B315B">
              <w:rPr>
                <w:rFonts w:eastAsia="Times New Roman"/>
                <w:sz w:val="18"/>
                <w:szCs w:val="18"/>
                <w:lang w:val="en-US" w:eastAsia="en-GB"/>
              </w:rPr>
              <w:fldChar w:fldCharType="begin"/>
            </w:r>
            <w:r w:rsidRPr="008B315B">
              <w:rPr>
                <w:rFonts w:eastAsia="Times New Roman"/>
                <w:sz w:val="18"/>
                <w:szCs w:val="18"/>
                <w:lang w:val="en-US" w:eastAsia="en-GB"/>
              </w:rPr>
              <w:instrText xml:space="preserve"> ADDIN ZOTERO_ITEM CSL_CITATION {"citationID":"UmjiZYXI","properties":{"formattedCitation":"[21,25,27,68]","plainCitation":"[21,25,27,68]","noteIndex":0},"citationItems":[{"id":914,"uris":["http://zotero.org/users/11893546/items/RU92RFJT"],"itemData":{"id":914,"type":"article-journal","abstract":"BACKGROUND: When gastro-oesophageal reflux is causing symptoms or lesions in the oesophagus, this is referred to as gastro-oesophageal reflux disease (GERD). GERD can manifest itself through typical symptoms (heartburn, regurgitation) or may lead to extra-oesophageal symptoms. Extra-oesophageal manifestations of GERD gained increasing attention over the last decade, especially respiratory disorders, because of the prevalent co-occurrence with GERD. The role of GERD in the pathogenesis of respiratory disorders has become a topic of intense discussion.\nAIM: To provide an overview of the current knowledge on the role of GERD in asthma and chronic obstructive pulmonary disease (COPD).\nMETHODS: PubMed was searched for relevant articles using the keywords: GERD, asthma, COPD, prevalence, treatment. Case reports were excluded, only English language articles were considered.\nRESULTS: Estimates for the prevalence of GERD in asthma range from 30% to 90%, compared to an average of 24% in controls. In COPD patients, the prevalence of GERD ranges from 19% to 78% compared to an average of 18% in controls. These data indicate an increased prevalence of GERD in patients with asthma and COPD, although causality is not established and GERD treatment yielded inconsistent effects. Literature supports GERD as a risk factor for COPD-exacerbations and a predictor of the 'frequent-exacerbator'-phenotype.\nCONCLUSIONS: Despite the high prevalence of GERD in asthma and COPD, a causal link is lacking. The results of anti-reflux therapy on pulmonary outcome are inconsistent and contradictory. Future studies will need to identify subgroups of asthmatics and COPD patients that may benefit from anti-reflux therapy (nocturnal or silent reflux).","container-title":"Alimentary Pharmacology &amp; Therapeutics","DOI":"10.1111/apt.14416","ISSN":"1365-2036","issue":"2","journalAbbreviation":"Aliment Pharmacol Ther","language":"eng","note":"PMID: 29193245","page":"176-191","source":"PubMed","title":"Review article: gastro-oesophageal reflux disease in asthma and chronic obstructive pulmonary disease","title-short":"Review article","volume":"47","author":[{"family":"Broers","given":"C."},{"family":"Tack","given":"J."},{"family":"Pauwels","given":"A."}],"issued":{"date-parts":[["2018",1]]}}},{"id":917,"uris":["http://zotero.org/users/11893546/items/8V4Y59J8"],"itemData":{"id":917,"type":"article-journal","abstract":"Gastroesophageal reflux disease (GERD) occurs in up to one-third of the adult US population. Most affected individuals are either unaware of their condition or do not seek medical help, relying on nonprescription acid suppressants and antacids for relief. GERD, a common disorder of infancy, old age, and pregnancy, is particularly prevalent in patients with asthma. A causal relationship between the two diseases has been postulated by many investigators. The physiologic changes of asthma exacerbations and the actions of some of the medications used to treat asthma both aggravate GERD. The adverse effect of GERD on asthma and the pathophysiology of this relationship are still under debate. Some studies showed no objective improvement by spirometry of asthmatics treated for GERD, but recognized improvement in asthma symptoms and decreased use of asthma medication. Other studies, supporting GERD induction of asthma, have been performed to test two hypotheses: that asthma is exacerbated by endotracheal aspiration of gastric contents or by a reflex response to stimulation of esophageal receptors. Clinical experience has shown that early diagnosis and treatment of GERD often leads to better control of asthma.","container-title":"Allergy","DOI":"10.1111/j.1398-9995.1999.00093.x","ISSN":"0105-4538","issue":"7","journalAbbreviation":"Allergy","language":"eng","note":"PMID: 10442520","page":"651-661","source":"PubMed","title":"Gastroesophageal reflux and asthma: a review of pathogenesis, diagnosis, and therapy","title-short":"Gastroesophageal reflux and asthma","volume":"54","author":[{"family":"Theodoropoulos","given":"D. S."},{"family":"Lockey","given":"R. F."},{"family":"Boyce","given":"H. W."},{"family":"Bukantz","given":"S. C."}],"issued":{"date-parts":[["1999",7]]}}},{"id":"ga4GnxTX/uRYoTKK5","uris":["http://zotero.org/users/local/k7mguTBH/items/7JTWDMM7"],"itemData":{"id":"rGxDpri3/2DJJaV0z","type":"article-journal","abstract":"OBJECTIVE: Many asthma patients suffer from chronic conditions other than asthma. We investigated the specific contribution of common comorbidities on mortality and morbidity in adult asthma.\nMETHODS: In an observational study of adults with incident asthma identified between 1999 and 2003 using National Veterans Affairs and Centers for Medicare and Medicaid Services encounter databases (n = 25 975, follow-up 3.0 ± 1.7 years), association between 13 most prevalent comorbidities (hypertension, ischemic heart disease (IHD), osteoarthritis, rheumatoid arthritis, diabetes, mental disorders, substance/drug abuse, enlarged prostate, depression, cancer, alcoholism, HIV and heart failure) and four conditions previously associated with asthma (sleep apnea, gastroesophageal reflux disease (GERD), rhinitis and sinusitis) and mortality, hospitalizations and asthma exacerbations were assessed using multivariate regression analyses adju</w:instrText>
            </w:r>
            <w:r w:rsidRPr="008B315B">
              <w:rPr>
                <w:rFonts w:eastAsia="Times New Roman" w:hint="eastAsia"/>
                <w:sz w:val="18"/>
                <w:szCs w:val="18"/>
                <w:lang w:val="en-US" w:eastAsia="en-GB"/>
              </w:rPr>
              <w:instrText>sted for other clinically important covariates.\nRESULTS: HIV followed by alcoholism and mental disorders among 18-45-years old, and heart failure, diabetes, IHD and cancer among those ≥ 65 years old were associated with an increased risk of all-cause mor</w:instrText>
            </w:r>
            <w:r w:rsidRPr="008B315B">
              <w:rPr>
                <w:rFonts w:eastAsia="Times New Roman"/>
                <w:sz w:val="18"/>
                <w:szCs w:val="18"/>
                <w:lang w:val="en-US" w:eastAsia="en-GB"/>
              </w:rPr>
              <w:instrText>tality. Many conditions were associated with increased risk for all-cause hospitalizations, but the increased risk was consistent across all ages for mental disorders. For asthma exacerbations, mental disorder followed by substance abuse and IHD were asso</w:instrText>
            </w:r>
            <w:r w:rsidRPr="008B315B">
              <w:rPr>
                <w:rFonts w:eastAsia="Times New Roman" w:hint="eastAsia"/>
                <w:sz w:val="18"/>
                <w:szCs w:val="18"/>
                <w:lang w:val="en-US" w:eastAsia="en-GB"/>
              </w:rPr>
              <w:instrText>ciated with increased risk among those 18-45 years old, and chronic sinusitis, mental disorder and IHD among those ≥ 65-years old. GERD was associated with decreased risk for asthma exacerbation in all ages.\nCONCLUSIONS: Many comorbidities are associated</w:instrText>
            </w:r>
            <w:r w:rsidRPr="008B315B">
              <w:rPr>
                <w:rFonts w:eastAsia="Times New Roman"/>
                <w:sz w:val="18"/>
                <w:szCs w:val="18"/>
                <w:lang w:val="en-US" w:eastAsia="en-GB"/>
              </w:rPr>
              <w:instrText xml:space="preserve"> with poor outcome in adult asthmatics and their effect differs by age. Mental disorders are associated with increased risk of mortality and morbidity across ages.","container-title":"The Journal of Asthma: Official Journal of the Association for the Care of Asthma","DOI":"10.3109/02770903.2013.879881","ISSN":"1532-4303","issue":"3","journalAbbreviation":"J Asthma","language":"eng","note":"PMID: 24432868\nPMCID: PMC4067514","page":"306-314","source":"PubMed","title":"Coexisting chronic conditions associated with mortality and morbidity in adult patients with asthma","volume":"51","author":[{"family":"Sumino","given":"Kaharu"},{"family":"O'Brian","given":"Katiuscia"},{"family":"Bartle","given":"Brian"},{"family":"Au","given":"David H."},{"family":"Castro","given":"Mario"},{"family":"Lee","given":"Todd A."}],"issued":{"date-parts":[["2014",4]]}}},{"id":947,"uris":["http://zotero.org/users/11893546/items/9TWVTMGJ"],"itemData":{"id":947,"type":"article-journal","abstract":"BACKGROUND AND AIMS: Gastro-oesophageal reflux disease (GORD) has been linked to a number of extra-esophageal symptoms and disorders, primarily in the respiratory tract. This systematic review aimed to provide an estimate of the strength and direction of the association between GORD and asthma.\nMETHODS: Studies that assessed the prevalence or incidence of GORD in individuals with asthma, or of asthma in individuals with GORD, were identified in Medline and EMBASE via a systematic search strategy.\nRESULTS: Twenty-eight studies met the selection criteria. The sample size weighted average prevalence of GORD symptoms in asthma patients was 59.2%, whereas in controls it was 38.1%. In patients with asthma, the average prevalence of abnormal oesophageal pH, oesophagitis and hiatal hernia was 50.9%, 37.3% and 51.2%, respectively. The average prevalence of asthma in individuals with GORD was 4.6%, whereas in controls it was 3.9%. Pooling the odds ratios gave an overall ratio of 5.5 (95% CI 1.9-15.8) for studies reporting the prevalence of GORD symptoms in individuals with asthma, and 2.3 (95% CI 1.8-2.8) for those studies measuring the prevalence of asthma in GORD. One longitudinal study showed a significant association between a diagnosis of asthma and a subsequent diagnosis of GORD (relative risk 1.5; 95% CI 1.2-1.8), whereas the two studies that assessed whether GORD precedes asthma gave inconsistent results. The severity-response relationship was examined in only nine studies, with inconsistent findings.\nCONCLUSIONS: This systematic review indicates that there is a significant association between GORD and asthma, but a paucity of data on the direction of causality.","container-title":"Gut","DOI":"10.1136/gut.2007.122465","ISSN":"1468-3288","issue":"12","journalAbbreviation":"Gut","language":"eng","note":"PMID: 17682001\nPMCID: PMC2095717","page":"1654-1664","source":"PubMed","title":"The association between gastro-oesophageal reflux disease and asthma: a systematic review","title-short":"The association between gastro-oesophageal reflux disease and asthma","volume":"56","author":[{"family":"Havemann","given":"B. D."},{"family":"Henderson","given":"C. A."},{"family":"El-Serag","given":"H. B."}],"issued":{"date-parts":[["2007",12]]}}}],"schema":"https://github.com/citation-style-language/schema/raw/master/csl-citation.json"} </w:instrText>
            </w:r>
            <w:r w:rsidRPr="008B315B">
              <w:rPr>
                <w:rFonts w:eastAsia="Times New Roman"/>
                <w:sz w:val="18"/>
                <w:szCs w:val="18"/>
                <w:lang w:val="en-US" w:eastAsia="en-GB"/>
              </w:rPr>
              <w:fldChar w:fldCharType="separate"/>
            </w:r>
            <w:r w:rsidRPr="008B315B">
              <w:rPr>
                <w:rFonts w:eastAsia="Times New Roman"/>
                <w:sz w:val="18"/>
                <w:szCs w:val="18"/>
                <w:lang w:val="en-US" w:eastAsia="en-GB"/>
              </w:rPr>
              <w:t>[21,25,27,68]</w:t>
            </w:r>
            <w:r w:rsidRPr="008B315B">
              <w:rPr>
                <w:rFonts w:eastAsia="Times New Roman"/>
                <w:sz w:val="18"/>
                <w:szCs w:val="18"/>
                <w:lang w:val="en-GB" w:eastAsia="en-GB"/>
              </w:rPr>
              <w:fldChar w:fldCharType="end"/>
            </w:r>
            <w:r w:rsidRPr="008B315B">
              <w:rPr>
                <w:rFonts w:eastAsia="Times New Roman"/>
                <w:sz w:val="18"/>
                <w:szCs w:val="18"/>
                <w:lang w:val="en-US" w:eastAsia="en-GB"/>
              </w:rPr>
              <w:t>.</w:t>
            </w:r>
          </w:p>
          <w:p w14:paraId="3A91F000" w14:textId="77777777" w:rsidR="00795EC6" w:rsidRDefault="00795EC6" w:rsidP="00795EC6">
            <w:pPr>
              <w:spacing w:beforeLines="40" w:before="96" w:afterLines="40" w:after="96" w:line="24" w:lineRule="atLeast"/>
              <w:rPr>
                <w:rFonts w:eastAsia="Times New Roman"/>
                <w:sz w:val="18"/>
                <w:szCs w:val="18"/>
                <w:lang w:val="en-GB" w:eastAsia="en-GB"/>
              </w:rPr>
            </w:pPr>
          </w:p>
        </w:tc>
      </w:tr>
      <w:tr w:rsidR="00795EC6" w:rsidRPr="00B853C6" w14:paraId="203390A0" w14:textId="367D17C4" w:rsidTr="00795EC6">
        <w:tc>
          <w:tcPr>
            <w:tcW w:w="587" w:type="dxa"/>
            <w:shd w:val="clear" w:color="auto" w:fill="auto"/>
          </w:tcPr>
          <w:p w14:paraId="54CA3A27" w14:textId="77777777" w:rsidR="00795EC6" w:rsidRPr="00F0337F" w:rsidRDefault="00795EC6" w:rsidP="00795EC6">
            <w:pPr>
              <w:spacing w:beforeLines="40" w:before="96" w:afterLines="40" w:after="96" w:line="24" w:lineRule="atLeast"/>
              <w:jc w:val="right"/>
              <w:rPr>
                <w:rFonts w:eastAsia="Cambria"/>
                <w:b/>
                <w:bCs/>
                <w:sz w:val="18"/>
                <w:szCs w:val="18"/>
                <w:lang w:val="en-GB" w:eastAsia="en-US"/>
              </w:rPr>
            </w:pPr>
          </w:p>
        </w:tc>
        <w:tc>
          <w:tcPr>
            <w:tcW w:w="1810" w:type="dxa"/>
            <w:shd w:val="clear" w:color="auto" w:fill="auto"/>
          </w:tcPr>
          <w:p w14:paraId="6D25BA57" w14:textId="77777777" w:rsidR="00795EC6" w:rsidRPr="00F0337F" w:rsidRDefault="00795EC6" w:rsidP="00795EC6">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6491" w:type="dxa"/>
            <w:shd w:val="clear" w:color="auto" w:fill="auto"/>
          </w:tcPr>
          <w:p w14:paraId="5B6A8315" w14:textId="77777777" w:rsidR="00795EC6" w:rsidRPr="00A1236D" w:rsidRDefault="00795EC6" w:rsidP="00795EC6">
            <w:pPr>
              <w:tabs>
                <w:tab w:val="left" w:pos="135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Clinical relevance: Discuss whether the results have clinical or public policy relevance, and </w:t>
            </w:r>
            <w:r w:rsidRPr="00A1236D">
              <w:rPr>
                <w:rFonts w:eastAsia="Times New Roman"/>
                <w:color w:val="000000"/>
                <w:sz w:val="18"/>
                <w:szCs w:val="18"/>
                <w:lang w:eastAsia="en-GB"/>
              </w:rPr>
              <w:t>to what extent they inform effect sizes of possible interventions</w:t>
            </w:r>
          </w:p>
        </w:tc>
        <w:tc>
          <w:tcPr>
            <w:tcW w:w="1397" w:type="dxa"/>
          </w:tcPr>
          <w:p w14:paraId="32FCF028" w14:textId="290E3190" w:rsidR="00795EC6" w:rsidRPr="008B315B" w:rsidRDefault="008B315B" w:rsidP="00795EC6">
            <w:pPr>
              <w:tabs>
                <w:tab w:val="left" w:pos="1350"/>
              </w:tabs>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21</w:t>
            </w:r>
          </w:p>
        </w:tc>
        <w:tc>
          <w:tcPr>
            <w:tcW w:w="4205" w:type="dxa"/>
          </w:tcPr>
          <w:p w14:paraId="78058AE6" w14:textId="4C55822C" w:rsidR="00795EC6" w:rsidRDefault="008B315B" w:rsidP="00795EC6">
            <w:pPr>
              <w:tabs>
                <w:tab w:val="left" w:pos="1350"/>
              </w:tabs>
              <w:spacing w:beforeLines="40" w:before="96" w:afterLines="40" w:after="96" w:line="24" w:lineRule="atLeast"/>
              <w:rPr>
                <w:rFonts w:eastAsia="Times New Roman"/>
                <w:sz w:val="18"/>
                <w:szCs w:val="18"/>
                <w:lang w:val="en-GB" w:eastAsia="en-GB"/>
              </w:rPr>
            </w:pPr>
            <w:r w:rsidRPr="008B315B">
              <w:rPr>
                <w:rFonts w:eastAsia="Times New Roman"/>
                <w:sz w:val="18"/>
                <w:szCs w:val="18"/>
                <w:lang w:val="en-GB" w:eastAsia="en-GB"/>
              </w:rPr>
              <w:t xml:space="preserve">Navigating the complexities of genetic epidemiology in our study, particularly the potential confounding influences of assortative mating and indirect genetic effects, underscores the importance of sophisticated analytical approaches in understanding the genetic underpinnings of diseases like asthma, GERD, and OA. Understanding the intricate relationships among these conditions not only enhances diagnostic and therapeutic approaches but also </w:t>
            </w:r>
            <w:r w:rsidRPr="008B315B">
              <w:rPr>
                <w:rFonts w:eastAsia="Times New Roman"/>
                <w:sz w:val="18"/>
                <w:szCs w:val="18"/>
                <w:lang w:val="en-GB" w:eastAsia="en-GB"/>
              </w:rPr>
              <w:lastRenderedPageBreak/>
              <w:t>empowers clinicians to adopt a more holistic view in patient care. Specifically, recognizing the interconnected nature of asthma and GERD symptoms could prompt earlier assessments for OA, facilitating timely interventions that could markedly improve patient outcomes. This proactive approach in clinical settings, informed by our study's insights, underscores the potential for earlier disease detection and more effective management strategies. Moreover, the broader implications of our research extend to informing prevention and management policies for OA and GERD, guiding health promotion and education campaigns to reach high-risk populations. By bridging the gap between genetic epidemiology's analytical challenges and clinical practice's pragmatic demands, our study illuminates a path forward for integrating complex genetic insights into everyday healthcare and public health initiatives, ensuring that patients and populations alike benefit from comprehensive, informed care strategies.</w:t>
            </w:r>
          </w:p>
        </w:tc>
      </w:tr>
      <w:tr w:rsidR="00795EC6" w:rsidRPr="00B853C6" w14:paraId="71FDAFC1" w14:textId="00A47F15" w:rsidTr="00795EC6">
        <w:tc>
          <w:tcPr>
            <w:tcW w:w="587" w:type="dxa"/>
            <w:tcBorders>
              <w:bottom w:val="single" w:sz="6" w:space="0" w:color="7F7F7F"/>
            </w:tcBorders>
            <w:shd w:val="clear" w:color="auto" w:fill="EEEEEE"/>
          </w:tcPr>
          <w:p w14:paraId="7540155A" w14:textId="77777777" w:rsidR="00795EC6" w:rsidRPr="00F0337F" w:rsidRDefault="00795EC6" w:rsidP="00795EC6">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17</w:t>
            </w:r>
          </w:p>
        </w:tc>
        <w:tc>
          <w:tcPr>
            <w:tcW w:w="1810" w:type="dxa"/>
            <w:tcBorders>
              <w:bottom w:val="single" w:sz="6" w:space="0" w:color="7F7F7F"/>
            </w:tcBorders>
            <w:shd w:val="clear" w:color="auto" w:fill="EEEEEE"/>
          </w:tcPr>
          <w:p w14:paraId="3680059F" w14:textId="77777777" w:rsidR="00795EC6" w:rsidRPr="00F0337F" w:rsidRDefault="00795EC6" w:rsidP="00795EC6">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 xml:space="preserve">Generalizability  </w:t>
            </w:r>
            <w:r w:rsidRPr="00F0337F">
              <w:rPr>
                <w:rFonts w:eastAsia="Times New Roman"/>
                <w:sz w:val="18"/>
                <w:szCs w:val="18"/>
                <w:lang w:val="en-GB" w:eastAsia="en-GB"/>
              </w:rPr>
              <w:t> </w:t>
            </w:r>
          </w:p>
        </w:tc>
        <w:tc>
          <w:tcPr>
            <w:tcW w:w="6491" w:type="dxa"/>
            <w:tcBorders>
              <w:bottom w:val="single" w:sz="6" w:space="0" w:color="7F7F7F"/>
            </w:tcBorders>
            <w:shd w:val="clear" w:color="auto" w:fill="EEEEEE"/>
          </w:tcPr>
          <w:p w14:paraId="68647C33" w14:textId="77777777" w:rsidR="00795EC6" w:rsidRPr="00A1236D" w:rsidRDefault="00795EC6" w:rsidP="00795EC6">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Discuss the generalizability of the study results (a) to other populations, (b) across other exposure periods/timings, and (c) across other levels of exposure</w:t>
            </w:r>
          </w:p>
        </w:tc>
        <w:tc>
          <w:tcPr>
            <w:tcW w:w="1397" w:type="dxa"/>
            <w:tcBorders>
              <w:bottom w:val="single" w:sz="6" w:space="0" w:color="7F7F7F"/>
            </w:tcBorders>
            <w:shd w:val="clear" w:color="auto" w:fill="EEEEEE"/>
          </w:tcPr>
          <w:p w14:paraId="3ACD3D08" w14:textId="61AD3691" w:rsidR="00795EC6" w:rsidRPr="00C71B85" w:rsidRDefault="00C71B85" w:rsidP="00795EC6">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22</w:t>
            </w:r>
          </w:p>
        </w:tc>
        <w:tc>
          <w:tcPr>
            <w:tcW w:w="4205" w:type="dxa"/>
            <w:tcBorders>
              <w:bottom w:val="single" w:sz="6" w:space="0" w:color="7F7F7F"/>
            </w:tcBorders>
            <w:shd w:val="clear" w:color="auto" w:fill="EEEEEE"/>
          </w:tcPr>
          <w:p w14:paraId="41ABF5A9" w14:textId="2B4F2C87" w:rsidR="00795EC6" w:rsidRDefault="00C71B85" w:rsidP="00795EC6">
            <w:pPr>
              <w:spacing w:beforeLines="40" w:before="96" w:afterLines="40" w:after="96" w:line="24" w:lineRule="atLeast"/>
              <w:rPr>
                <w:rFonts w:eastAsia="Times New Roman"/>
                <w:sz w:val="18"/>
                <w:szCs w:val="18"/>
                <w:lang w:val="en-GB" w:eastAsia="en-GB"/>
              </w:rPr>
            </w:pPr>
            <w:r w:rsidRPr="00C71B85">
              <w:rPr>
                <w:rFonts w:eastAsia="Times New Roman"/>
                <w:sz w:val="18"/>
                <w:szCs w:val="18"/>
                <w:lang w:val="en-US" w:eastAsia="en-GB"/>
              </w:rPr>
              <w:t>The generalizability of our findings is limited, primarily because our study population consists mainly of individuals of European descent, which may not represent other ethnicities with different genetic and environmental factors. Furthermore, the study does not explore variations in exposure timing or the impact of different exposure levels, which could influence the results for conditions like osteoarthritis that vary with age and lifestyle.</w:t>
            </w:r>
          </w:p>
        </w:tc>
      </w:tr>
      <w:tr w:rsidR="00795EC6" w:rsidRPr="00B853C6" w14:paraId="57884E75" w14:textId="6FD41AE6" w:rsidTr="00795EC6">
        <w:tc>
          <w:tcPr>
            <w:tcW w:w="587" w:type="dxa"/>
            <w:tcBorders>
              <w:top w:val="single" w:sz="6" w:space="0" w:color="7F7F7F"/>
            </w:tcBorders>
            <w:shd w:val="clear" w:color="auto" w:fill="auto"/>
          </w:tcPr>
          <w:p w14:paraId="2C4C694A" w14:textId="77777777" w:rsidR="00795EC6" w:rsidRPr="00F0337F" w:rsidRDefault="00795EC6" w:rsidP="00795EC6">
            <w:pPr>
              <w:spacing w:beforeLines="40" w:before="96" w:afterLines="40" w:after="96" w:line="24" w:lineRule="atLeast"/>
              <w:rPr>
                <w:rFonts w:eastAsia="Times New Roman"/>
                <w:b/>
                <w:bCs/>
                <w:sz w:val="18"/>
                <w:szCs w:val="18"/>
                <w:lang w:val="en-GB" w:eastAsia="en-GB"/>
              </w:rPr>
            </w:pPr>
          </w:p>
        </w:tc>
        <w:tc>
          <w:tcPr>
            <w:tcW w:w="1810" w:type="dxa"/>
            <w:tcBorders>
              <w:top w:val="single" w:sz="6" w:space="0" w:color="7F7F7F"/>
            </w:tcBorders>
            <w:shd w:val="clear" w:color="auto" w:fill="auto"/>
          </w:tcPr>
          <w:p w14:paraId="0A6FFE33" w14:textId="77777777" w:rsidR="00795EC6" w:rsidRPr="00F0337F" w:rsidRDefault="00795EC6" w:rsidP="00795EC6">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OTHER INFORMATION</w:t>
            </w:r>
          </w:p>
        </w:tc>
        <w:tc>
          <w:tcPr>
            <w:tcW w:w="6491" w:type="dxa"/>
            <w:tcBorders>
              <w:top w:val="single" w:sz="6" w:space="0" w:color="7F7F7F"/>
            </w:tcBorders>
            <w:shd w:val="clear" w:color="auto" w:fill="auto"/>
          </w:tcPr>
          <w:p w14:paraId="0577947E" w14:textId="77777777" w:rsidR="00795EC6" w:rsidRPr="00F0337F" w:rsidRDefault="00795EC6" w:rsidP="00795EC6">
            <w:pPr>
              <w:spacing w:beforeLines="40" w:before="96" w:afterLines="40" w:after="96" w:line="24" w:lineRule="atLeast"/>
              <w:rPr>
                <w:rFonts w:eastAsia="Cambria"/>
                <w:sz w:val="18"/>
                <w:szCs w:val="18"/>
                <w:lang w:val="en-GB" w:eastAsia="en-US"/>
              </w:rPr>
            </w:pPr>
          </w:p>
        </w:tc>
        <w:tc>
          <w:tcPr>
            <w:tcW w:w="1397" w:type="dxa"/>
            <w:tcBorders>
              <w:top w:val="single" w:sz="6" w:space="0" w:color="7F7F7F"/>
            </w:tcBorders>
          </w:tcPr>
          <w:p w14:paraId="7561574C" w14:textId="77777777" w:rsidR="00795EC6" w:rsidRPr="00F0337F" w:rsidRDefault="00795EC6" w:rsidP="00795EC6">
            <w:pPr>
              <w:spacing w:beforeLines="40" w:before="96" w:afterLines="40" w:after="96" w:line="24" w:lineRule="atLeast"/>
              <w:rPr>
                <w:rFonts w:eastAsia="Cambria"/>
                <w:sz w:val="18"/>
                <w:szCs w:val="18"/>
                <w:lang w:val="en-GB" w:eastAsia="en-US"/>
              </w:rPr>
            </w:pPr>
          </w:p>
        </w:tc>
        <w:tc>
          <w:tcPr>
            <w:tcW w:w="4205" w:type="dxa"/>
            <w:tcBorders>
              <w:top w:val="single" w:sz="6" w:space="0" w:color="7F7F7F"/>
            </w:tcBorders>
          </w:tcPr>
          <w:p w14:paraId="3718ED5B" w14:textId="77777777" w:rsidR="00795EC6" w:rsidRDefault="00795EC6" w:rsidP="00795EC6">
            <w:pPr>
              <w:spacing w:beforeLines="40" w:before="96" w:afterLines="40" w:after="96" w:line="24" w:lineRule="atLeast"/>
              <w:rPr>
                <w:rFonts w:eastAsia="Cambria"/>
                <w:sz w:val="18"/>
                <w:szCs w:val="18"/>
                <w:lang w:val="en-GB" w:eastAsia="en-US"/>
              </w:rPr>
            </w:pPr>
          </w:p>
        </w:tc>
      </w:tr>
      <w:tr w:rsidR="00795EC6" w:rsidRPr="00B853C6" w14:paraId="0014C6D1" w14:textId="2FC4D004" w:rsidTr="00795EC6">
        <w:tc>
          <w:tcPr>
            <w:tcW w:w="587" w:type="dxa"/>
            <w:shd w:val="clear" w:color="auto" w:fill="EEEEEE"/>
          </w:tcPr>
          <w:p w14:paraId="2336D08C" w14:textId="77777777" w:rsidR="00795EC6" w:rsidRPr="00F0337F" w:rsidRDefault="00795EC6" w:rsidP="00795EC6">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18</w:t>
            </w:r>
          </w:p>
        </w:tc>
        <w:tc>
          <w:tcPr>
            <w:tcW w:w="1810" w:type="dxa"/>
            <w:shd w:val="clear" w:color="auto" w:fill="EEEEEE"/>
          </w:tcPr>
          <w:p w14:paraId="08EB4FDF" w14:textId="77777777" w:rsidR="00795EC6" w:rsidRPr="00F0337F" w:rsidRDefault="00795EC6" w:rsidP="00795EC6">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Funding</w:t>
            </w:r>
          </w:p>
        </w:tc>
        <w:tc>
          <w:tcPr>
            <w:tcW w:w="6491" w:type="dxa"/>
            <w:shd w:val="clear" w:color="auto" w:fill="EEEEEE"/>
          </w:tcPr>
          <w:p w14:paraId="4663DCA7" w14:textId="77777777" w:rsidR="00795EC6" w:rsidRPr="00F0337F" w:rsidRDefault="00795EC6" w:rsidP="00795EC6">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1397" w:type="dxa"/>
            <w:shd w:val="clear" w:color="auto" w:fill="EEEEEE"/>
          </w:tcPr>
          <w:p w14:paraId="33E2D855" w14:textId="4C27CF59" w:rsidR="00795EC6" w:rsidRPr="008B315B" w:rsidRDefault="008B315B" w:rsidP="00795EC6">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30</w:t>
            </w:r>
          </w:p>
        </w:tc>
        <w:tc>
          <w:tcPr>
            <w:tcW w:w="4205" w:type="dxa"/>
            <w:shd w:val="clear" w:color="auto" w:fill="EEEEEE"/>
          </w:tcPr>
          <w:p w14:paraId="511BF570" w14:textId="77777777" w:rsidR="008B315B" w:rsidRPr="008B315B" w:rsidRDefault="008B315B" w:rsidP="008B315B">
            <w:pPr>
              <w:spacing w:beforeLines="40" w:before="96" w:afterLines="40" w:after="96" w:line="24" w:lineRule="atLeast"/>
              <w:rPr>
                <w:rFonts w:eastAsia="Times New Roman"/>
                <w:sz w:val="18"/>
                <w:szCs w:val="18"/>
                <w:lang w:val="en-US" w:eastAsia="en-GB"/>
              </w:rPr>
            </w:pPr>
            <w:r w:rsidRPr="008B315B">
              <w:rPr>
                <w:rFonts w:eastAsia="Times New Roman"/>
                <w:sz w:val="18"/>
                <w:szCs w:val="18"/>
                <w:lang w:val="en-US" w:eastAsia="en-GB"/>
              </w:rPr>
              <w:t>This study was supported by Capital's Funds for Health Improvement and Research (No.2020-2-2231).</w:t>
            </w:r>
          </w:p>
          <w:p w14:paraId="2C6CE5FF" w14:textId="77777777" w:rsidR="00795EC6" w:rsidRPr="008B315B" w:rsidRDefault="00795EC6" w:rsidP="00795EC6">
            <w:pPr>
              <w:spacing w:beforeLines="40" w:before="96" w:afterLines="40" w:after="96" w:line="24" w:lineRule="atLeast"/>
              <w:rPr>
                <w:rFonts w:eastAsia="Times New Roman"/>
                <w:sz w:val="18"/>
                <w:szCs w:val="18"/>
                <w:lang w:val="en-US" w:eastAsia="en-GB"/>
              </w:rPr>
            </w:pPr>
          </w:p>
        </w:tc>
      </w:tr>
      <w:tr w:rsidR="00795EC6" w:rsidRPr="00B853C6" w14:paraId="1B22CB41" w14:textId="102364C9" w:rsidTr="00795EC6">
        <w:tc>
          <w:tcPr>
            <w:tcW w:w="587" w:type="dxa"/>
            <w:shd w:val="clear" w:color="auto" w:fill="auto"/>
          </w:tcPr>
          <w:p w14:paraId="381BF2BA" w14:textId="77777777" w:rsidR="00795EC6" w:rsidRPr="00F0337F" w:rsidRDefault="00795EC6" w:rsidP="00795EC6">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19</w:t>
            </w:r>
          </w:p>
        </w:tc>
        <w:tc>
          <w:tcPr>
            <w:tcW w:w="1810" w:type="dxa"/>
            <w:shd w:val="clear" w:color="auto" w:fill="auto"/>
          </w:tcPr>
          <w:p w14:paraId="233BA942" w14:textId="77777777" w:rsidR="00795EC6" w:rsidRPr="00F0337F" w:rsidRDefault="00795EC6" w:rsidP="00795EC6">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Data and data sharing </w:t>
            </w:r>
          </w:p>
        </w:tc>
        <w:tc>
          <w:tcPr>
            <w:tcW w:w="6491" w:type="dxa"/>
            <w:shd w:val="clear" w:color="auto" w:fill="auto"/>
          </w:tcPr>
          <w:p w14:paraId="42D9085E" w14:textId="77777777" w:rsidR="00795EC6" w:rsidRPr="00F0337F" w:rsidRDefault="00795EC6" w:rsidP="00795EC6">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Provide the data used to perform all analyses or report where and how the data can be </w:t>
            </w:r>
            <w:proofErr w:type="gramStart"/>
            <w:r w:rsidRPr="00F0337F">
              <w:rPr>
                <w:rFonts w:eastAsia="Times New Roman"/>
                <w:sz w:val="18"/>
                <w:szCs w:val="18"/>
                <w:lang w:val="en-GB" w:eastAsia="en-GB"/>
              </w:rPr>
              <w:t>accessed, and</w:t>
            </w:r>
            <w:proofErr w:type="gramEnd"/>
            <w:r w:rsidRPr="00F0337F">
              <w:rPr>
                <w:rFonts w:eastAsia="Times New Roman"/>
                <w:sz w:val="18"/>
                <w:szCs w:val="18"/>
                <w:lang w:val="en-GB" w:eastAsia="en-GB"/>
              </w:rPr>
              <w:t xml:space="preserve"> reference these sources in the </w:t>
            </w:r>
            <w:r>
              <w:rPr>
                <w:rFonts w:eastAsia="Times New Roman"/>
                <w:sz w:val="18"/>
                <w:szCs w:val="18"/>
                <w:lang w:val="en-GB" w:eastAsia="en-GB"/>
              </w:rPr>
              <w:t>article</w:t>
            </w:r>
            <w:r w:rsidRPr="00F0337F">
              <w:rPr>
                <w:rFonts w:eastAsia="Times New Roman"/>
                <w:sz w:val="18"/>
                <w:szCs w:val="18"/>
                <w:lang w:val="en-GB" w:eastAsia="en-GB"/>
              </w:rPr>
              <w:t xml:space="preserve">. Provide the statistical code needed to </w:t>
            </w:r>
            <w:r>
              <w:rPr>
                <w:rFonts w:eastAsia="Times New Roman"/>
                <w:sz w:val="18"/>
                <w:szCs w:val="18"/>
                <w:lang w:val="en-GB" w:eastAsia="en-GB"/>
              </w:rPr>
              <w:t>reproduce the results</w:t>
            </w:r>
            <w:r w:rsidRPr="00F0337F">
              <w:rPr>
                <w:rFonts w:eastAsia="Times New Roman"/>
                <w:sz w:val="18"/>
                <w:szCs w:val="18"/>
                <w:lang w:val="en-GB" w:eastAsia="en-GB"/>
              </w:rPr>
              <w:t xml:space="preserve"> in the </w:t>
            </w:r>
            <w:r>
              <w:rPr>
                <w:rFonts w:eastAsia="Times New Roman"/>
                <w:sz w:val="18"/>
                <w:szCs w:val="18"/>
                <w:lang w:val="en-GB" w:eastAsia="en-GB"/>
              </w:rPr>
              <w:t>article</w:t>
            </w:r>
            <w:r w:rsidRPr="00F0337F">
              <w:rPr>
                <w:rFonts w:eastAsia="Times New Roman"/>
                <w:sz w:val="18"/>
                <w:szCs w:val="18"/>
                <w:lang w:val="en-GB" w:eastAsia="en-GB"/>
              </w:rPr>
              <w:t>, or report whether the code is publicly accessible and if so, where</w:t>
            </w:r>
          </w:p>
        </w:tc>
        <w:tc>
          <w:tcPr>
            <w:tcW w:w="1397" w:type="dxa"/>
          </w:tcPr>
          <w:p w14:paraId="5725EE6D" w14:textId="2C1DD6EF" w:rsidR="00795EC6" w:rsidRPr="008B315B" w:rsidRDefault="008B315B" w:rsidP="00795EC6">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30</w:t>
            </w:r>
          </w:p>
        </w:tc>
        <w:tc>
          <w:tcPr>
            <w:tcW w:w="4205" w:type="dxa"/>
          </w:tcPr>
          <w:p w14:paraId="3DAD70B7" w14:textId="77777777" w:rsidR="008B315B" w:rsidRPr="008B315B" w:rsidRDefault="008B315B" w:rsidP="008B315B">
            <w:pPr>
              <w:spacing w:beforeLines="40" w:before="96" w:afterLines="40" w:after="96" w:line="24" w:lineRule="atLeast"/>
              <w:rPr>
                <w:rFonts w:eastAsia="Times New Roman"/>
                <w:sz w:val="18"/>
                <w:szCs w:val="18"/>
                <w:lang w:val="en-US" w:eastAsia="en-GB"/>
              </w:rPr>
            </w:pPr>
            <w:r w:rsidRPr="008B315B">
              <w:rPr>
                <w:rFonts w:eastAsia="Times New Roman"/>
                <w:sz w:val="18"/>
                <w:szCs w:val="18"/>
                <w:lang w:val="en-US" w:eastAsia="en-GB"/>
              </w:rPr>
              <w:t>Any data employed for the study were obtained from published articles or publicly available GWAS platforms (https://www.ebi.ac.uk/gwas/home), and all data are freely available.</w:t>
            </w:r>
          </w:p>
          <w:p w14:paraId="38DE3AA7" w14:textId="77777777" w:rsidR="00795EC6" w:rsidRPr="008B315B" w:rsidRDefault="00795EC6" w:rsidP="00795EC6">
            <w:pPr>
              <w:spacing w:beforeLines="40" w:before="96" w:afterLines="40" w:after="96" w:line="24" w:lineRule="atLeast"/>
              <w:rPr>
                <w:rFonts w:eastAsia="Times New Roman"/>
                <w:sz w:val="18"/>
                <w:szCs w:val="18"/>
                <w:lang w:val="en-US" w:eastAsia="en-GB"/>
              </w:rPr>
            </w:pPr>
          </w:p>
        </w:tc>
      </w:tr>
      <w:tr w:rsidR="00795EC6" w:rsidRPr="00B853C6" w14:paraId="1BFE6A86" w14:textId="26747AA0" w:rsidTr="00795EC6">
        <w:tc>
          <w:tcPr>
            <w:tcW w:w="587" w:type="dxa"/>
            <w:tcBorders>
              <w:bottom w:val="single" w:sz="6" w:space="0" w:color="7F7F7F"/>
            </w:tcBorders>
            <w:shd w:val="clear" w:color="auto" w:fill="EEEEEE"/>
          </w:tcPr>
          <w:p w14:paraId="20DC2C92" w14:textId="77777777" w:rsidR="00795EC6" w:rsidRPr="00F0337F" w:rsidRDefault="00795EC6" w:rsidP="00795EC6">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20</w:t>
            </w:r>
          </w:p>
        </w:tc>
        <w:tc>
          <w:tcPr>
            <w:tcW w:w="1810" w:type="dxa"/>
            <w:tcBorders>
              <w:bottom w:val="single" w:sz="6" w:space="0" w:color="7F7F7F"/>
            </w:tcBorders>
            <w:shd w:val="clear" w:color="auto" w:fill="EEEEEE"/>
          </w:tcPr>
          <w:p w14:paraId="39A69A1B" w14:textId="77777777" w:rsidR="00795EC6" w:rsidRPr="00F0337F" w:rsidRDefault="00795EC6" w:rsidP="00795EC6">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Conflicts of Interest  </w:t>
            </w:r>
          </w:p>
        </w:tc>
        <w:tc>
          <w:tcPr>
            <w:tcW w:w="6491" w:type="dxa"/>
            <w:tcBorders>
              <w:bottom w:val="single" w:sz="6" w:space="0" w:color="7F7F7F"/>
            </w:tcBorders>
            <w:shd w:val="clear" w:color="auto" w:fill="EEEEEE"/>
          </w:tcPr>
          <w:p w14:paraId="4772D912" w14:textId="77777777" w:rsidR="00795EC6" w:rsidRPr="00F0337F" w:rsidRDefault="00795EC6" w:rsidP="00795EC6">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All authors should declare all potential conflicts of interest</w:t>
            </w:r>
          </w:p>
        </w:tc>
        <w:tc>
          <w:tcPr>
            <w:tcW w:w="1397" w:type="dxa"/>
            <w:tcBorders>
              <w:bottom w:val="single" w:sz="6" w:space="0" w:color="7F7F7F"/>
            </w:tcBorders>
            <w:shd w:val="clear" w:color="auto" w:fill="EEEEEE"/>
          </w:tcPr>
          <w:p w14:paraId="1B63BC8B" w14:textId="03CECBAF" w:rsidR="00795EC6" w:rsidRPr="008B315B" w:rsidRDefault="008B315B" w:rsidP="00795EC6">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30</w:t>
            </w:r>
          </w:p>
        </w:tc>
        <w:tc>
          <w:tcPr>
            <w:tcW w:w="4205" w:type="dxa"/>
            <w:tcBorders>
              <w:bottom w:val="single" w:sz="6" w:space="0" w:color="7F7F7F"/>
            </w:tcBorders>
            <w:shd w:val="clear" w:color="auto" w:fill="EEEEEE"/>
          </w:tcPr>
          <w:p w14:paraId="71763B1B" w14:textId="77777777" w:rsidR="008B315B" w:rsidRPr="008B315B" w:rsidRDefault="008B315B" w:rsidP="008B315B">
            <w:pPr>
              <w:spacing w:beforeLines="40" w:before="96" w:afterLines="40" w:after="96" w:line="24" w:lineRule="atLeast"/>
              <w:rPr>
                <w:rFonts w:eastAsia="Times New Roman"/>
                <w:iCs/>
                <w:sz w:val="18"/>
                <w:szCs w:val="18"/>
                <w:lang w:val="en-GB" w:eastAsia="en-GB"/>
              </w:rPr>
            </w:pPr>
            <w:r w:rsidRPr="008B315B">
              <w:rPr>
                <w:rFonts w:eastAsia="Times New Roman"/>
                <w:iCs/>
                <w:sz w:val="18"/>
                <w:szCs w:val="18"/>
                <w:lang w:val="en-GB" w:eastAsia="en-GB"/>
              </w:rPr>
              <w:t>The authors declare that the research was conducted without any commercial or financial relationships that could be construed as a potential conflict of interest.</w:t>
            </w:r>
          </w:p>
          <w:p w14:paraId="5D9123A4" w14:textId="77777777" w:rsidR="00795EC6" w:rsidRDefault="00795EC6" w:rsidP="00795EC6">
            <w:pPr>
              <w:spacing w:beforeLines="40" w:before="96" w:afterLines="40" w:after="96" w:line="24" w:lineRule="atLeast"/>
              <w:rPr>
                <w:rFonts w:eastAsia="Times New Roman"/>
                <w:sz w:val="18"/>
                <w:szCs w:val="18"/>
                <w:lang w:val="en-GB" w:eastAsia="en-GB"/>
              </w:rPr>
            </w:pPr>
          </w:p>
        </w:tc>
      </w:tr>
    </w:tbl>
    <w:p w14:paraId="386115B2" w14:textId="17D6D8D3" w:rsidR="004C4CBC" w:rsidRPr="009854A9" w:rsidRDefault="00D65199" w:rsidP="005520ED">
      <w:pPr>
        <w:spacing w:before="240" w:after="240"/>
        <w:rPr>
          <w:sz w:val="19"/>
          <w:szCs w:val="19"/>
        </w:rPr>
      </w:pPr>
      <w:r w:rsidRPr="009854A9">
        <w:rPr>
          <w:sz w:val="19"/>
          <w:szCs w:val="19"/>
        </w:rPr>
        <w:t xml:space="preserve">This checklist is copyrighted by the Equator Network under the Creative Commons Attribution 3.0 </w:t>
      </w:r>
      <w:proofErr w:type="spellStart"/>
      <w:r w:rsidRPr="009854A9">
        <w:rPr>
          <w:sz w:val="19"/>
          <w:szCs w:val="19"/>
        </w:rPr>
        <w:t>Unported</w:t>
      </w:r>
      <w:proofErr w:type="spellEnd"/>
      <w:r w:rsidRPr="009854A9">
        <w:rPr>
          <w:sz w:val="19"/>
          <w:szCs w:val="19"/>
        </w:rPr>
        <w:t xml:space="preserve"> (CC BY 3.0) license.</w:t>
      </w:r>
    </w:p>
    <w:p w14:paraId="5DDF8A06" w14:textId="73FE4A93" w:rsidR="009854A9" w:rsidRPr="009854A9" w:rsidRDefault="00804498" w:rsidP="009854A9">
      <w:pPr>
        <w:widowControl w:val="0"/>
        <w:autoSpaceDE w:val="0"/>
        <w:autoSpaceDN w:val="0"/>
        <w:adjustRightInd w:val="0"/>
        <w:spacing w:before="240" w:after="240" w:line="240" w:lineRule="auto"/>
        <w:ind w:left="640" w:hanging="640"/>
        <w:rPr>
          <w:noProof/>
          <w:sz w:val="19"/>
          <w:szCs w:val="19"/>
        </w:rPr>
      </w:pPr>
      <w:r w:rsidRPr="009854A9">
        <w:rPr>
          <w:sz w:val="19"/>
          <w:szCs w:val="19"/>
        </w:rPr>
        <w:fldChar w:fldCharType="begin" w:fldLock="1"/>
      </w:r>
      <w:r w:rsidRPr="009854A9">
        <w:rPr>
          <w:sz w:val="19"/>
          <w:szCs w:val="19"/>
        </w:rPr>
        <w:instrText xml:space="preserve">ADDIN Mendeley Bibliography CSL_BIBLIOGRAPHY </w:instrText>
      </w:r>
      <w:r w:rsidRPr="009854A9">
        <w:rPr>
          <w:sz w:val="19"/>
          <w:szCs w:val="19"/>
        </w:rPr>
        <w:fldChar w:fldCharType="separate"/>
      </w:r>
      <w:r w:rsidR="009854A9" w:rsidRPr="009854A9">
        <w:rPr>
          <w:noProof/>
          <w:sz w:val="19"/>
          <w:szCs w:val="19"/>
        </w:rPr>
        <w:t xml:space="preserve">1. </w:t>
      </w:r>
      <w:r w:rsidR="009854A9" w:rsidRPr="009854A9">
        <w:rPr>
          <w:noProof/>
          <w:sz w:val="19"/>
          <w:szCs w:val="19"/>
        </w:rPr>
        <w:tab/>
        <w:t xml:space="preserve">Skrivankova VW, Richmond RC, Woolf BAR, Yarmolinsky J, Davies NM, Swanson SA, et al. Strengthening the Reporting of Observational Studies in Epidemiology using Mendelian Randomization (STROBE-MR) Statement. JAMA. 2021;under review. </w:t>
      </w:r>
    </w:p>
    <w:p w14:paraId="63BF03A9" w14:textId="77777777" w:rsidR="009854A9" w:rsidRPr="009854A9" w:rsidRDefault="009854A9" w:rsidP="009854A9">
      <w:pPr>
        <w:widowControl w:val="0"/>
        <w:autoSpaceDE w:val="0"/>
        <w:autoSpaceDN w:val="0"/>
        <w:adjustRightInd w:val="0"/>
        <w:spacing w:before="240" w:after="240" w:line="240" w:lineRule="auto"/>
        <w:ind w:left="640" w:hanging="640"/>
        <w:rPr>
          <w:noProof/>
          <w:sz w:val="19"/>
          <w:szCs w:val="19"/>
        </w:rPr>
      </w:pPr>
      <w:r w:rsidRPr="009854A9">
        <w:rPr>
          <w:noProof/>
          <w:sz w:val="19"/>
          <w:szCs w:val="19"/>
        </w:rPr>
        <w:t xml:space="preserve">2. </w:t>
      </w:r>
      <w:r w:rsidRPr="009854A9">
        <w:rPr>
          <w:noProof/>
          <w:sz w:val="19"/>
          <w:szCs w:val="19"/>
        </w:rPr>
        <w:tab/>
        <w:t xml:space="preserve">Skrivankova VW, Richmond RC, Woolf BAR, Davies NM, Swanson SA, VanderWeele TJ, et al. Strengthening the Reporting of Observational Studies in Epidemiology using Mendelian Randomisation (STROBE-MR): Explanation and Elaboration. BMJ. 2021;375:n2233. </w:t>
      </w:r>
    </w:p>
    <w:p w14:paraId="25DB435D" w14:textId="164414FA" w:rsidR="00804498" w:rsidRDefault="00804498" w:rsidP="005520ED">
      <w:pPr>
        <w:spacing w:before="240" w:after="240"/>
      </w:pPr>
      <w:r w:rsidRPr="009854A9">
        <w:rPr>
          <w:sz w:val="19"/>
          <w:szCs w:val="19"/>
        </w:rPr>
        <w:fldChar w:fldCharType="end"/>
      </w:r>
    </w:p>
    <w:sectPr w:rsidR="00804498" w:rsidSect="001B4479">
      <w:footerReference w:type="even" r:id="rId12"/>
      <w:footerReference w:type="default" r:id="rId13"/>
      <w:pgSz w:w="15840" w:h="12240" w:orient="landscape"/>
      <w:pgMar w:top="1008" w:right="720" w:bottom="1008"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DD43ED" w14:textId="77777777" w:rsidR="00F42F58" w:rsidRDefault="00F42F58">
      <w:pPr>
        <w:spacing w:line="240" w:lineRule="auto"/>
      </w:pPr>
      <w:r>
        <w:separator/>
      </w:r>
    </w:p>
  </w:endnote>
  <w:endnote w:type="continuationSeparator" w:id="0">
    <w:p w14:paraId="2469C02C" w14:textId="77777777" w:rsidR="00F42F58" w:rsidRDefault="00F42F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4A166" w14:textId="77777777" w:rsidR="004C4CBC" w:rsidRDefault="004C4CBC" w:rsidP="00A365E5">
    <w:pPr>
      <w:pStyle w:val="a3"/>
      <w:framePr w:wrap="none" w:vAnchor="text" w:hAnchor="margin" w:xAlign="right" w:y="1"/>
      <w:rPr>
        <w:rStyle w:val="a5"/>
      </w:rPr>
    </w:pPr>
  </w:p>
  <w:p w14:paraId="40A0897E" w14:textId="77777777" w:rsidR="004C4CBC" w:rsidRDefault="004C4CBC" w:rsidP="00C141F7">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9B7B5E" w14:textId="0AA16358" w:rsidR="004C4CBC" w:rsidRDefault="003D447D">
    <w:pPr>
      <w:pStyle w:val="a3"/>
      <w:jc w:val="right"/>
    </w:pPr>
    <w:r>
      <w:fldChar w:fldCharType="begin"/>
    </w:r>
    <w:r>
      <w:instrText xml:space="preserve"> PAGE   \* MERGEFORMAT </w:instrText>
    </w:r>
    <w:r>
      <w:fldChar w:fldCharType="separate"/>
    </w:r>
    <w:r w:rsidR="00BB6328">
      <w:rPr>
        <w:noProof/>
      </w:rPr>
      <w:t>1</w:t>
    </w:r>
    <w:r>
      <w:rPr>
        <w:noProof/>
      </w:rPr>
      <w:fldChar w:fldCharType="end"/>
    </w:r>
  </w:p>
  <w:p w14:paraId="41D89672" w14:textId="77777777" w:rsidR="004C4CBC" w:rsidRDefault="004C4CBC" w:rsidP="00C141F7">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065479" w14:textId="77777777" w:rsidR="00F42F58" w:rsidRDefault="00F42F58">
      <w:pPr>
        <w:spacing w:line="240" w:lineRule="auto"/>
      </w:pPr>
      <w:r>
        <w:separator/>
      </w:r>
    </w:p>
  </w:footnote>
  <w:footnote w:type="continuationSeparator" w:id="0">
    <w:p w14:paraId="1411D69E" w14:textId="77777777" w:rsidR="00F42F58" w:rsidRDefault="00F42F5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C452FD"/>
    <w:multiLevelType w:val="multilevel"/>
    <w:tmpl w:val="D4C2C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7F2486"/>
    <w:multiLevelType w:val="multilevel"/>
    <w:tmpl w:val="E0B2B73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150B82"/>
    <w:multiLevelType w:val="multilevel"/>
    <w:tmpl w:val="40B25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8D628C4"/>
    <w:multiLevelType w:val="multilevel"/>
    <w:tmpl w:val="453A1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034A5F"/>
    <w:multiLevelType w:val="multilevel"/>
    <w:tmpl w:val="BF06F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0613012">
    <w:abstractNumId w:val="1"/>
  </w:num>
  <w:num w:numId="2" w16cid:durableId="2006736378">
    <w:abstractNumId w:val="2"/>
  </w:num>
  <w:num w:numId="3" w16cid:durableId="606545102">
    <w:abstractNumId w:val="3"/>
  </w:num>
  <w:num w:numId="4" w16cid:durableId="1904370343">
    <w:abstractNumId w:val="4"/>
  </w:num>
  <w:num w:numId="5" w16cid:durableId="1937711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C56"/>
    <w:rsid w:val="000A4CE8"/>
    <w:rsid w:val="001B4479"/>
    <w:rsid w:val="00201F1A"/>
    <w:rsid w:val="002663E6"/>
    <w:rsid w:val="003D447D"/>
    <w:rsid w:val="003D47DD"/>
    <w:rsid w:val="00486DBC"/>
    <w:rsid w:val="004B5CBB"/>
    <w:rsid w:val="004C4CBC"/>
    <w:rsid w:val="004E11D4"/>
    <w:rsid w:val="00514462"/>
    <w:rsid w:val="005520ED"/>
    <w:rsid w:val="005A0D0D"/>
    <w:rsid w:val="00685D31"/>
    <w:rsid w:val="006912BF"/>
    <w:rsid w:val="006A41D0"/>
    <w:rsid w:val="006B08D5"/>
    <w:rsid w:val="006B29B5"/>
    <w:rsid w:val="00795EC6"/>
    <w:rsid w:val="00804498"/>
    <w:rsid w:val="008B315B"/>
    <w:rsid w:val="008E4595"/>
    <w:rsid w:val="00914C56"/>
    <w:rsid w:val="00950729"/>
    <w:rsid w:val="009854A9"/>
    <w:rsid w:val="009E033F"/>
    <w:rsid w:val="00A36516"/>
    <w:rsid w:val="00B624AB"/>
    <w:rsid w:val="00BB6328"/>
    <w:rsid w:val="00C71B85"/>
    <w:rsid w:val="00D65199"/>
    <w:rsid w:val="00D8098C"/>
    <w:rsid w:val="00ED48A3"/>
    <w:rsid w:val="00EF4B94"/>
    <w:rsid w:val="00F42F5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E999F"/>
  <w15:chartTrackingRefBased/>
  <w15:docId w15:val="{3C23E9FF-C4EB-475A-AABF-DB561B80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14C56"/>
    <w:pPr>
      <w:spacing w:after="0" w:line="276" w:lineRule="auto"/>
    </w:pPr>
    <w:rPr>
      <w:rFonts w:ascii="Arial" w:eastAsia="Arial" w:hAnsi="Arial" w:cs="Arial"/>
      <w:lang w:val="en" w:eastAsia="de-CH"/>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14C56"/>
    <w:pPr>
      <w:tabs>
        <w:tab w:val="center" w:pos="4680"/>
        <w:tab w:val="right" w:pos="9360"/>
      </w:tabs>
      <w:spacing w:line="240" w:lineRule="auto"/>
    </w:pPr>
  </w:style>
  <w:style w:type="character" w:customStyle="1" w:styleId="a4">
    <w:name w:val="页脚 字符"/>
    <w:basedOn w:val="a0"/>
    <w:link w:val="a3"/>
    <w:uiPriority w:val="99"/>
    <w:rsid w:val="00914C56"/>
    <w:rPr>
      <w:rFonts w:ascii="Arial" w:eastAsia="Arial" w:hAnsi="Arial" w:cs="Arial"/>
      <w:lang w:val="en" w:eastAsia="de-CH"/>
    </w:rPr>
  </w:style>
  <w:style w:type="character" w:styleId="a5">
    <w:name w:val="page number"/>
    <w:basedOn w:val="a0"/>
    <w:uiPriority w:val="99"/>
    <w:semiHidden/>
    <w:unhideWhenUsed/>
    <w:rsid w:val="00914C56"/>
  </w:style>
  <w:style w:type="character" w:styleId="a6">
    <w:name w:val="line number"/>
    <w:basedOn w:val="a0"/>
    <w:uiPriority w:val="99"/>
    <w:semiHidden/>
    <w:unhideWhenUsed/>
    <w:rsid w:val="00914C56"/>
  </w:style>
  <w:style w:type="character" w:styleId="a7">
    <w:name w:val="Hyperlink"/>
    <w:basedOn w:val="a0"/>
    <w:uiPriority w:val="99"/>
    <w:unhideWhenUsed/>
    <w:rsid w:val="00B624AB"/>
    <w:rPr>
      <w:color w:val="0563C1" w:themeColor="hyperlink"/>
      <w:u w:val="single"/>
    </w:rPr>
  </w:style>
  <w:style w:type="character" w:styleId="a8">
    <w:name w:val="Unresolved Mention"/>
    <w:basedOn w:val="a0"/>
    <w:uiPriority w:val="99"/>
    <w:semiHidden/>
    <w:unhideWhenUsed/>
    <w:rsid w:val="00B624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9097298">
      <w:bodyDiv w:val="1"/>
      <w:marLeft w:val="0"/>
      <w:marRight w:val="0"/>
      <w:marTop w:val="0"/>
      <w:marBottom w:val="0"/>
      <w:divBdr>
        <w:top w:val="none" w:sz="0" w:space="0" w:color="auto"/>
        <w:left w:val="none" w:sz="0" w:space="0" w:color="auto"/>
        <w:bottom w:val="none" w:sz="0" w:space="0" w:color="auto"/>
        <w:right w:val="none" w:sz="0" w:space="0" w:color="auto"/>
      </w:divBdr>
    </w:div>
    <w:div w:id="272637323">
      <w:bodyDiv w:val="1"/>
      <w:marLeft w:val="0"/>
      <w:marRight w:val="0"/>
      <w:marTop w:val="0"/>
      <w:marBottom w:val="0"/>
      <w:divBdr>
        <w:top w:val="none" w:sz="0" w:space="0" w:color="auto"/>
        <w:left w:val="none" w:sz="0" w:space="0" w:color="auto"/>
        <w:bottom w:val="none" w:sz="0" w:space="0" w:color="auto"/>
        <w:right w:val="none" w:sz="0" w:space="0" w:color="auto"/>
      </w:divBdr>
    </w:div>
    <w:div w:id="321155375">
      <w:bodyDiv w:val="1"/>
      <w:marLeft w:val="0"/>
      <w:marRight w:val="0"/>
      <w:marTop w:val="0"/>
      <w:marBottom w:val="0"/>
      <w:divBdr>
        <w:top w:val="none" w:sz="0" w:space="0" w:color="auto"/>
        <w:left w:val="none" w:sz="0" w:space="0" w:color="auto"/>
        <w:bottom w:val="none" w:sz="0" w:space="0" w:color="auto"/>
        <w:right w:val="none" w:sz="0" w:space="0" w:color="auto"/>
      </w:divBdr>
    </w:div>
    <w:div w:id="349720712">
      <w:bodyDiv w:val="1"/>
      <w:marLeft w:val="0"/>
      <w:marRight w:val="0"/>
      <w:marTop w:val="0"/>
      <w:marBottom w:val="0"/>
      <w:divBdr>
        <w:top w:val="none" w:sz="0" w:space="0" w:color="auto"/>
        <w:left w:val="none" w:sz="0" w:space="0" w:color="auto"/>
        <w:bottom w:val="none" w:sz="0" w:space="0" w:color="auto"/>
        <w:right w:val="none" w:sz="0" w:space="0" w:color="auto"/>
      </w:divBdr>
    </w:div>
    <w:div w:id="389159546">
      <w:bodyDiv w:val="1"/>
      <w:marLeft w:val="0"/>
      <w:marRight w:val="0"/>
      <w:marTop w:val="0"/>
      <w:marBottom w:val="0"/>
      <w:divBdr>
        <w:top w:val="none" w:sz="0" w:space="0" w:color="auto"/>
        <w:left w:val="none" w:sz="0" w:space="0" w:color="auto"/>
        <w:bottom w:val="none" w:sz="0" w:space="0" w:color="auto"/>
        <w:right w:val="none" w:sz="0" w:space="0" w:color="auto"/>
      </w:divBdr>
    </w:div>
    <w:div w:id="409743023">
      <w:bodyDiv w:val="1"/>
      <w:marLeft w:val="0"/>
      <w:marRight w:val="0"/>
      <w:marTop w:val="0"/>
      <w:marBottom w:val="0"/>
      <w:divBdr>
        <w:top w:val="none" w:sz="0" w:space="0" w:color="auto"/>
        <w:left w:val="none" w:sz="0" w:space="0" w:color="auto"/>
        <w:bottom w:val="none" w:sz="0" w:space="0" w:color="auto"/>
        <w:right w:val="none" w:sz="0" w:space="0" w:color="auto"/>
      </w:divBdr>
    </w:div>
    <w:div w:id="436489058">
      <w:bodyDiv w:val="1"/>
      <w:marLeft w:val="0"/>
      <w:marRight w:val="0"/>
      <w:marTop w:val="0"/>
      <w:marBottom w:val="0"/>
      <w:divBdr>
        <w:top w:val="none" w:sz="0" w:space="0" w:color="auto"/>
        <w:left w:val="none" w:sz="0" w:space="0" w:color="auto"/>
        <w:bottom w:val="none" w:sz="0" w:space="0" w:color="auto"/>
        <w:right w:val="none" w:sz="0" w:space="0" w:color="auto"/>
      </w:divBdr>
    </w:div>
    <w:div w:id="477379078">
      <w:bodyDiv w:val="1"/>
      <w:marLeft w:val="0"/>
      <w:marRight w:val="0"/>
      <w:marTop w:val="0"/>
      <w:marBottom w:val="0"/>
      <w:divBdr>
        <w:top w:val="none" w:sz="0" w:space="0" w:color="auto"/>
        <w:left w:val="none" w:sz="0" w:space="0" w:color="auto"/>
        <w:bottom w:val="none" w:sz="0" w:space="0" w:color="auto"/>
        <w:right w:val="none" w:sz="0" w:space="0" w:color="auto"/>
      </w:divBdr>
    </w:div>
    <w:div w:id="719355422">
      <w:bodyDiv w:val="1"/>
      <w:marLeft w:val="0"/>
      <w:marRight w:val="0"/>
      <w:marTop w:val="0"/>
      <w:marBottom w:val="0"/>
      <w:divBdr>
        <w:top w:val="none" w:sz="0" w:space="0" w:color="auto"/>
        <w:left w:val="none" w:sz="0" w:space="0" w:color="auto"/>
        <w:bottom w:val="none" w:sz="0" w:space="0" w:color="auto"/>
        <w:right w:val="none" w:sz="0" w:space="0" w:color="auto"/>
      </w:divBdr>
    </w:div>
    <w:div w:id="771709218">
      <w:bodyDiv w:val="1"/>
      <w:marLeft w:val="0"/>
      <w:marRight w:val="0"/>
      <w:marTop w:val="0"/>
      <w:marBottom w:val="0"/>
      <w:divBdr>
        <w:top w:val="none" w:sz="0" w:space="0" w:color="auto"/>
        <w:left w:val="none" w:sz="0" w:space="0" w:color="auto"/>
        <w:bottom w:val="none" w:sz="0" w:space="0" w:color="auto"/>
        <w:right w:val="none" w:sz="0" w:space="0" w:color="auto"/>
      </w:divBdr>
    </w:div>
    <w:div w:id="997881047">
      <w:bodyDiv w:val="1"/>
      <w:marLeft w:val="0"/>
      <w:marRight w:val="0"/>
      <w:marTop w:val="0"/>
      <w:marBottom w:val="0"/>
      <w:divBdr>
        <w:top w:val="none" w:sz="0" w:space="0" w:color="auto"/>
        <w:left w:val="none" w:sz="0" w:space="0" w:color="auto"/>
        <w:bottom w:val="none" w:sz="0" w:space="0" w:color="auto"/>
        <w:right w:val="none" w:sz="0" w:space="0" w:color="auto"/>
      </w:divBdr>
    </w:div>
    <w:div w:id="1042555601">
      <w:bodyDiv w:val="1"/>
      <w:marLeft w:val="0"/>
      <w:marRight w:val="0"/>
      <w:marTop w:val="0"/>
      <w:marBottom w:val="0"/>
      <w:divBdr>
        <w:top w:val="none" w:sz="0" w:space="0" w:color="auto"/>
        <w:left w:val="none" w:sz="0" w:space="0" w:color="auto"/>
        <w:bottom w:val="none" w:sz="0" w:space="0" w:color="auto"/>
        <w:right w:val="none" w:sz="0" w:space="0" w:color="auto"/>
      </w:divBdr>
    </w:div>
    <w:div w:id="1049495966">
      <w:bodyDiv w:val="1"/>
      <w:marLeft w:val="0"/>
      <w:marRight w:val="0"/>
      <w:marTop w:val="0"/>
      <w:marBottom w:val="0"/>
      <w:divBdr>
        <w:top w:val="none" w:sz="0" w:space="0" w:color="auto"/>
        <w:left w:val="none" w:sz="0" w:space="0" w:color="auto"/>
        <w:bottom w:val="none" w:sz="0" w:space="0" w:color="auto"/>
        <w:right w:val="none" w:sz="0" w:space="0" w:color="auto"/>
      </w:divBdr>
    </w:div>
    <w:div w:id="1061098137">
      <w:bodyDiv w:val="1"/>
      <w:marLeft w:val="0"/>
      <w:marRight w:val="0"/>
      <w:marTop w:val="0"/>
      <w:marBottom w:val="0"/>
      <w:divBdr>
        <w:top w:val="none" w:sz="0" w:space="0" w:color="auto"/>
        <w:left w:val="none" w:sz="0" w:space="0" w:color="auto"/>
        <w:bottom w:val="none" w:sz="0" w:space="0" w:color="auto"/>
        <w:right w:val="none" w:sz="0" w:space="0" w:color="auto"/>
      </w:divBdr>
    </w:div>
    <w:div w:id="1146436519">
      <w:bodyDiv w:val="1"/>
      <w:marLeft w:val="0"/>
      <w:marRight w:val="0"/>
      <w:marTop w:val="0"/>
      <w:marBottom w:val="0"/>
      <w:divBdr>
        <w:top w:val="none" w:sz="0" w:space="0" w:color="auto"/>
        <w:left w:val="none" w:sz="0" w:space="0" w:color="auto"/>
        <w:bottom w:val="none" w:sz="0" w:space="0" w:color="auto"/>
        <w:right w:val="none" w:sz="0" w:space="0" w:color="auto"/>
      </w:divBdr>
    </w:div>
    <w:div w:id="1262646145">
      <w:bodyDiv w:val="1"/>
      <w:marLeft w:val="0"/>
      <w:marRight w:val="0"/>
      <w:marTop w:val="0"/>
      <w:marBottom w:val="0"/>
      <w:divBdr>
        <w:top w:val="none" w:sz="0" w:space="0" w:color="auto"/>
        <w:left w:val="none" w:sz="0" w:space="0" w:color="auto"/>
        <w:bottom w:val="none" w:sz="0" w:space="0" w:color="auto"/>
        <w:right w:val="none" w:sz="0" w:space="0" w:color="auto"/>
      </w:divBdr>
    </w:div>
    <w:div w:id="1286427122">
      <w:bodyDiv w:val="1"/>
      <w:marLeft w:val="0"/>
      <w:marRight w:val="0"/>
      <w:marTop w:val="0"/>
      <w:marBottom w:val="0"/>
      <w:divBdr>
        <w:top w:val="none" w:sz="0" w:space="0" w:color="auto"/>
        <w:left w:val="none" w:sz="0" w:space="0" w:color="auto"/>
        <w:bottom w:val="none" w:sz="0" w:space="0" w:color="auto"/>
        <w:right w:val="none" w:sz="0" w:space="0" w:color="auto"/>
      </w:divBdr>
    </w:div>
    <w:div w:id="1327586229">
      <w:bodyDiv w:val="1"/>
      <w:marLeft w:val="0"/>
      <w:marRight w:val="0"/>
      <w:marTop w:val="0"/>
      <w:marBottom w:val="0"/>
      <w:divBdr>
        <w:top w:val="none" w:sz="0" w:space="0" w:color="auto"/>
        <w:left w:val="none" w:sz="0" w:space="0" w:color="auto"/>
        <w:bottom w:val="none" w:sz="0" w:space="0" w:color="auto"/>
        <w:right w:val="none" w:sz="0" w:space="0" w:color="auto"/>
      </w:divBdr>
    </w:div>
    <w:div w:id="1364211815">
      <w:bodyDiv w:val="1"/>
      <w:marLeft w:val="0"/>
      <w:marRight w:val="0"/>
      <w:marTop w:val="0"/>
      <w:marBottom w:val="0"/>
      <w:divBdr>
        <w:top w:val="none" w:sz="0" w:space="0" w:color="auto"/>
        <w:left w:val="none" w:sz="0" w:space="0" w:color="auto"/>
        <w:bottom w:val="none" w:sz="0" w:space="0" w:color="auto"/>
        <w:right w:val="none" w:sz="0" w:space="0" w:color="auto"/>
      </w:divBdr>
    </w:div>
    <w:div w:id="1557084816">
      <w:bodyDiv w:val="1"/>
      <w:marLeft w:val="0"/>
      <w:marRight w:val="0"/>
      <w:marTop w:val="0"/>
      <w:marBottom w:val="0"/>
      <w:divBdr>
        <w:top w:val="none" w:sz="0" w:space="0" w:color="auto"/>
        <w:left w:val="none" w:sz="0" w:space="0" w:color="auto"/>
        <w:bottom w:val="none" w:sz="0" w:space="0" w:color="auto"/>
        <w:right w:val="none" w:sz="0" w:space="0" w:color="auto"/>
      </w:divBdr>
    </w:div>
    <w:div w:id="1667126676">
      <w:bodyDiv w:val="1"/>
      <w:marLeft w:val="0"/>
      <w:marRight w:val="0"/>
      <w:marTop w:val="0"/>
      <w:marBottom w:val="0"/>
      <w:divBdr>
        <w:top w:val="none" w:sz="0" w:space="0" w:color="auto"/>
        <w:left w:val="none" w:sz="0" w:space="0" w:color="auto"/>
        <w:bottom w:val="none" w:sz="0" w:space="0" w:color="auto"/>
        <w:right w:val="none" w:sz="0" w:space="0" w:color="auto"/>
      </w:divBdr>
    </w:div>
    <w:div w:id="1729375727">
      <w:bodyDiv w:val="1"/>
      <w:marLeft w:val="0"/>
      <w:marRight w:val="0"/>
      <w:marTop w:val="0"/>
      <w:marBottom w:val="0"/>
      <w:divBdr>
        <w:top w:val="none" w:sz="0" w:space="0" w:color="auto"/>
        <w:left w:val="none" w:sz="0" w:space="0" w:color="auto"/>
        <w:bottom w:val="none" w:sz="0" w:space="0" w:color="auto"/>
        <w:right w:val="none" w:sz="0" w:space="0" w:color="auto"/>
      </w:divBdr>
    </w:div>
    <w:div w:id="1814638873">
      <w:bodyDiv w:val="1"/>
      <w:marLeft w:val="0"/>
      <w:marRight w:val="0"/>
      <w:marTop w:val="0"/>
      <w:marBottom w:val="0"/>
      <w:divBdr>
        <w:top w:val="none" w:sz="0" w:space="0" w:color="auto"/>
        <w:left w:val="none" w:sz="0" w:space="0" w:color="auto"/>
        <w:bottom w:val="none" w:sz="0" w:space="0" w:color="auto"/>
        <w:right w:val="none" w:sz="0" w:space="0" w:color="auto"/>
      </w:divBdr>
    </w:div>
    <w:div w:id="1889996950">
      <w:bodyDiv w:val="1"/>
      <w:marLeft w:val="0"/>
      <w:marRight w:val="0"/>
      <w:marTop w:val="0"/>
      <w:marBottom w:val="0"/>
      <w:divBdr>
        <w:top w:val="none" w:sz="0" w:space="0" w:color="auto"/>
        <w:left w:val="none" w:sz="0" w:space="0" w:color="auto"/>
        <w:bottom w:val="none" w:sz="0" w:space="0" w:color="auto"/>
        <w:right w:val="none" w:sz="0" w:space="0" w:color="auto"/>
      </w:divBdr>
    </w:div>
    <w:div w:id="1917934416">
      <w:bodyDiv w:val="1"/>
      <w:marLeft w:val="0"/>
      <w:marRight w:val="0"/>
      <w:marTop w:val="0"/>
      <w:marBottom w:val="0"/>
      <w:divBdr>
        <w:top w:val="none" w:sz="0" w:space="0" w:color="auto"/>
        <w:left w:val="none" w:sz="0" w:space="0" w:color="auto"/>
        <w:bottom w:val="none" w:sz="0" w:space="0" w:color="auto"/>
        <w:right w:val="none" w:sz="0" w:space="0" w:color="auto"/>
      </w:divBdr>
    </w:div>
    <w:div w:id="1927686576">
      <w:bodyDiv w:val="1"/>
      <w:marLeft w:val="0"/>
      <w:marRight w:val="0"/>
      <w:marTop w:val="0"/>
      <w:marBottom w:val="0"/>
      <w:divBdr>
        <w:top w:val="none" w:sz="0" w:space="0" w:color="auto"/>
        <w:left w:val="none" w:sz="0" w:space="0" w:color="auto"/>
        <w:bottom w:val="none" w:sz="0" w:space="0" w:color="auto"/>
        <w:right w:val="none" w:sz="0" w:space="0" w:color="auto"/>
      </w:divBdr>
    </w:div>
    <w:div w:id="1960526390">
      <w:bodyDiv w:val="1"/>
      <w:marLeft w:val="0"/>
      <w:marRight w:val="0"/>
      <w:marTop w:val="0"/>
      <w:marBottom w:val="0"/>
      <w:divBdr>
        <w:top w:val="none" w:sz="0" w:space="0" w:color="auto"/>
        <w:left w:val="none" w:sz="0" w:space="0" w:color="auto"/>
        <w:bottom w:val="none" w:sz="0" w:space="0" w:color="auto"/>
        <w:right w:val="none" w:sz="0" w:space="0" w:color="auto"/>
      </w:divBdr>
    </w:div>
    <w:div w:id="2031563631">
      <w:bodyDiv w:val="1"/>
      <w:marLeft w:val="0"/>
      <w:marRight w:val="0"/>
      <w:marTop w:val="0"/>
      <w:marBottom w:val="0"/>
      <w:divBdr>
        <w:top w:val="none" w:sz="0" w:space="0" w:color="auto"/>
        <w:left w:val="none" w:sz="0" w:space="0" w:color="auto"/>
        <w:bottom w:val="none" w:sz="0" w:space="0" w:color="auto"/>
        <w:right w:val="none" w:sz="0" w:space="0" w:color="auto"/>
      </w:divBdr>
    </w:div>
    <w:div w:id="211308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b452.shinyapps.io/overlap/"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DA32DB-E5B8-4E32-AD11-08F2E668867B}">
  <ds:schemaRefs>
    <ds:schemaRef ds:uri="http://schemas.openxmlformats.org/officeDocument/2006/bibliography"/>
  </ds:schemaRefs>
</ds:datastoreItem>
</file>

<file path=customXml/itemProps2.xml><?xml version="1.0" encoding="utf-8"?>
<ds:datastoreItem xmlns:ds="http://schemas.openxmlformats.org/officeDocument/2006/customXml" ds:itemID="{A9898B61-61B7-44F1-9388-8B27875B1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d8916-a04a-483c-b38c-baf9957a1c5f"/>
    <ds:schemaRef ds:uri="697eed72-5420-4f01-93c1-7c9f4310e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F20111-77FD-4F18-8E31-D737874646AB}">
  <ds:schemaRefs>
    <ds:schemaRef ds:uri="http://schemas.microsoft.com/sharepoint/v3/contenttype/forms"/>
  </ds:schemaRefs>
</ds:datastoreItem>
</file>

<file path=customXml/itemProps4.xml><?xml version="1.0" encoding="utf-8"?>
<ds:datastoreItem xmlns:ds="http://schemas.openxmlformats.org/officeDocument/2006/customXml" ds:itemID="{9FB0931C-FCE2-4CC4-80DE-15614B41F1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26</Pages>
  <Words>54135</Words>
  <Characters>308575</Characters>
  <Application>Microsoft Office Word</Application>
  <DocSecurity>0</DocSecurity>
  <Lines>2571</Lines>
  <Paragraphs>723</Paragraphs>
  <ScaleCrop>false</ScaleCrop>
  <HeadingPairs>
    <vt:vector size="2" baseType="variant">
      <vt:variant>
        <vt:lpstr>Title</vt:lpstr>
      </vt:variant>
      <vt:variant>
        <vt:i4>1</vt:i4>
      </vt:variant>
    </vt:vector>
  </HeadingPairs>
  <TitlesOfParts>
    <vt:vector size="1" baseType="lpstr">
      <vt:lpstr/>
    </vt:vector>
  </TitlesOfParts>
  <Company>University of Bern</Company>
  <LinksUpToDate>false</LinksUpToDate>
  <CharactersWithSpaces>361987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Whitesell, Veronika (ISPM)</dc:creator>
  <cp:keywords/>
  <dc:description/>
  <cp:lastModifiedBy>Kai Du</cp:lastModifiedBy>
  <cp:revision>4</cp:revision>
  <cp:lastPrinted>2021-09-28T07:08:00Z</cp:lastPrinted>
  <dcterms:created xsi:type="dcterms:W3CDTF">2022-04-07T08:09:00Z</dcterms:created>
  <dcterms:modified xsi:type="dcterms:W3CDTF">2024-05-30T14:28:00Z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ies>
</file>