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7BD42" w14:textId="21B9B1BF" w:rsidR="00B35271" w:rsidRDefault="00B35271" w:rsidP="00B35271">
      <w:pPr>
        <w:pStyle w:val="a9"/>
        <w:spacing w:line="360" w:lineRule="auto"/>
        <w:rPr>
          <w:rFonts w:ascii="Times New Roman" w:hAnsi="Times New Roman" w:cs="Times New Roman"/>
          <w:sz w:val="28"/>
        </w:rPr>
      </w:pPr>
      <w:bookmarkStart w:id="0" w:name="_GoBack"/>
      <w:bookmarkEnd w:id="0"/>
      <w:r>
        <w:rPr>
          <w:rFonts w:ascii="Times New Roman" w:hAnsi="Times New Roman" w:cs="Times New Roman" w:hint="eastAsia"/>
          <w:sz w:val="28"/>
        </w:rPr>
        <w:t>Supporting Information</w:t>
      </w:r>
    </w:p>
    <w:p w14:paraId="3B438511" w14:textId="77777777" w:rsidR="00286ABC" w:rsidRPr="00F31982" w:rsidRDefault="00286ABC" w:rsidP="00286ABC">
      <w:pPr>
        <w:pStyle w:val="a9"/>
        <w:spacing w:line="360" w:lineRule="auto"/>
        <w:jc w:val="both"/>
        <w:rPr>
          <w:rFonts w:ascii="Times New Roman" w:hAnsi="Times New Roman" w:cs="Times New Roman"/>
          <w:sz w:val="28"/>
          <w:szCs w:val="28"/>
        </w:rPr>
      </w:pPr>
      <w:r w:rsidRPr="00F31982">
        <w:rPr>
          <w:rFonts w:ascii="Times New Roman" w:hAnsi="Times New Roman" w:cs="Times New Roman"/>
          <w:sz w:val="28"/>
          <w:szCs w:val="28"/>
        </w:rPr>
        <w:t xml:space="preserve">Precise Generation of Conformational Ensembles for Intrinsically Disordered Proteins </w:t>
      </w:r>
      <w:r w:rsidRPr="00607D14">
        <w:rPr>
          <w:rFonts w:ascii="Times New Roman" w:hAnsi="Times New Roman" w:cs="Times New Roman"/>
          <w:i/>
          <w:sz w:val="28"/>
          <w:szCs w:val="28"/>
        </w:rPr>
        <w:t>via</w:t>
      </w:r>
      <w:r w:rsidRPr="00F31982">
        <w:rPr>
          <w:rFonts w:ascii="Times New Roman" w:hAnsi="Times New Roman" w:cs="Times New Roman"/>
          <w:sz w:val="28"/>
          <w:szCs w:val="28"/>
        </w:rPr>
        <w:t xml:space="preserve"> Fine-tuned Diffusion Models</w:t>
      </w:r>
    </w:p>
    <w:p w14:paraId="749C6DAD" w14:textId="51236CA7" w:rsidR="00B35271" w:rsidRPr="00D32236" w:rsidRDefault="00B35271" w:rsidP="00B35271">
      <w:pPr>
        <w:jc w:val="center"/>
        <w:rPr>
          <w:rFonts w:ascii="Times New Roman" w:eastAsia="Times New Roman" w:hAnsi="Times New Roman" w:cs="Times New Roman"/>
          <w:sz w:val="24"/>
          <w:szCs w:val="24"/>
        </w:rPr>
      </w:pPr>
      <w:proofErr w:type="spellStart"/>
      <w:r w:rsidRPr="00D32236">
        <w:rPr>
          <w:rFonts w:ascii="Times New Roman" w:eastAsia="Times New Roman" w:hAnsi="Times New Roman" w:cs="Times New Roman"/>
          <w:sz w:val="24"/>
          <w:szCs w:val="24"/>
        </w:rPr>
        <w:t>J</w:t>
      </w:r>
      <w:r w:rsidRPr="00D32236">
        <w:rPr>
          <w:rFonts w:ascii="Times New Roman" w:eastAsia="Times New Roman" w:hAnsi="Times New Roman" w:cs="Times New Roman" w:hint="eastAsia"/>
          <w:sz w:val="24"/>
          <w:szCs w:val="24"/>
        </w:rPr>
        <w:t>unjie</w:t>
      </w:r>
      <w:proofErr w:type="spellEnd"/>
      <w:r w:rsidRPr="00D32236">
        <w:rPr>
          <w:rFonts w:ascii="Times New Roman" w:eastAsia="Times New Roman" w:hAnsi="Times New Roman" w:cs="Times New Roman"/>
          <w:sz w:val="24"/>
          <w:szCs w:val="24"/>
        </w:rPr>
        <w:t xml:space="preserve"> Z</w:t>
      </w:r>
      <w:r w:rsidRPr="00D32236">
        <w:rPr>
          <w:rFonts w:ascii="Times New Roman" w:eastAsia="Times New Roman" w:hAnsi="Times New Roman" w:cs="Times New Roman" w:hint="eastAsia"/>
          <w:sz w:val="24"/>
          <w:szCs w:val="24"/>
        </w:rPr>
        <w:t>hu</w:t>
      </w:r>
      <w:proofErr w:type="gramStart"/>
      <w:r w:rsidRPr="00631ED8">
        <w:rPr>
          <w:rFonts w:ascii="Times New Roman" w:eastAsia="Times New Roman" w:hAnsi="Times New Roman" w:cs="Times New Roman"/>
          <w:sz w:val="24"/>
          <w:szCs w:val="24"/>
          <w:vertAlign w:val="superscript"/>
        </w:rPr>
        <w:t>1,</w:t>
      </w:r>
      <w:r w:rsidRPr="00D32236">
        <w:rPr>
          <w:rFonts w:ascii="Times New Roman" w:eastAsia="Times New Roman" w:hAnsi="Times New Roman" w:cs="Times New Roman"/>
          <w:sz w:val="24"/>
          <w:szCs w:val="24"/>
          <w:vertAlign w:val="superscript"/>
        </w:rPr>
        <w:t>#</w:t>
      </w:r>
      <w:proofErr w:type="gramEnd"/>
      <w:r w:rsidRPr="00D32236">
        <w:rPr>
          <w:rFonts w:ascii="Times New Roman" w:eastAsia="Times New Roman" w:hAnsi="Times New Roman" w:cs="Times New Roman" w:hint="eastAsia"/>
          <w:sz w:val="24"/>
          <w:szCs w:val="24"/>
        </w:rPr>
        <w:t>,</w:t>
      </w:r>
      <w:r w:rsidRPr="00D32236">
        <w:rPr>
          <w:rFonts w:ascii="Times New Roman" w:eastAsia="Times New Roman" w:hAnsi="Times New Roman" w:cs="Times New Roman"/>
          <w:sz w:val="24"/>
          <w:szCs w:val="24"/>
        </w:rPr>
        <w:t xml:space="preserve"> </w:t>
      </w:r>
      <w:proofErr w:type="spellStart"/>
      <w:r w:rsidRPr="00D32236">
        <w:rPr>
          <w:rFonts w:ascii="Times New Roman" w:eastAsia="Times New Roman" w:hAnsi="Times New Roman" w:cs="Times New Roman"/>
          <w:sz w:val="24"/>
          <w:szCs w:val="24"/>
        </w:rPr>
        <w:t>Zhengxin</w:t>
      </w:r>
      <w:proofErr w:type="spellEnd"/>
      <w:r w:rsidRPr="00D32236">
        <w:rPr>
          <w:rFonts w:ascii="Times New Roman" w:eastAsia="Times New Roman" w:hAnsi="Times New Roman" w:cs="Times New Roman"/>
          <w:sz w:val="24"/>
          <w:szCs w:val="24"/>
        </w:rPr>
        <w:t xml:space="preserve"> Li</w:t>
      </w:r>
      <w:r w:rsidRPr="00631ED8">
        <w:rPr>
          <w:rFonts w:ascii="Times New Roman" w:eastAsia="Times New Roman" w:hAnsi="Times New Roman" w:cs="Times New Roman"/>
          <w:sz w:val="24"/>
          <w:szCs w:val="24"/>
          <w:vertAlign w:val="superscript"/>
        </w:rPr>
        <w:t>1,</w:t>
      </w:r>
      <w:r>
        <w:rPr>
          <w:rFonts w:ascii="Times New Roman" w:hAnsi="Times New Roman" w:cs="Times New Roman" w:hint="eastAsia"/>
          <w:sz w:val="24"/>
          <w:szCs w:val="24"/>
          <w:vertAlign w:val="superscript"/>
        </w:rPr>
        <w:t>#</w:t>
      </w:r>
      <w:r w:rsidRPr="00D32236">
        <w:rPr>
          <w:rFonts w:ascii="Times New Roman" w:eastAsia="Times New Roman" w:hAnsi="Times New Roman" w:cs="Times New Roman"/>
          <w:sz w:val="24"/>
          <w:szCs w:val="24"/>
        </w:rPr>
        <w:t>,</w:t>
      </w:r>
      <w:r>
        <w:rPr>
          <w:rFonts w:ascii="Times New Roman" w:hAnsi="Times New Roman" w:cs="Times New Roman" w:hint="eastAsia"/>
          <w:sz w:val="24"/>
          <w:szCs w:val="24"/>
        </w:rPr>
        <w:t xml:space="preserve"> </w:t>
      </w:r>
      <w:proofErr w:type="spellStart"/>
      <w:r w:rsidR="00BC24CB">
        <w:rPr>
          <w:rFonts w:ascii="Times New Roman" w:hAnsi="Times New Roman" w:cs="Times New Roman" w:hint="eastAsia"/>
          <w:sz w:val="24"/>
          <w:szCs w:val="24"/>
        </w:rPr>
        <w:t>Zhuoqi</w:t>
      </w:r>
      <w:proofErr w:type="spellEnd"/>
      <w:r w:rsidR="00BC24CB">
        <w:rPr>
          <w:rFonts w:ascii="Times New Roman" w:hAnsi="Times New Roman" w:cs="Times New Roman" w:hint="eastAsia"/>
          <w:sz w:val="24"/>
          <w:szCs w:val="24"/>
        </w:rPr>
        <w:t xml:space="preserve"> Zheng</w:t>
      </w:r>
      <w:r w:rsidR="00BC24CB" w:rsidRPr="00BD16C6">
        <w:rPr>
          <w:rFonts w:ascii="Times New Roman" w:hAnsi="Times New Roman" w:cs="Times New Roman" w:hint="eastAsia"/>
          <w:sz w:val="24"/>
          <w:szCs w:val="24"/>
          <w:vertAlign w:val="superscript"/>
        </w:rPr>
        <w:t>1</w:t>
      </w:r>
      <w:r w:rsidR="00BC24CB">
        <w:rPr>
          <w:rFonts w:ascii="Times New Roman" w:hAnsi="Times New Roman" w:cs="Times New Roman" w:hint="eastAsia"/>
          <w:sz w:val="24"/>
          <w:szCs w:val="24"/>
        </w:rPr>
        <w:t xml:space="preserve">, </w:t>
      </w:r>
      <w:r>
        <w:rPr>
          <w:rFonts w:ascii="Times New Roman" w:hAnsi="Times New Roman" w:cs="Times New Roman" w:hint="eastAsia"/>
          <w:sz w:val="24"/>
          <w:szCs w:val="24"/>
        </w:rPr>
        <w:t>Bo Zhang</w:t>
      </w:r>
      <w:r w:rsidRPr="00DD2F5E">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Bozitao</w:t>
      </w:r>
      <w:proofErr w:type="spellEnd"/>
      <w:r>
        <w:rPr>
          <w:rFonts w:ascii="Times New Roman" w:hAnsi="Times New Roman" w:cs="Times New Roman" w:hint="eastAsia"/>
          <w:sz w:val="24"/>
          <w:szCs w:val="24"/>
        </w:rPr>
        <w:t xml:space="preserve"> Zhong</w:t>
      </w:r>
      <w:r w:rsidRPr="00BD16C6">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Jie</w:t>
      </w:r>
      <w:proofErr w:type="spellEnd"/>
      <w:r>
        <w:rPr>
          <w:rFonts w:ascii="Times New Roman" w:hAnsi="Times New Roman" w:cs="Times New Roman" w:hint="eastAsia"/>
          <w:sz w:val="24"/>
          <w:szCs w:val="24"/>
        </w:rPr>
        <w:t xml:space="preserve"> Bai</w:t>
      </w:r>
      <w:r w:rsidRPr="00DD2F5E">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Taifeng</w:t>
      </w:r>
      <w:proofErr w:type="spellEnd"/>
      <w:r>
        <w:rPr>
          <w:rFonts w:ascii="Times New Roman" w:hAnsi="Times New Roman" w:cs="Times New Roman" w:hint="eastAsia"/>
          <w:sz w:val="24"/>
          <w:szCs w:val="24"/>
        </w:rPr>
        <w:t xml:space="preserve"> Wang</w:t>
      </w:r>
      <w:r w:rsidRPr="00EE3449">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Ting Wei</w:t>
      </w:r>
      <w:r w:rsidRPr="00EE3449">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eastAsia="Times New Roman" w:hAnsi="Times New Roman" w:cs="Times New Roman"/>
          <w:sz w:val="24"/>
          <w:szCs w:val="24"/>
        </w:rPr>
        <w:t>Jianyi</w:t>
      </w:r>
      <w:proofErr w:type="spellEnd"/>
      <w:r>
        <w:rPr>
          <w:rFonts w:ascii="Times New Roman" w:eastAsia="Times New Roman" w:hAnsi="Times New Roman" w:cs="Times New Roman"/>
          <w:sz w:val="24"/>
          <w:szCs w:val="24"/>
        </w:rPr>
        <w:t xml:space="preserve"> Yang</w:t>
      </w:r>
      <w:r>
        <w:rPr>
          <w:rFonts w:ascii="Times New Roman" w:hAnsi="Times New Roman" w:cs="Times New Roman" w:hint="eastAsia"/>
          <w:sz w:val="24"/>
          <w:szCs w:val="24"/>
          <w:vertAlign w:val="superscript"/>
        </w:rPr>
        <w:t>3</w:t>
      </w:r>
      <w:r w:rsidRPr="00631ED8">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sidRPr="00D32236">
        <w:rPr>
          <w:rFonts w:ascii="Times New Roman" w:eastAsia="Times New Roman" w:hAnsi="Times New Roman" w:cs="Times New Roman"/>
          <w:sz w:val="24"/>
          <w:szCs w:val="24"/>
        </w:rPr>
        <w:t>Hai-Feng Chen</w:t>
      </w:r>
      <w:r w:rsidRPr="00631ED8">
        <w:rPr>
          <w:rFonts w:ascii="Times New Roman" w:eastAsia="Times New Roman" w:hAnsi="Times New Roman" w:cs="Times New Roman"/>
          <w:sz w:val="24"/>
          <w:szCs w:val="24"/>
          <w:vertAlign w:val="superscript"/>
        </w:rPr>
        <w:t>1,*</w:t>
      </w:r>
    </w:p>
    <w:p w14:paraId="302882FB" w14:textId="77777777" w:rsidR="00B35271" w:rsidRDefault="00B35271" w:rsidP="00B35271">
      <w:pPr>
        <w:spacing w:line="360" w:lineRule="auto"/>
        <w:rPr>
          <w:rFonts w:ascii="Times New Roman" w:hAnsi="Times New Roman" w:cs="Times New Roman"/>
          <w:sz w:val="24"/>
          <w:szCs w:val="24"/>
        </w:rPr>
      </w:pPr>
      <w:r w:rsidRPr="00631ED8">
        <w:rPr>
          <w:rFonts w:ascii="Times New Roman" w:eastAsia="Times New Roman" w:hAnsi="Times New Roman" w:cs="Times New Roman"/>
          <w:sz w:val="24"/>
          <w:szCs w:val="24"/>
          <w:vertAlign w:val="superscript"/>
        </w:rPr>
        <w:t>1</w:t>
      </w:r>
      <w:r w:rsidRPr="00D32236">
        <w:rPr>
          <w:rFonts w:ascii="Times New Roman" w:eastAsia="Times New Roman" w:hAnsi="Times New Roman" w:cs="Times New Roman"/>
          <w:sz w:val="24"/>
          <w:szCs w:val="24"/>
        </w:rPr>
        <w:t>State Key Laboratory of Microbial Metabolism, Department of Bioinformatics and Biostatistics, SJTU-Yale Joint Center for Biostatistics, National Experimental Teaching Center for Life Sciences and Biotechnology, School of Life Sciences and Biotechnology, Shanghai Jiao Tong University, 200240, Shanghai, China.</w:t>
      </w:r>
    </w:p>
    <w:p w14:paraId="1D3597D9" w14:textId="4EE71697" w:rsidR="00B35271" w:rsidRPr="00960881" w:rsidRDefault="00B35271" w:rsidP="00B35271">
      <w:pPr>
        <w:spacing w:line="360" w:lineRule="auto"/>
        <w:jc w:val="left"/>
        <w:rPr>
          <w:rFonts w:ascii="Times New Roman" w:hAnsi="Times New Roman" w:cs="Times New Roman"/>
          <w:sz w:val="24"/>
          <w:szCs w:val="24"/>
        </w:rPr>
      </w:pPr>
      <w:r w:rsidRPr="00960881">
        <w:rPr>
          <w:rFonts w:ascii="Times New Roman" w:hAnsi="Times New Roman" w:cs="Times New Roman"/>
          <w:sz w:val="24"/>
          <w:szCs w:val="24"/>
          <w:vertAlign w:val="superscript"/>
        </w:rPr>
        <w:t>2</w:t>
      </w:r>
      <w:r w:rsidRPr="00960881">
        <w:rPr>
          <w:rFonts w:ascii="Times New Roman" w:hAnsi="Times New Roman" w:cs="Times New Roman"/>
          <w:sz w:val="24"/>
          <w:szCs w:val="24"/>
        </w:rPr>
        <w:t>BioMap,</w:t>
      </w:r>
      <w:r w:rsidRPr="00457E38">
        <w:rPr>
          <w:rFonts w:ascii="Times New Roman" w:hAnsi="Times New Roman" w:cs="Times New Roman"/>
          <w:sz w:val="24"/>
          <w:szCs w:val="24"/>
          <w:shd w:val="clear" w:color="auto" w:fill="FFFFFF"/>
        </w:rPr>
        <w:t xml:space="preserve">10 </w:t>
      </w:r>
      <w:proofErr w:type="spellStart"/>
      <w:r w:rsidRPr="00457E38">
        <w:rPr>
          <w:rFonts w:ascii="Times New Roman" w:hAnsi="Times New Roman" w:cs="Times New Roman"/>
          <w:sz w:val="24"/>
          <w:szCs w:val="24"/>
          <w:shd w:val="clear" w:color="auto" w:fill="FFFFFF"/>
        </w:rPr>
        <w:t>Beilun</w:t>
      </w:r>
      <w:proofErr w:type="spellEnd"/>
      <w:r w:rsidRPr="00457E38">
        <w:rPr>
          <w:rFonts w:ascii="Times New Roman" w:hAnsi="Times New Roman" w:cs="Times New Roman"/>
          <w:sz w:val="24"/>
          <w:szCs w:val="24"/>
          <w:shd w:val="clear" w:color="auto" w:fill="FFFFFF"/>
        </w:rPr>
        <w:t xml:space="preserve"> Industrial Park, </w:t>
      </w:r>
      <w:proofErr w:type="spellStart"/>
      <w:r w:rsidRPr="00457E38">
        <w:rPr>
          <w:rFonts w:ascii="Times New Roman" w:hAnsi="Times New Roman" w:cs="Times New Roman"/>
          <w:sz w:val="24"/>
          <w:szCs w:val="24"/>
          <w:shd w:val="clear" w:color="auto" w:fill="FFFFFF"/>
        </w:rPr>
        <w:t>Yongteng</w:t>
      </w:r>
      <w:proofErr w:type="spellEnd"/>
      <w:r w:rsidRPr="00457E38">
        <w:rPr>
          <w:rFonts w:ascii="Times New Roman" w:hAnsi="Times New Roman" w:cs="Times New Roman"/>
          <w:sz w:val="24"/>
          <w:szCs w:val="24"/>
          <w:shd w:val="clear" w:color="auto" w:fill="FFFFFF"/>
        </w:rPr>
        <w:t xml:space="preserve"> North Road, </w:t>
      </w:r>
      <w:r w:rsidR="00F24AC7">
        <w:rPr>
          <w:rFonts w:ascii="Times New Roman" w:hAnsi="Times New Roman" w:cs="Times New Roman" w:hint="eastAsia"/>
          <w:sz w:val="24"/>
          <w:szCs w:val="24"/>
          <w:shd w:val="clear" w:color="auto" w:fill="FFFFFF"/>
        </w:rPr>
        <w:t>100080</w:t>
      </w:r>
      <w:r w:rsidRPr="00457E38">
        <w:rPr>
          <w:rFonts w:ascii="Times New Roman" w:hAnsi="Times New Roman" w:cs="Times New Roman"/>
          <w:sz w:val="24"/>
          <w:szCs w:val="24"/>
          <w:shd w:val="clear" w:color="auto" w:fill="FFFFFF"/>
        </w:rPr>
        <w:t>, Beijing, China</w:t>
      </w:r>
      <w:r>
        <w:rPr>
          <w:rFonts w:ascii="Times New Roman" w:hAnsi="Times New Roman" w:cs="Times New Roman"/>
          <w:sz w:val="24"/>
          <w:szCs w:val="24"/>
          <w:shd w:val="clear" w:color="auto" w:fill="FFFFFF"/>
        </w:rPr>
        <w:t>.</w:t>
      </w:r>
      <w:r w:rsidRPr="00960881">
        <w:rPr>
          <w:rFonts w:ascii="Times New Roman" w:hAnsi="Times New Roman" w:cs="Times New Roman"/>
          <w:sz w:val="24"/>
          <w:szCs w:val="24"/>
        </w:rPr>
        <w:t xml:space="preserve"> </w:t>
      </w:r>
    </w:p>
    <w:p w14:paraId="2C0F304E" w14:textId="788B3BD9" w:rsidR="00B35271" w:rsidRPr="00631ED8" w:rsidRDefault="00B35271" w:rsidP="00B35271">
      <w:pPr>
        <w:spacing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3</w:t>
      </w:r>
      <w:r w:rsidRPr="00631ED8">
        <w:rPr>
          <w:rFonts w:ascii="Times New Roman" w:eastAsia="Times New Roman" w:hAnsi="Times New Roman" w:cs="Times New Roman"/>
          <w:sz w:val="24"/>
          <w:szCs w:val="24"/>
        </w:rPr>
        <w:t xml:space="preserve">MOE Frontiers Science Center for Nonlinear Expectations, Research Center for Mathematics and Interdisciplinary Sciences, Shandong University, 266237, </w:t>
      </w:r>
      <w:r w:rsidR="00F24AC7" w:rsidRPr="00631ED8">
        <w:rPr>
          <w:rFonts w:ascii="Times New Roman" w:eastAsia="Times New Roman" w:hAnsi="Times New Roman" w:cs="Times New Roman"/>
          <w:sz w:val="24"/>
          <w:szCs w:val="24"/>
        </w:rPr>
        <w:t>Qingdao</w:t>
      </w:r>
      <w:r w:rsidR="00F24AC7">
        <w:rPr>
          <w:rFonts w:ascii="Times New Roman" w:hAnsi="Times New Roman" w:cs="Times New Roman" w:hint="eastAsia"/>
          <w:sz w:val="24"/>
          <w:szCs w:val="24"/>
        </w:rPr>
        <w:t xml:space="preserve">, </w:t>
      </w:r>
      <w:r w:rsidRPr="00631ED8">
        <w:rPr>
          <w:rFonts w:ascii="Times New Roman" w:eastAsia="Times New Roman" w:hAnsi="Times New Roman" w:cs="Times New Roman"/>
          <w:sz w:val="24"/>
          <w:szCs w:val="24"/>
        </w:rPr>
        <w:t>China</w:t>
      </w:r>
      <w:r>
        <w:rPr>
          <w:rFonts w:ascii="AdvOT0c200bf0" w:hAnsi="AdvOT0c200bf0"/>
          <w:color w:val="000000"/>
          <w:sz w:val="15"/>
          <w:szCs w:val="15"/>
        </w:rPr>
        <w:t>.</w:t>
      </w:r>
    </w:p>
    <w:p w14:paraId="5DBCFD52" w14:textId="77777777" w:rsidR="00B35271" w:rsidRPr="00EE3449" w:rsidRDefault="00B35271" w:rsidP="00B35271">
      <w:pPr>
        <w:spacing w:line="360" w:lineRule="auto"/>
        <w:rPr>
          <w:rFonts w:ascii="Times New Roman" w:eastAsia="Times New Roman" w:hAnsi="Times New Roman" w:cs="Times New Roman"/>
          <w:sz w:val="24"/>
          <w:szCs w:val="24"/>
        </w:rPr>
      </w:pPr>
    </w:p>
    <w:p w14:paraId="364F1C97" w14:textId="77777777" w:rsidR="00B35271" w:rsidRPr="00D32236" w:rsidRDefault="00B35271" w:rsidP="00B35271">
      <w:pPr>
        <w:spacing w:line="360" w:lineRule="auto"/>
        <w:rPr>
          <w:rFonts w:ascii="Times New Roman" w:eastAsia="等线" w:hAnsi="Times New Roman" w:cs="Times New Roman"/>
          <w:sz w:val="24"/>
          <w:szCs w:val="24"/>
        </w:rPr>
      </w:pPr>
    </w:p>
    <w:p w14:paraId="1408929E" w14:textId="77777777" w:rsidR="00B35271" w:rsidRPr="00D32236" w:rsidRDefault="00B35271" w:rsidP="00B35271">
      <w:pPr>
        <w:spacing w:line="360" w:lineRule="auto"/>
        <w:rPr>
          <w:rFonts w:ascii="Times New Roman" w:eastAsia="等线" w:hAnsi="Times New Roman" w:cs="Times New Roman"/>
          <w:sz w:val="24"/>
          <w:szCs w:val="24"/>
        </w:rPr>
      </w:pPr>
    </w:p>
    <w:p w14:paraId="27ED6EFF" w14:textId="77777777" w:rsidR="00B35271" w:rsidRPr="00D32236" w:rsidRDefault="00B35271" w:rsidP="00B35271">
      <w:pPr>
        <w:spacing w:line="360" w:lineRule="auto"/>
        <w:rPr>
          <w:rFonts w:ascii="Times New Roman" w:eastAsia="等线" w:hAnsi="Times New Roman" w:cs="Times New Roman"/>
          <w:sz w:val="24"/>
          <w:szCs w:val="24"/>
        </w:rPr>
      </w:pPr>
    </w:p>
    <w:p w14:paraId="5AC7FDEF" w14:textId="77777777" w:rsidR="00B35271" w:rsidRPr="00D32236" w:rsidRDefault="00B35271" w:rsidP="00B35271">
      <w:pPr>
        <w:tabs>
          <w:tab w:val="left" w:pos="1526"/>
        </w:tabs>
        <w:spacing w:line="360" w:lineRule="auto"/>
        <w:rPr>
          <w:rFonts w:ascii="Times New Roman" w:eastAsia="等线" w:hAnsi="Times New Roman" w:cs="Times New Roman"/>
          <w:sz w:val="24"/>
          <w:szCs w:val="24"/>
        </w:rPr>
      </w:pPr>
    </w:p>
    <w:p w14:paraId="456596BC" w14:textId="77777777" w:rsidR="00B35271" w:rsidRPr="00D32236" w:rsidRDefault="00B35271" w:rsidP="00B35271">
      <w:pPr>
        <w:spacing w:line="360" w:lineRule="auto"/>
        <w:rPr>
          <w:rFonts w:ascii="Times New Roman" w:eastAsia="等线" w:hAnsi="Times New Roman" w:cs="Times New Roman"/>
          <w:sz w:val="24"/>
          <w:szCs w:val="24"/>
        </w:rPr>
      </w:pPr>
    </w:p>
    <w:p w14:paraId="65548D20" w14:textId="77777777" w:rsidR="00B35271" w:rsidRPr="00D32236" w:rsidRDefault="00B35271" w:rsidP="00B35271">
      <w:pPr>
        <w:spacing w:line="360" w:lineRule="auto"/>
        <w:rPr>
          <w:rFonts w:ascii="Times New Roman" w:eastAsia="等线" w:hAnsi="Times New Roman" w:cs="Times New Roman"/>
          <w:sz w:val="24"/>
          <w:szCs w:val="24"/>
        </w:rPr>
      </w:pPr>
    </w:p>
    <w:p w14:paraId="77B6F4DD" w14:textId="77777777" w:rsidR="00B35271" w:rsidRPr="00D32236" w:rsidRDefault="00B35271" w:rsidP="00B35271">
      <w:pPr>
        <w:spacing w:line="273" w:lineRule="auto"/>
        <w:rPr>
          <w:rFonts w:ascii="Times New Roman" w:eastAsia="等线" w:hAnsi="Times New Roman" w:cs="Times New Roman"/>
          <w:b/>
          <w:sz w:val="24"/>
          <w:szCs w:val="24"/>
        </w:rPr>
      </w:pPr>
      <w:r w:rsidRPr="00D32236">
        <w:rPr>
          <w:rFonts w:ascii="Times New Roman" w:eastAsia="等线" w:hAnsi="Times New Roman" w:cs="Times New Roman"/>
          <w:b/>
          <w:sz w:val="24"/>
          <w:szCs w:val="24"/>
        </w:rPr>
        <w:t>*Corresponding Author</w:t>
      </w:r>
    </w:p>
    <w:p w14:paraId="40DCC63C" w14:textId="35276712" w:rsidR="00B35271" w:rsidRPr="00D32236" w:rsidRDefault="00B35271" w:rsidP="00B35271">
      <w:pPr>
        <w:snapToGrid w:val="0"/>
        <w:rPr>
          <w:rFonts w:ascii="Times New Roman" w:eastAsia="等线" w:hAnsi="Times New Roman" w:cs="Times New Roman"/>
          <w:sz w:val="24"/>
          <w:szCs w:val="24"/>
        </w:rPr>
      </w:pPr>
      <w:r w:rsidRPr="00D32236">
        <w:rPr>
          <w:rFonts w:ascii="Times New Roman" w:eastAsia="等线" w:hAnsi="Times New Roman" w:cs="Times New Roman"/>
          <w:b/>
          <w:sz w:val="24"/>
          <w:szCs w:val="24"/>
        </w:rPr>
        <w:t>Email</w:t>
      </w:r>
      <w:r w:rsidRPr="00D32236">
        <w:rPr>
          <w:rFonts w:ascii="Times New Roman" w:eastAsia="等线" w:hAnsi="Times New Roman" w:cs="Times New Roman"/>
          <w:sz w:val="24"/>
          <w:szCs w:val="24"/>
        </w:rPr>
        <w:t xml:space="preserve">: </w:t>
      </w:r>
      <w:r w:rsidR="00635905" w:rsidRPr="00635905">
        <w:rPr>
          <w:rFonts w:ascii="Times New Roman" w:eastAsia="等线" w:hAnsi="Times New Roman" w:cs="Times New Roman"/>
          <w:sz w:val="24"/>
          <w:szCs w:val="24"/>
        </w:rPr>
        <w:t>haifengchen@sjtu.edu.cn</w:t>
      </w:r>
      <w:r w:rsidR="00635905">
        <w:rPr>
          <w:rFonts w:ascii="Times New Roman" w:eastAsia="等线" w:hAnsi="Times New Roman" w:cs="Times New Roman" w:hint="eastAsia"/>
          <w:sz w:val="24"/>
          <w:szCs w:val="24"/>
        </w:rPr>
        <w:t xml:space="preserve">; </w:t>
      </w:r>
      <w:hyperlink r:id="rId6" w:history="1">
        <w:r w:rsidR="00B05B0C" w:rsidRPr="00157C6C">
          <w:rPr>
            <w:rStyle w:val="ab"/>
            <w:rFonts w:ascii="Times New Roman" w:eastAsia="等线" w:hAnsi="Times New Roman" w:cs="Times New Roman"/>
            <w:sz w:val="24"/>
            <w:szCs w:val="24"/>
          </w:rPr>
          <w:t>yangjy@sdu.edu.cn</w:t>
        </w:r>
      </w:hyperlink>
      <w:r w:rsidR="00B05B0C">
        <w:rPr>
          <w:rFonts w:ascii="Times New Roman" w:eastAsia="等线" w:hAnsi="Times New Roman" w:cs="Times New Roman"/>
          <w:sz w:val="24"/>
          <w:szCs w:val="24"/>
        </w:rPr>
        <w:t>; weitinging@sjtu.edu.cn;</w:t>
      </w:r>
      <w:r w:rsidR="00B05B0C" w:rsidRPr="00635905">
        <w:rPr>
          <w:rFonts w:ascii="Times New Roman" w:eastAsia="等线" w:hAnsi="Times New Roman" w:cs="Times New Roman"/>
          <w:sz w:val="24"/>
          <w:szCs w:val="24"/>
        </w:rPr>
        <w:t xml:space="preserve"> </w:t>
      </w:r>
      <w:r w:rsidR="00635905" w:rsidRPr="00635905">
        <w:rPr>
          <w:rFonts w:ascii="Times New Roman" w:eastAsia="等线" w:hAnsi="Times New Roman" w:cs="Times New Roman"/>
          <w:sz w:val="24"/>
          <w:szCs w:val="24"/>
        </w:rPr>
        <w:t>taifeng@biomap.com</w:t>
      </w:r>
    </w:p>
    <w:p w14:paraId="70ADC0B0" w14:textId="77777777" w:rsidR="00B35271" w:rsidRPr="00D32236" w:rsidRDefault="00B35271" w:rsidP="00B35271">
      <w:pPr>
        <w:snapToGrid w:val="0"/>
        <w:rPr>
          <w:rFonts w:ascii="Times New Roman" w:eastAsia="等线" w:hAnsi="Times New Roman" w:cs="Times New Roman"/>
          <w:sz w:val="24"/>
          <w:szCs w:val="24"/>
        </w:rPr>
      </w:pPr>
    </w:p>
    <w:p w14:paraId="54C6186C" w14:textId="77777777" w:rsidR="00B35271" w:rsidRPr="00D32236" w:rsidRDefault="00B35271" w:rsidP="00B35271">
      <w:pPr>
        <w:autoSpaceDE w:val="0"/>
        <w:autoSpaceDN w:val="0"/>
        <w:adjustRightInd w:val="0"/>
        <w:snapToGrid w:val="0"/>
        <w:rPr>
          <w:rFonts w:ascii="Times New Roman" w:eastAsia="等线" w:hAnsi="Times New Roman" w:cs="Times New Roman"/>
          <w:sz w:val="24"/>
          <w:szCs w:val="24"/>
        </w:rPr>
      </w:pPr>
      <w:r w:rsidRPr="00D32236">
        <w:rPr>
          <w:rFonts w:ascii="Times New Roman" w:eastAsia="等线" w:hAnsi="Times New Roman" w:cs="Times New Roman"/>
          <w:sz w:val="24"/>
          <w:szCs w:val="24"/>
        </w:rPr>
        <w:t xml:space="preserve"> </w:t>
      </w:r>
    </w:p>
    <w:p w14:paraId="4EA3C412" w14:textId="77777777" w:rsidR="00B35271" w:rsidRPr="00D32236" w:rsidRDefault="00B35271" w:rsidP="00B35271">
      <w:pPr>
        <w:snapToGrid w:val="0"/>
        <w:rPr>
          <w:rFonts w:ascii="Times New Roman" w:eastAsia="等线" w:hAnsi="Times New Roman" w:cs="Times New Roman"/>
          <w:b/>
          <w:sz w:val="24"/>
          <w:szCs w:val="24"/>
        </w:rPr>
      </w:pPr>
      <w:r w:rsidRPr="00D32236">
        <w:rPr>
          <w:rFonts w:ascii="Times New Roman" w:eastAsia="等线" w:hAnsi="Times New Roman" w:cs="Times New Roman"/>
          <w:b/>
          <w:sz w:val="24"/>
          <w:szCs w:val="24"/>
        </w:rPr>
        <w:t>Notes</w:t>
      </w:r>
    </w:p>
    <w:p w14:paraId="7BA5C266" w14:textId="77777777" w:rsidR="00B35271" w:rsidRPr="00D32236" w:rsidRDefault="00B35271" w:rsidP="00B35271">
      <w:pPr>
        <w:spacing w:line="360" w:lineRule="auto"/>
        <w:rPr>
          <w:rFonts w:ascii="Times New Roman" w:eastAsia="Times New Roman" w:hAnsi="Times New Roman" w:cs="Times New Roman"/>
          <w:sz w:val="24"/>
          <w:szCs w:val="24"/>
        </w:rPr>
      </w:pPr>
      <w:r w:rsidRPr="00D32236">
        <w:rPr>
          <w:rFonts w:ascii="Times New Roman" w:eastAsia="Times New Roman" w:hAnsi="Times New Roman" w:cs="Times New Roman"/>
          <w:sz w:val="24"/>
          <w:szCs w:val="24"/>
        </w:rPr>
        <w:t>The authors declare that there is no conflict of interest.</w:t>
      </w:r>
    </w:p>
    <w:p w14:paraId="211FB76C" w14:textId="77777777" w:rsidR="00B35271" w:rsidRPr="00D32236" w:rsidRDefault="00B35271" w:rsidP="00B35271">
      <w:pPr>
        <w:spacing w:line="360" w:lineRule="auto"/>
        <w:rPr>
          <w:rFonts w:ascii="Times New Roman" w:eastAsia="等线" w:hAnsi="Times New Roman" w:cs="Times New Roman"/>
          <w:sz w:val="24"/>
          <w:szCs w:val="24"/>
        </w:rPr>
      </w:pPr>
      <w:r w:rsidRPr="00D32236">
        <w:rPr>
          <w:rFonts w:ascii="Times New Roman" w:eastAsia="等线" w:hAnsi="Times New Roman" w:cs="Times New Roman"/>
          <w:sz w:val="24"/>
          <w:szCs w:val="24"/>
        </w:rPr>
        <w:t xml:space="preserve"> </w:t>
      </w:r>
    </w:p>
    <w:p w14:paraId="58CC6128" w14:textId="77777777" w:rsidR="00B35271" w:rsidRPr="00D32236" w:rsidRDefault="00B35271" w:rsidP="00B35271">
      <w:pPr>
        <w:spacing w:line="360" w:lineRule="auto"/>
        <w:rPr>
          <w:rFonts w:ascii="Times New Roman" w:eastAsia="等线" w:hAnsi="Times New Roman" w:cs="Times New Roman"/>
          <w:b/>
          <w:sz w:val="24"/>
          <w:szCs w:val="24"/>
        </w:rPr>
      </w:pPr>
      <w:r w:rsidRPr="00D32236">
        <w:rPr>
          <w:rFonts w:ascii="Times New Roman" w:eastAsia="等线" w:hAnsi="Times New Roman" w:cs="Times New Roman"/>
          <w:b/>
          <w:sz w:val="24"/>
          <w:szCs w:val="24"/>
        </w:rPr>
        <w:t>Author Contributions</w:t>
      </w:r>
    </w:p>
    <w:p w14:paraId="7FCE3715" w14:textId="38EA85BE" w:rsidR="00B35271" w:rsidRPr="00B35271" w:rsidRDefault="00B35271" w:rsidP="00B35271">
      <w:pPr>
        <w:spacing w:line="360" w:lineRule="auto"/>
        <w:rPr>
          <w:rFonts w:ascii="Times New Roman" w:eastAsia="等线" w:hAnsi="Times New Roman" w:cs="Times New Roman"/>
          <w:sz w:val="24"/>
          <w:szCs w:val="24"/>
        </w:rPr>
      </w:pPr>
      <w:bookmarkStart w:id="1" w:name="OLE_LINK12"/>
      <w:bookmarkStart w:id="2" w:name="OLE_LINK11"/>
      <w:bookmarkEnd w:id="1"/>
      <w:r w:rsidRPr="00D32236">
        <w:rPr>
          <w:rFonts w:ascii="Times New Roman" w:eastAsia="等线" w:hAnsi="Times New Roman" w:cs="Times New Roman"/>
          <w:sz w:val="24"/>
          <w:szCs w:val="24"/>
          <w:vertAlign w:val="superscript"/>
        </w:rPr>
        <w:t>#</w:t>
      </w:r>
      <w:bookmarkEnd w:id="2"/>
      <w:r w:rsidRPr="00D32236">
        <w:rPr>
          <w:rFonts w:ascii="Times New Roman" w:eastAsia="等线" w:hAnsi="Times New Roman" w:cs="Times New Roman"/>
          <w:sz w:val="24"/>
          <w:szCs w:val="24"/>
        </w:rPr>
        <w:t>These authors contributed equally to this work.</w:t>
      </w:r>
    </w:p>
    <w:p w14:paraId="06D1E67A" w14:textId="43A9E219" w:rsidR="00B35271" w:rsidRDefault="00B35271">
      <w:pPr>
        <w:widowControl/>
        <w:jc w:val="left"/>
        <w:rPr>
          <w:rFonts w:ascii="Times New Roman" w:hAnsi="Times New Roman" w:cs="Times New Roman"/>
          <w:b/>
          <w:bCs/>
          <w:sz w:val="24"/>
          <w:szCs w:val="28"/>
        </w:rPr>
      </w:pPr>
    </w:p>
    <w:p w14:paraId="5CABBD3D" w14:textId="337E514B" w:rsidR="00E33712" w:rsidRPr="00D32C7F" w:rsidRDefault="002520CC" w:rsidP="00D32C7F">
      <w:pPr>
        <w:spacing w:line="360" w:lineRule="auto"/>
        <w:rPr>
          <w:rFonts w:ascii="Times New Roman" w:hAnsi="Times New Roman" w:cs="Times New Roman"/>
          <w:b/>
          <w:bCs/>
          <w:sz w:val="24"/>
          <w:szCs w:val="28"/>
        </w:rPr>
      </w:pPr>
      <w:r w:rsidRPr="00D32C7F">
        <w:rPr>
          <w:rFonts w:ascii="Times New Roman" w:hAnsi="Times New Roman" w:cs="Times New Roman"/>
          <w:b/>
          <w:bCs/>
          <w:sz w:val="24"/>
          <w:szCs w:val="28"/>
        </w:rPr>
        <w:t>Table S1.</w:t>
      </w:r>
      <w:r w:rsidR="00D32C7F">
        <w:rPr>
          <w:rFonts w:ascii="Times New Roman" w:hAnsi="Times New Roman" w:cs="Times New Roman" w:hint="eastAsia"/>
          <w:b/>
          <w:bCs/>
          <w:sz w:val="24"/>
          <w:szCs w:val="28"/>
        </w:rPr>
        <w:t xml:space="preserve"> </w:t>
      </w:r>
      <w:r w:rsidR="00D32C7F" w:rsidRPr="00D32C7F">
        <w:rPr>
          <w:rFonts w:ascii="Times New Roman" w:hAnsi="Times New Roman" w:cs="Times New Roman" w:hint="eastAsia"/>
          <w:sz w:val="24"/>
          <w:szCs w:val="28"/>
        </w:rPr>
        <w:t>IDP systems</w:t>
      </w:r>
      <w:r w:rsidR="00D32C7F">
        <w:rPr>
          <w:rFonts w:ascii="Times New Roman" w:hAnsi="Times New Roman" w:cs="Times New Roman" w:hint="eastAsia"/>
          <w:sz w:val="24"/>
          <w:szCs w:val="28"/>
        </w:rPr>
        <w:t xml:space="preserve"> in test set, </w:t>
      </w:r>
      <m:oMath>
        <m:sSubSup>
          <m:sSubSupPr>
            <m:ctrlPr>
              <w:rPr>
                <w:rFonts w:ascii="Cambria Math" w:hAnsi="Cambria Math" w:cs="Times New Roman"/>
                <w:i/>
                <w:sz w:val="24"/>
                <w:szCs w:val="28"/>
              </w:rPr>
            </m:ctrlPr>
          </m:sSubSupPr>
          <m:e>
            <m:r>
              <w:rPr>
                <w:rFonts w:ascii="Cambria Math" w:hAnsi="Cambria Math" w:cs="Times New Roman"/>
                <w:sz w:val="24"/>
                <w:szCs w:val="28"/>
              </w:rPr>
              <m:t>R</m:t>
            </m:r>
          </m:e>
          <m:sub>
            <m:r>
              <w:rPr>
                <w:rFonts w:ascii="Cambria Math" w:hAnsi="Cambria Math" w:cs="Times New Roman"/>
                <w:sz w:val="24"/>
                <w:szCs w:val="28"/>
              </w:rPr>
              <m:t>g</m:t>
            </m:r>
          </m:sub>
          <m:sup>
            <m:r>
              <w:rPr>
                <w:rFonts w:ascii="Cambria Math" w:hAnsi="Cambria Math" w:cs="Times New Roman"/>
                <w:sz w:val="24"/>
                <w:szCs w:val="28"/>
              </w:rPr>
              <m:t>exp</m:t>
            </m:r>
          </m:sup>
        </m:sSubSup>
      </m:oMath>
      <w:r w:rsidR="00D32C7F">
        <w:rPr>
          <w:rFonts w:ascii="Times New Roman" w:hAnsi="Times New Roman" w:cs="Times New Roman" w:hint="eastAsia"/>
          <w:sz w:val="24"/>
          <w:szCs w:val="28"/>
        </w:rPr>
        <w:t xml:space="preserve"> and experimental chemical shifts. A</w:t>
      </w:r>
      <w:r w:rsidR="00D32C7F" w:rsidRPr="00D32C7F">
        <w:rPr>
          <w:rFonts w:ascii="Times New Roman" w:hAnsi="Times New Roman" w:cs="Times New Roman"/>
          <w:sz w:val="24"/>
          <w:szCs w:val="28"/>
        </w:rPr>
        <w:t>bbreviated form</w:t>
      </w:r>
      <w:r w:rsidR="0056265C">
        <w:rPr>
          <w:rFonts w:ascii="Times New Roman" w:hAnsi="Times New Roman" w:cs="Times New Roman"/>
          <w:sz w:val="24"/>
          <w:szCs w:val="28"/>
        </w:rPr>
        <w:t>s</w:t>
      </w:r>
      <w:r w:rsidR="00D32C7F">
        <w:rPr>
          <w:rFonts w:ascii="Times New Roman" w:hAnsi="Times New Roman" w:cs="Times New Roman" w:hint="eastAsia"/>
          <w:sz w:val="24"/>
          <w:szCs w:val="28"/>
        </w:rPr>
        <w:t xml:space="preserve"> of long system names </w:t>
      </w:r>
      <w:r w:rsidR="0056265C">
        <w:rPr>
          <w:rFonts w:ascii="Times New Roman" w:hAnsi="Times New Roman" w:cs="Times New Roman"/>
          <w:sz w:val="24"/>
          <w:szCs w:val="28"/>
        </w:rPr>
        <w:t>are</w:t>
      </w:r>
      <w:r w:rsidR="00D32C7F">
        <w:rPr>
          <w:rFonts w:ascii="Times New Roman" w:hAnsi="Times New Roman" w:cs="Times New Roman" w:hint="eastAsia"/>
          <w:sz w:val="24"/>
          <w:szCs w:val="28"/>
        </w:rPr>
        <w:t xml:space="preserve"> </w:t>
      </w:r>
      <w:r w:rsidR="001E0507">
        <w:rPr>
          <w:rFonts w:ascii="Times New Roman" w:hAnsi="Times New Roman" w:cs="Times New Roman" w:hint="eastAsia"/>
          <w:sz w:val="24"/>
          <w:szCs w:val="28"/>
        </w:rPr>
        <w:t>marked</w:t>
      </w:r>
      <w:r w:rsidR="00D32C7F">
        <w:rPr>
          <w:rFonts w:ascii="Times New Roman" w:hAnsi="Times New Roman" w:cs="Times New Roman" w:hint="eastAsia"/>
          <w:sz w:val="24"/>
          <w:szCs w:val="28"/>
        </w:rPr>
        <w:t xml:space="preserve"> </w:t>
      </w:r>
      <w:r w:rsidR="001E0507">
        <w:rPr>
          <w:rFonts w:ascii="Times New Roman" w:hAnsi="Times New Roman" w:cs="Times New Roman" w:hint="eastAsia"/>
          <w:sz w:val="24"/>
          <w:szCs w:val="28"/>
        </w:rPr>
        <w:t>in bold</w:t>
      </w:r>
      <w:r w:rsidR="00D32C7F" w:rsidRPr="007553F9">
        <w:rPr>
          <w:rFonts w:ascii="Times New Roman" w:hAnsi="Times New Roman" w:cs="Times New Roman" w:hint="eastAsia"/>
          <w:sz w:val="24"/>
          <w:szCs w:val="28"/>
        </w:rPr>
        <w:t>.</w:t>
      </w:r>
    </w:p>
    <w:tbl>
      <w:tblPr>
        <w:tblStyle w:val="a7"/>
        <w:tblW w:w="0" w:type="auto"/>
        <w:tblLook w:val="04A0" w:firstRow="1" w:lastRow="0" w:firstColumn="1" w:lastColumn="0" w:noHBand="0" w:noVBand="1"/>
      </w:tblPr>
      <w:tblGrid>
        <w:gridCol w:w="2765"/>
        <w:gridCol w:w="2765"/>
        <w:gridCol w:w="2766"/>
      </w:tblGrid>
      <w:tr w:rsidR="002520CC" w14:paraId="3ABF42D0" w14:textId="77777777" w:rsidTr="002520CC">
        <w:tc>
          <w:tcPr>
            <w:tcW w:w="2765" w:type="dxa"/>
            <w:tcBorders>
              <w:top w:val="single" w:sz="8" w:space="0" w:color="auto"/>
              <w:left w:val="nil"/>
              <w:bottom w:val="single" w:sz="8" w:space="0" w:color="auto"/>
              <w:right w:val="nil"/>
            </w:tcBorders>
            <w:vAlign w:val="center"/>
          </w:tcPr>
          <w:p w14:paraId="6971A6C2" w14:textId="77777777" w:rsidR="002520CC" w:rsidRDefault="002520CC" w:rsidP="002520CC">
            <w:pPr>
              <w:spacing w:beforeLines="25" w:before="78" w:afterLines="25" w:after="78"/>
              <w:jc w:val="center"/>
            </w:pPr>
            <w:r w:rsidRPr="00AC53C0">
              <w:rPr>
                <w:rFonts w:ascii="Times New Roman" w:hAnsi="Times New Roman" w:cs="Times New Roman" w:hint="eastAsia"/>
                <w:b/>
                <w:bCs/>
                <w:sz w:val="24"/>
                <w:szCs w:val="28"/>
              </w:rPr>
              <w:t>System</w:t>
            </w:r>
          </w:p>
        </w:tc>
        <w:bookmarkStart w:id="3" w:name="_Hlk164877909"/>
        <w:tc>
          <w:tcPr>
            <w:tcW w:w="2765" w:type="dxa"/>
            <w:tcBorders>
              <w:top w:val="single" w:sz="8" w:space="0" w:color="auto"/>
              <w:left w:val="nil"/>
              <w:bottom w:val="single" w:sz="8" w:space="0" w:color="auto"/>
              <w:right w:val="nil"/>
            </w:tcBorders>
            <w:vAlign w:val="center"/>
          </w:tcPr>
          <w:p w14:paraId="48175211" w14:textId="77777777" w:rsidR="002520CC" w:rsidRPr="00AC53C0" w:rsidRDefault="00A93DA8" w:rsidP="002520CC">
            <w:pPr>
              <w:spacing w:beforeLines="25" w:before="78" w:afterLines="25" w:after="78"/>
              <w:jc w:val="center"/>
              <w:rPr>
                <w:b/>
                <w:bCs/>
              </w:rPr>
            </w:pPr>
            <m:oMathPara>
              <m:oMath>
                <m:sSubSup>
                  <m:sSubSupPr>
                    <m:ctrlPr>
                      <w:rPr>
                        <w:rFonts w:ascii="Cambria Math" w:hAnsi="Cambria Math"/>
                        <w:b/>
                        <w:bCs/>
                        <w:i/>
                      </w:rPr>
                    </m:ctrlPr>
                  </m:sSubSupPr>
                  <m:e>
                    <m:r>
                      <m:rPr>
                        <m:sty m:val="bi"/>
                      </m:rPr>
                      <w:rPr>
                        <w:rFonts w:ascii="Cambria Math" w:hAnsi="Cambria Math"/>
                      </w:rPr>
                      <m:t>R</m:t>
                    </m:r>
                  </m:e>
                  <m:sub>
                    <m:r>
                      <m:rPr>
                        <m:sty m:val="bi"/>
                      </m:rPr>
                      <w:rPr>
                        <w:rFonts w:ascii="Cambria Math" w:hAnsi="Cambria Math"/>
                      </w:rPr>
                      <m:t>g</m:t>
                    </m:r>
                  </m:sub>
                  <m:sup>
                    <m:r>
                      <m:rPr>
                        <m:sty m:val="bi"/>
                      </m:rPr>
                      <w:rPr>
                        <w:rFonts w:ascii="Cambria Math" w:hAnsi="Cambria Math"/>
                      </w:rPr>
                      <m:t>exp</m:t>
                    </m:r>
                  </m:sup>
                </m:sSubSup>
              </m:oMath>
            </m:oMathPara>
            <w:bookmarkEnd w:id="3"/>
          </w:p>
        </w:tc>
        <w:tc>
          <w:tcPr>
            <w:tcW w:w="2766" w:type="dxa"/>
            <w:tcBorders>
              <w:top w:val="single" w:sz="8" w:space="0" w:color="auto"/>
              <w:left w:val="nil"/>
              <w:bottom w:val="single" w:sz="8" w:space="0" w:color="auto"/>
              <w:right w:val="nil"/>
            </w:tcBorders>
            <w:vAlign w:val="center"/>
          </w:tcPr>
          <w:p w14:paraId="41B43E1A" w14:textId="77777777" w:rsidR="002520CC" w:rsidRDefault="002520CC" w:rsidP="002520CC">
            <w:pPr>
              <w:spacing w:beforeLines="25" w:before="78" w:afterLines="25" w:after="78"/>
              <w:jc w:val="center"/>
            </w:pPr>
            <w:r w:rsidRPr="00AC53C0">
              <w:rPr>
                <w:rFonts w:ascii="Times New Roman" w:hAnsi="Times New Roman" w:cs="Times New Roman" w:hint="eastAsia"/>
                <w:b/>
                <w:bCs/>
                <w:sz w:val="24"/>
                <w:szCs w:val="28"/>
              </w:rPr>
              <w:t>Chemical Shift</w:t>
            </w:r>
          </w:p>
        </w:tc>
      </w:tr>
      <w:tr w:rsidR="002520CC" w14:paraId="56407B1E" w14:textId="77777777" w:rsidTr="002520CC">
        <w:tc>
          <w:tcPr>
            <w:tcW w:w="2765" w:type="dxa"/>
            <w:tcBorders>
              <w:top w:val="single" w:sz="8" w:space="0" w:color="auto"/>
              <w:left w:val="nil"/>
              <w:bottom w:val="nil"/>
              <w:right w:val="nil"/>
            </w:tcBorders>
            <w:vAlign w:val="center"/>
          </w:tcPr>
          <w:p w14:paraId="5672F775"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Sic1</w:t>
            </w:r>
          </w:p>
        </w:tc>
        <w:tc>
          <w:tcPr>
            <w:tcW w:w="2765" w:type="dxa"/>
            <w:tcBorders>
              <w:top w:val="single" w:sz="8" w:space="0" w:color="auto"/>
              <w:left w:val="nil"/>
              <w:bottom w:val="nil"/>
              <w:right w:val="nil"/>
            </w:tcBorders>
            <w:vAlign w:val="center"/>
          </w:tcPr>
          <w:p w14:paraId="138C31CD" w14:textId="04532235"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34.7</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{"citationID":"aHo51ycK","properties":{"formattedCitation":"\\super 1\\nosupersub{}","plainCitation":"1","noteIndex":0},"citationItems":[{"id":217,"uris":["http://zotero.org/users/14054239/items/GZ2HAKK9"],"itemData":{"id":217,"type":"article-journal","abstract":"Intrinsically disordered proteins can form highly dynamic complexes with partner proteins. One such dynamic complex involves the intrinsically disordered Sic1 with its partner Cdc4 in regulation of yeast cell cycle progression. Phosphorylation of six N-terminal Sic1 sites leads to equilibrium engagement of each phosphorylation site with the primary binding pocket in Cdc4, the substrate recognition subunit of a ubiquitin ligase. ENSEMBLE calculations using experimental nuclear magnetic resonance and small-angle X-ray scattering data reveal significant transient structure in both phosphorylation states of the isolated ensembles (Sic1 and pSic1) that modulates their electrostatic potential, suggesting a structural basis for the proposed strong contribution of electrostatics to binding. A structural model of the dynamic pSic1-Cdc4 complex demonstrates the spatial arrangements in the ubiquitin ligase complex. These results provide a physical picture of a protein that is predominantly disordered in both its free and bound states, enabling aspects of its structure/function relationship to be elucidated.","container-title":"Structure","DOI":"10.1016/j.str.2010.01.020","ISSN":"0969-2126","issue":"4","journalAbbreviation":"Structure","language":"en","page":"494-506","source":"ScienceDirect","title":"Structure/Function Implications in a Dynamic Complex of the Intrinsically Disordered Sic1 with the Cdc4 Subunit of an SCF Ubiquitin Ligase","volume":"18","author":[{"family":"Mittag","given":"Tanja"},{"family":"Marsh","given":"Joseph"},{"family":"Grishaev","given":"Alexander"},{"family":"Orlicky","given":"Stephen"},{"family":"Lin","given":"Hong"},{"family":"Sicheri","given":"Frank"},{"family":"Tyers","given":"Mike"},{"family":"Forman-Kay","given":"Julie D."}],"issued":{"date-parts":[["2010",3,14]]}}}],"schema":"https://github.com/citation-style-language/schema/raw/master/csl-citation.json"}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w:t>
            </w:r>
            <w:r w:rsidR="00296CBE">
              <w:rPr>
                <w:rFonts w:ascii="Times New Roman" w:hAnsi="Times New Roman" w:cs="Times New Roman"/>
              </w:rPr>
              <w:fldChar w:fldCharType="end"/>
            </w:r>
          </w:p>
        </w:tc>
        <w:tc>
          <w:tcPr>
            <w:tcW w:w="2766" w:type="dxa"/>
            <w:tcBorders>
              <w:top w:val="single" w:sz="8" w:space="0" w:color="auto"/>
              <w:left w:val="nil"/>
              <w:bottom w:val="nil"/>
              <w:right w:val="nil"/>
            </w:tcBorders>
            <w:vAlign w:val="center"/>
          </w:tcPr>
          <w:p w14:paraId="045F4757" w14:textId="312F8408" w:rsidR="002520CC" w:rsidRPr="00AC53C0" w:rsidRDefault="00A93DA8" w:rsidP="002520CC">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51438A">
              <w:rPr>
                <w:rFonts w:ascii="Times New Roman" w:hAnsi="Times New Roman" w:cs="Times New Roman" w:hint="eastAsia"/>
              </w:rPr>
              <w:t xml:space="preserve"> chemical shifts</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{"citationID":"GtEtvZBW","properties":{"formattedCitation":"\\super 1\\nosupersub{}","plainCitation":"1","noteIndex":0},"citationItems":[{"id":217,"uris":["http://zotero.org/users/14054239/items/GZ2HAKK9"],"itemData":{"id":217,"type":"article-journal","abstract":"Intrinsically disordered proteins can form highly dynamic complexes with partner proteins. One such dynamic complex involves the intrinsically disordered Sic1 with its partner Cdc4 in regulation of yeast cell cycle progression. Phosphorylation of six N-terminal Sic1 sites leads to equilibrium engagement of each phosphorylation site with the primary binding pocket in Cdc4, the substrate recognition subunit of a ubiquitin ligase. ENSEMBLE calculations using experimental nuclear magnetic resonance and small-angle X-ray scattering data reveal significant transient structure in both phosphorylation states of the isolated ensembles (Sic1 and pSic1) that modulates their electrostatic potential, suggesting a structural basis for the proposed strong contribution of electrostatics to binding. A structural model of the dynamic pSic1-Cdc4 complex demonstrates the spatial arrangements in the ubiquitin ligase complex. These results provide a physical picture of a protein that is predominantly disordered in both its free and bound states, enabling aspects of its structure/function relationship to be elucidated.","container-title":"Structure","DOI":"10.1016/j.str.2010.01.020","ISSN":"0969-2126","issue":"4","journalAbbreviation":"Structure","language":"en","page":"494-506","source":"ScienceDirect","title":"Structure/Function Implications in a Dynamic Complex of the Intrinsically Disordered Sic1 with the Cdc4 Subunit of an SCF Ubiquitin Ligase","volume":"18","author":[{"family":"Mittag","given":"Tanja"},{"family":"Marsh","given":"Joseph"},{"family":"Grishaev","given":"Alexander"},{"family":"Orlicky","given":"Stephen"},{"family":"Lin","given":"Hong"},{"family":"Sicheri","given":"Frank"},{"family":"Tyers","given":"Mike"},{"family":"Forman-Kay","given":"Julie D."}],"issued":{"date-parts":[["2010",3,14]]}}}],"schema":"https://github.com/citation-style-language/schema/raw/master/csl-citation.json"}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w:t>
            </w:r>
            <w:r w:rsidR="00296CBE">
              <w:rPr>
                <w:rFonts w:ascii="Times New Roman" w:hAnsi="Times New Roman" w:cs="Times New Roman"/>
              </w:rPr>
              <w:fldChar w:fldCharType="end"/>
            </w:r>
          </w:p>
        </w:tc>
      </w:tr>
      <w:tr w:rsidR="002520CC" w14:paraId="0C326703" w14:textId="77777777" w:rsidTr="00252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02C015AE"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Aβ</w:t>
            </w:r>
            <w:r>
              <w:rPr>
                <w:rFonts w:ascii="Times New Roman" w:hAnsi="Times New Roman" w:cs="Times New Roman" w:hint="eastAsia"/>
              </w:rPr>
              <w:t xml:space="preserve"> </w:t>
            </w:r>
            <w:r w:rsidRPr="00AC53C0">
              <w:rPr>
                <w:rFonts w:ascii="Times New Roman" w:hAnsi="Times New Roman" w:cs="Times New Roman"/>
              </w:rPr>
              <w:t>42</w:t>
            </w:r>
          </w:p>
        </w:tc>
        <w:tc>
          <w:tcPr>
            <w:tcW w:w="2765" w:type="dxa"/>
            <w:vAlign w:val="center"/>
          </w:tcPr>
          <w:p w14:paraId="1E0C5748" w14:textId="1D05907A"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12.4</w:t>
            </w:r>
            <w:r w:rsidR="002D73E1">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{"citationID":"tZFrbRhE","properties":{"formattedCitation":"\\super 2\\nosupersub{}","plainCitation":"2","noteIndex":0},"citationItems":[{"id":176,"uris":["http://zotero.org/users/14054239/items/8FC37CSE"],"itemData":{"id":176,"type":"article-journal","abstract":"The free energy landscape theory has been very successful in rationalizing the folding behaviour of globular proteins, as this representation provides intuitive information on the number of states involved in the folding process, their populations and pathways of interconversion. We extend here this formalism to the case of the Aβ40 peptide, a 40-residue intrinsically disordered protein fragment associated with Alzheimer’s disease. By using an advanced sampling technique that enables free energy calculations to reach convergence also in the case of highly disordered states of proteins, we provide a precise structural characterization of the free energy landscape of this peptide. We find that such landscape has inverted features with respect to those typical of folded proteins. While the global free energy minimum consists of highly disordered structures, higher free energy regions correspond to a large variety of transiently structured conformations with secondary structure elements arranged in several different manners and are not separated from each other by sizeable free energy barriers. From this peculiar structure of the free energy landscape we predict that this peptide should become more structured and not only more compact, with increasing temperatures and we show that this is the case through a series of biophysical measurements.","container-title":"Scientific Reports","DOI":"10.1038/srep15449","ISSN":"2045-2322","issue":"1","journalAbbreviation":"Sci Rep","language":"en","license":"2015 The Author(s)","note":"publisher: Nature Publishing Group","page":"15449","source":"www.nature.com","title":"The inverted free energy landscape of an intrinsically disordered peptide by simulations and experiments","volume":"5","author":[{"family":"Granata","given":"Daniele"},{"family":"Baftizadeh","given":"Fahimeh"},{"family":"Habchi","given":"Johnny"},{"family":"Galvagnion","given":"Celine"},{"family":"De Simone","given":"Alfonso"},{"family":"Camilloni","given":"Carlo"},{"family":"Laio","given":"Alessandro"},{"family":"Vendruscolo","given":"Michele"}],"issued":{"date-parts":[["2015",10,26]]}}}],"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w:t>
            </w:r>
            <w:r w:rsidR="002D73E1">
              <w:rPr>
                <w:rFonts w:ascii="Times New Roman" w:hAnsi="Times New Roman" w:cs="Times New Roman"/>
              </w:rPr>
              <w:fldChar w:fldCharType="end"/>
            </w:r>
          </w:p>
        </w:tc>
        <w:tc>
          <w:tcPr>
            <w:tcW w:w="2766" w:type="dxa"/>
            <w:vAlign w:val="center"/>
          </w:tcPr>
          <w:p w14:paraId="5A7D18EF" w14:textId="444566C1" w:rsidR="002520CC" w:rsidRPr="00AC53C0" w:rsidRDefault="00A93DA8" w:rsidP="002520CC">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51438A">
              <w:rPr>
                <w:rFonts w:ascii="Times New Roman" w:hAnsi="Times New Roman" w:cs="Times New Roman" w:hint="eastAsia"/>
              </w:rPr>
              <w:t xml:space="preserve"> chemical shifts</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{"citationID":"5Azv0EUl","properties":{"formattedCitation":"\\super 3\\nosupersub{}","plainCitation":"3","noteIndex":0},"citationItems":[{"id":174,"uris":["http://zotero.org/users/14054239/items/IKFPZCJ2"],"itemData":{"id":174,"type":"article-journal","abstract":"The pathogenesis of Alzheimer's disease is characterized by the aggregation and fibrillation of the 40-residue Aβ(1−40) and 42-residue Aβ(1−42) peptides into amyloid plaques. The structural changes associated with </w:instrText>
            </w:r>
            <w:r w:rsidR="006C6FD8">
              <w:rPr>
                <w:rFonts w:ascii="Times New Roman" w:hAnsi="Times New Roman" w:cs="Times New Roman" w:hint="eastAsia"/>
              </w:rPr>
              <w:instrText>the conversion of monomeric A</w:instrText>
            </w:r>
            <w:r w:rsidR="006C6FD8">
              <w:rPr>
                <w:rFonts w:ascii="Times New Roman" w:hAnsi="Times New Roman" w:cs="Times New Roman" w:hint="eastAsia"/>
              </w:rPr>
              <w:instrText>β</w:instrText>
            </w:r>
            <w:r w:rsidR="006C6FD8">
              <w:rPr>
                <w:rFonts w:ascii="Times New Roman" w:hAnsi="Times New Roman" w:cs="Times New Roman" w:hint="eastAsia"/>
              </w:rPr>
              <w:instrText xml:space="preserve"> peptide building blocks into multimeric fibrillar </w:instrText>
            </w:r>
            <w:r w:rsidR="006C6FD8">
              <w:rPr>
                <w:rFonts w:ascii="Times New Roman" w:hAnsi="Times New Roman" w:cs="Times New Roman" w:hint="eastAsia"/>
              </w:rPr>
              <w:instrText>β</w:instrText>
            </w:r>
            <w:r w:rsidR="006C6FD8">
              <w:rPr>
                <w:rFonts w:ascii="Times New Roman" w:hAnsi="Times New Roman" w:cs="Times New Roman" w:hint="eastAsia"/>
              </w:rPr>
              <w:instrText xml:space="preserve">-strand aggregates remain unknown. Recently, we established that oxidation of the methionine-35 side chain to the sulfoxide (Met35red </w:instrText>
            </w:r>
            <w:r w:rsidR="006C6FD8">
              <w:rPr>
                <w:rFonts w:ascii="Times New Roman" w:hAnsi="Times New Roman" w:cs="Times New Roman" w:hint="eastAsia"/>
              </w:rPr>
              <w:instrText>→</w:instrText>
            </w:r>
            <w:r w:rsidR="006C6FD8">
              <w:rPr>
                <w:rFonts w:ascii="Times New Roman" w:hAnsi="Times New Roman" w:cs="Times New Roman" w:hint="eastAsia"/>
              </w:rPr>
              <w:instrText xml:space="preserve"> Met35ox) significantly impedes the ra</w:instrText>
            </w:r>
            <w:r w:rsidR="006C6FD8">
              <w:rPr>
                <w:rFonts w:ascii="Times New Roman" w:hAnsi="Times New Roman" w:cs="Times New Roman"/>
              </w:rPr>
              <w:instrText xml:space="preserve">te of aggregation and fibrillation of the Aβ peptide. To explore this effect at greater resolution, we carefully compared the 1H, 15N, and 13C NMR chemical shifts of four Aβ peptides that had the Met35 reduced or oxidized (Aβ(1−40)Met35red, Aβ(1−40)Met35ox, Aβ(1−42)Met35red, and Aβ(1−42)Met35ox). With the use of a special disaggregation protocol, the highly aggregation prone Aβ peptides could be studied at higher, millimolar concentrations (as required by NMR) in aqueous solution at neutral pH, remaining largely monomeric at 5 °C as determined by sedimentation equilibrium studies. The NOE, amide-NH temperature coefficients, and chemical shift indices of the 1Hα, 13Cα, and 13Cβ established that the four peptides are largely random, extended chain structures, with the Met35ox reducing the propensity for β-strand structure at two hydrophobic regions (Leu17−Ala21 and Ile31−Val36), and turn- or bendlike structures at Asp7−Glu11 and Phe20−Ser26. Additional NMR studies monitoring changes that occur during aging at 37 °C established that, along with a gradual loss of signal/noise, the Met35ox significantly hindered upfield chemical shift movements of the 2H NMR signals for the His6, His13, and His14 side chains. Taken together, the present NMR studies demonstrate that the Met35red </w:instrText>
            </w:r>
            <w:r w:rsidR="006C6FD8">
              <w:rPr>
                <w:rFonts w:ascii="Times New Roman" w:hAnsi="Times New Roman" w:cs="Times New Roman" w:hint="eastAsia"/>
              </w:rPr>
              <w:instrText>→</w:instrText>
            </w:r>
            <w:r w:rsidR="006C6FD8">
              <w:rPr>
                <w:rFonts w:ascii="Times New Roman" w:hAnsi="Times New Roman" w:cs="Times New Roman"/>
              </w:rPr>
              <w:instrText xml:space="preserve"> Met35ox conversion prevents aggregation by reducing both hydrophobic and electrostatic association and that the Aβ(1−40)Met35red, Aβ(1−40)Met35ox, Aβ(1−42)Met35red, and Aβ(1−42)Met35ox peptides may associate differently, through specific, sharp changes in structure during the initial stages of aggregation.","container-title":"Journal of the American Chemical Society","DOI":"10.1021/ja036813f","ISSN":"0002-7863","issue":"7","journalAbbreviation":"J. Am. Chem. Soc.","language":"en","note":"publisher: American Chemical Society","page":"1992-2005","source":"ACS Publications","title":"Solution NMR Studies of the Aβ(1−40) and Aβ(1−42) Peptides Establish that the Met35 Oxidation State Affects the Mechanism of Amyloid Formation","volume":"126","author":[{"family":"Hou","given":"Liming"},{"family":"Shao","given":"Haiyan"},{"family":"Zhang","given":"Yongbo"},{"family":"Li","given":"Hua"},{"family":"Menon","given":"Nanda K."},{"family":"Neuhaus","given":"Elizabeth B."},{"family":"Brewer","given":"John M."},{"family":"Byeon","given":"In-Ja L."},{"family":"Ray","given":"Dale G."},{"family":"Vitek","given":"Michael P."},{"family":"Iwashita","given":"Takashi"},{"family":"Makula","given":"Ronald A."},{"family":"Przybyla","given":"Alan B."},{"family":"Zagorski","given":"Michael G."}],"issued":{"date-parts":[["2004",2,1]]}}}],"schema":"https://github.com/citation-style-language/schema/raw/master/csl-citation.json"}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3</w:t>
            </w:r>
            <w:r w:rsidR="002D73E1">
              <w:rPr>
                <w:rFonts w:ascii="Times New Roman" w:hAnsi="Times New Roman" w:cs="Times New Roman"/>
              </w:rPr>
              <w:fldChar w:fldCharType="end"/>
            </w:r>
          </w:p>
        </w:tc>
      </w:tr>
      <w:tr w:rsidR="002520CC" w14:paraId="75DA0CE3"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04A69DEF"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Aβ</w:t>
            </w:r>
            <w:r>
              <w:rPr>
                <w:rFonts w:ascii="Times New Roman" w:hAnsi="Times New Roman" w:cs="Times New Roman" w:hint="eastAsia"/>
              </w:rPr>
              <w:t xml:space="preserve"> </w:t>
            </w:r>
            <w:r w:rsidRPr="00AC53C0">
              <w:rPr>
                <w:rFonts w:ascii="Times New Roman" w:hAnsi="Times New Roman" w:cs="Times New Roman"/>
              </w:rPr>
              <w:t>40</w:t>
            </w:r>
          </w:p>
        </w:tc>
        <w:tc>
          <w:tcPr>
            <w:tcW w:w="2765" w:type="dxa"/>
            <w:vAlign w:val="center"/>
          </w:tcPr>
          <w:p w14:paraId="07058403" w14:textId="11B45542"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12</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{"citationID":"lAXCxIln","properties":{"formattedCitation":"\\super 4\\nosupersub{}","plainCitation":"4","noteIndex":0},"citationItems":[{"id":178,"uris":["http://zotero.org/users/14054239/items/HZTSXDM3"],"itemData":{"id":178,"type":"article-journal","abstract":"The interplay of modern molecular simulation and high-quality nuclear magnetic resonance (NMR) experiments has reached a fruitful stage for quantitative characterization of structural ensembles of disordered peptides. Amyloid-β 1–42 (Aβ42), the primary peptide associated with Alzheimer’s disease, and fragments such as Aβ21–30 are both classified as intrinsically disordered peptides (IDPs). We use a variety of NMR observables to validate de novo molecular dynamics simulations in explicit water to characterize the tertiary structure ensemble of Aβ42 and Aβ21–30 from the perspective of their classification as IDPs. Unlike the Aβ21–30 fragment that conforms to expectations of an IDP that is primarily extended, we find that Aβ42 samples conformations reflecting all possible secondary structure categories and spans the range of IDP classifications from collapsed structured states to highly extended conformations, making it an IDP with a far more heterogeneous tertiary ensemble.","container-title":"Biochemistry","DOI":"10.1021/bi200732x","ISSN":"0006-2960","issue":"35","journalAbbreviation":"Biochemistry","language":"en","note":"publisher: American Chemical Society","page":"7612-7628","source":"ACS Publications","title":"Homogeneous and Heterogeneous Tertiary Structure Ensembles of Amyloid-β Peptides","volume":"50","author":[{"family":"Ball","given":"K. Aurelia"},{"family":"Phillips","given":"Aaron H."},{"family":"Nerenberg","given":"Paul S."},{"family":"Fawzi","given":"Nicolas L."},{"family":"Wemmer","given":"David E."},{"family":"Head-Gordon","given":"Teresa"}],"issued":{"date-parts":[["2011",9,6]]}}}],"schema":"https://github.com/citation-style-language/schema/raw/master/csl-citation.json"}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4</w:t>
            </w:r>
            <w:r w:rsidR="002D73E1">
              <w:rPr>
                <w:rFonts w:ascii="Times New Roman" w:hAnsi="Times New Roman" w:cs="Times New Roman"/>
              </w:rPr>
              <w:fldChar w:fldCharType="end"/>
            </w:r>
          </w:p>
        </w:tc>
        <w:tc>
          <w:tcPr>
            <w:tcW w:w="2766" w:type="dxa"/>
            <w:vAlign w:val="center"/>
          </w:tcPr>
          <w:p w14:paraId="79A624AD" w14:textId="232A7405" w:rsidR="002520CC" w:rsidRPr="00AC53C0" w:rsidRDefault="00A93DA8" w:rsidP="002520CC">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51438A">
              <w:rPr>
                <w:rFonts w:ascii="Times New Roman" w:hAnsi="Times New Roman" w:cs="Times New Roman" w:hint="eastAsia"/>
              </w:rPr>
              <w:t xml:space="preserve"> chemical shifts</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{"citationID":"vgKjofxu","properties":{"formattedCitation":"\\super 3\\nosupersub{}","plainCitation":"3","noteIndex":0},"citationItems":[{"id":174,"uris":["http://zotero.org/users/14054239/items/IKFPZCJ2"],"itemData":{"id":174,"type":"article-journal","abstract":"The pathogenesis of Alzheimer's disease is characterized by the aggregation and fibrillation of the 40-residue Aβ(1−40) and 42-residue Aβ(1−42) peptides into amyloid plaques. The structural changes associated with </w:instrText>
            </w:r>
            <w:r w:rsidR="006C6FD8">
              <w:rPr>
                <w:rFonts w:ascii="Times New Roman" w:hAnsi="Times New Roman" w:cs="Times New Roman" w:hint="eastAsia"/>
              </w:rPr>
              <w:instrText>the conversion of monomeric A</w:instrText>
            </w:r>
            <w:r w:rsidR="006C6FD8">
              <w:rPr>
                <w:rFonts w:ascii="Times New Roman" w:hAnsi="Times New Roman" w:cs="Times New Roman" w:hint="eastAsia"/>
              </w:rPr>
              <w:instrText>β</w:instrText>
            </w:r>
            <w:r w:rsidR="006C6FD8">
              <w:rPr>
                <w:rFonts w:ascii="Times New Roman" w:hAnsi="Times New Roman" w:cs="Times New Roman" w:hint="eastAsia"/>
              </w:rPr>
              <w:instrText xml:space="preserve"> peptide building blocks into multimeric fibrillar </w:instrText>
            </w:r>
            <w:r w:rsidR="006C6FD8">
              <w:rPr>
                <w:rFonts w:ascii="Times New Roman" w:hAnsi="Times New Roman" w:cs="Times New Roman" w:hint="eastAsia"/>
              </w:rPr>
              <w:instrText>β</w:instrText>
            </w:r>
            <w:r w:rsidR="006C6FD8">
              <w:rPr>
                <w:rFonts w:ascii="Times New Roman" w:hAnsi="Times New Roman" w:cs="Times New Roman" w:hint="eastAsia"/>
              </w:rPr>
              <w:instrText xml:space="preserve">-strand aggregates remain unknown. Recently, we established that oxidation of the methionine-35 side chain to the sulfoxide (Met35red </w:instrText>
            </w:r>
            <w:r w:rsidR="006C6FD8">
              <w:rPr>
                <w:rFonts w:ascii="Times New Roman" w:hAnsi="Times New Roman" w:cs="Times New Roman" w:hint="eastAsia"/>
              </w:rPr>
              <w:instrText>→</w:instrText>
            </w:r>
            <w:r w:rsidR="006C6FD8">
              <w:rPr>
                <w:rFonts w:ascii="Times New Roman" w:hAnsi="Times New Roman" w:cs="Times New Roman" w:hint="eastAsia"/>
              </w:rPr>
              <w:instrText xml:space="preserve"> Met35ox) significantly impedes the ra</w:instrText>
            </w:r>
            <w:r w:rsidR="006C6FD8">
              <w:rPr>
                <w:rFonts w:ascii="Times New Roman" w:hAnsi="Times New Roman" w:cs="Times New Roman"/>
              </w:rPr>
              <w:instrText xml:space="preserve">te of aggregation and fibrillation of the Aβ peptide. To explore this effect at greater resolution, we carefully compared the 1H, 15N, and 13C NMR chemical shifts of four Aβ peptides that had the Met35 reduced or oxidized (Aβ(1−40)Met35red, Aβ(1−40)Met35ox, Aβ(1−42)Met35red, and Aβ(1−42)Met35ox). With the use of a special disaggregation protocol, the highly aggregation prone Aβ peptides could be studied at higher, millimolar concentrations (as required by NMR) in aqueous solution at neutral pH, remaining largely monomeric at 5 °C as determined by sedimentation equilibrium studies. The NOE, amide-NH temperature coefficients, and chemical shift indices of the 1Hα, 13Cα, and 13Cβ established that the four peptides are largely random, extended chain structures, with the Met35ox reducing the propensity for β-strand structure at two hydrophobic regions (Leu17−Ala21 and Ile31−Val36), and turn- or bendlike structures at Asp7−Glu11 and Phe20−Ser26. Additional NMR studies monitoring changes that occur during aging at 37 °C established that, along with a gradual loss of signal/noise, the Met35ox significantly hindered upfield chemical shift movements of the 2H NMR signals for the His6, His13, and His14 side chains. Taken together, the present NMR studies demonstrate that the Met35red </w:instrText>
            </w:r>
            <w:r w:rsidR="006C6FD8">
              <w:rPr>
                <w:rFonts w:ascii="Times New Roman" w:hAnsi="Times New Roman" w:cs="Times New Roman" w:hint="eastAsia"/>
              </w:rPr>
              <w:instrText>→</w:instrText>
            </w:r>
            <w:r w:rsidR="006C6FD8">
              <w:rPr>
                <w:rFonts w:ascii="Times New Roman" w:hAnsi="Times New Roman" w:cs="Times New Roman"/>
              </w:rPr>
              <w:instrText xml:space="preserve"> Met35ox conversion prevents aggregation by reducing both hydrophobic and electrostatic association and that the Aβ(1−40)Met35red, Aβ(1−40)Met35ox, Aβ(1−42)Met35red, and Aβ(1−42)Met35ox peptides may associate differently, through specific, sharp changes in structure during the initial stages of aggregation.","container-title":"Journal of the American Chemical Society","DOI":"10.1021/ja036813f","ISSN":"0002-7863","issue":"7","journalAbbreviation":"J. Am. Chem. Soc.","language":"en","note":"publisher: American Chemical Society","page":"1992-2005","source":"ACS Publications","title":"Solution NMR Studies of the Aβ(1−40) and Aβ(1−42) Peptides Establish that the Met35 Oxidation State Affects the Mechanism of Amyloid Formation","volume":"126","author":[{"family":"Hou","given":"Liming"},{"family":"Shao","given":"Haiyan"},{"family":"Zhang","given":"Yongbo"},{"family":"Li","given":"Hua"},{"family":"Menon","given":"Nanda K."},{"family":"Neuhaus","given":"Elizabeth B."},{"family":"Brewer","given":"John M."},{"family":"Byeon","given":"In-Ja L."},{"family":"Ray","given":"Dale G."},{"family":"Vitek","given":"Michael P."},{"family":"Iwashita","given":"Takashi"},{"family":"Makula","given":"Ronald A."},{"family":"Przybyla","given":"Alan B."},{"family":"Zagorski","given":"Michael G."}],"issued":{"date-parts":[["2004",2,1]]}}}],"schema":"https://github.com/citation-style-language/schema/raw/master/csl-citation.json"}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3</w:t>
            </w:r>
            <w:r w:rsidR="002D73E1">
              <w:rPr>
                <w:rFonts w:ascii="Times New Roman" w:hAnsi="Times New Roman" w:cs="Times New Roman"/>
              </w:rPr>
              <w:fldChar w:fldCharType="end"/>
            </w:r>
          </w:p>
        </w:tc>
      </w:tr>
      <w:tr w:rsidR="002520CC" w14:paraId="76B30BB4"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492D4D09"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RS1</w:t>
            </w:r>
          </w:p>
        </w:tc>
        <w:tc>
          <w:tcPr>
            <w:tcW w:w="2765" w:type="dxa"/>
            <w:vAlign w:val="center"/>
          </w:tcPr>
          <w:p w14:paraId="69F133C0" w14:textId="228884DA"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12.62</w:t>
            </w:r>
            <w:r w:rsidR="00446A7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{"citationID":"DHP7cQpH","properties":{"formattedCitation":"\\super 5\\nosupersub{}","plainCitation":"5","noteIndex":0},"citationItems":[{"id":163,"uris":["http://zotero.org/users/14054239/items/UBYSDTT2"],"itemData":{"id":163,"type":"article-journal","abstract":"Intrinsically disordered proteins (IDPs) are notoriously challenging to study both experimentally and computationally. The structure of IDPs cannot be described by a single conformation but must instead be described as an ensemble of interconverting conformations. Atomistic simulations are increasingly used to obtain such IDP conformational ensembles. Here, we have compared the IDP ensembles generated by eight all-atom empirical force fields against primary small-angle X-ray scattering (SAXS) and NMR data. Ensembles obtained with different force fields exhibit marked differences in chain dimensions, hydrogen bonding, and secondary structure content. These differences are unexpectedly large: changing the force field is found to have a stronger effect on secondary structure content than changing the entire peptide sequence. The CHARMM 22* ensemble performs best in this force field comparison: it has the lowest error in chemical shifts and J-couplings and agrees well with the SAXS data. A high population of left-handed α-helix is present in the CHARMM 36 ensemble, which is inconsistent with measured scalar couplings. To eliminate inadequate sampling as a reason for differences between force fields, extensive simulations were carried out (0.964 ms in total); the remaining small sampling uncertainty is shown to be much smaller than the observed differences. Our findings highlight how IDPs, with their rugged energy landscapes, are highly sensitive test systems that are capable of revealing force field deficiencies and, therefore, contributing to force field development.","container-title":"Journal of Chemical Theory and Computation","DOI":"10.1021/acs.jctc.5b00736","ISSN":"1549-9618","issue":"11","journalAbbreviation":"J. Chem. Theory Comput.","language":"en","note":"publisher: American Chemical Society","page":"5513-5524","source":"ACS Publications","title":"Structural Ensembles of Intrinsically Disordered Proteins Depend Strongly on Force Field: A Comparison to Experiment","title-short":"Structural Ensembles of Intrinsically Disordered Proteins Depend Strongly on Force Field","volume":"11","author":[{"family":"Rauscher","given":"Sarah"},{"family":"Gapsys","given":"Vytautas"},{"family":"Gajda","given":"Michal J."},{"family":"Zweckstetter","given":"Markus"},{"family":"Groot","given":"Bert L.","non-dropping-particle":"de"},{"family":"Grubmüller","given":"Helmut"}],"issued":{"date-parts":[["2015",11,10]]}}}],"schema":"https://github.com/citation-style-language/schema/raw/master/csl-citation.json"} </w:instrText>
            </w:r>
            <w:r w:rsidR="00446A7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5</w:t>
            </w:r>
            <w:r w:rsidR="00446A71">
              <w:rPr>
                <w:rFonts w:ascii="Times New Roman" w:hAnsi="Times New Roman" w:cs="Times New Roman"/>
              </w:rPr>
              <w:fldChar w:fldCharType="end"/>
            </w:r>
          </w:p>
        </w:tc>
        <w:tc>
          <w:tcPr>
            <w:tcW w:w="2766" w:type="dxa"/>
            <w:vAlign w:val="center"/>
          </w:tcPr>
          <w:p w14:paraId="655B32A7" w14:textId="07E1B1A1" w:rsidR="002520CC" w:rsidRPr="00AC53C0" w:rsidRDefault="00A93DA8" w:rsidP="002520CC">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51438A">
              <w:rPr>
                <w:rFonts w:ascii="Times New Roman" w:hAnsi="Times New Roman" w:cs="Times New Roman" w:hint="eastAsia"/>
              </w:rPr>
              <w:t xml:space="preserve"> chemical shifts</w:t>
            </w:r>
            <w:r w:rsidR="00446A7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{"citationID":"1k2Ey9xl","properties":{"formattedCitation":"\\super 6\\nosupersub{}","plainCitation":"6","noteIndex":0},"citationItems":[{"id":165,"uris":["http://zotero.org/users/14054239/items/JPJ33PCB"],"itemData":{"id":165,"type":"article-journal","abstract":"Serine/arginine-rich (SR) proteins are important players in RNA metabolism and are extensively phosphorylated at serine residues in RS repeats. Here, we show that phosphorylation switches the RS domain of the serine/arginine-rich splicing factor 1 from a fully disordered state to a partially rigidified arch-like structure. Nuclear magnetic resonance spectroscopy in combination with molecular dynamics simulations revealed that the conformational switch is restricted to RS repeats, critically depends on the phosphate charge state and strongly decreases the conformational entropy of RS domains. The dynamic switch also occurs in the 100 kDa SR-related protein hPrp28, for which phosphorylation at the RS repeat is required for spliceosome assembly. Thus, a phosphorylation-induced dynamic switch is common to the class of serine/arginine-rich proteins and provides a molecular basis for the functional redundancy of serine/arginine-rich proteins and the profound influence of RS domain phosphorylation on protein-protein and protein-RNA interactions.","container-title":"Structure","DOI":"10.1016/j.str.2013.09.014","ISSN":"0969-2126","issue":"12","journalAbbreviation":"Structure","language":"en","page":"2162-2174","source":"ScienceDirect","title":"Phosphorylation Drives a Dynamic Switch in Serine/Arginine-Rich Proteins","volume":"21","author":[{"family":"Xiang","given":"ShengQi"},{"family":"Gapsys","given":"Vytautas"},{"family":"Kim","given":"Hai-Young"},{"family":"Bessonov","given":"Sergey"},{"family":"Hsiao","given":"He-Hsuan"},{"family":"Möhlmann","given":"Sina"},{"family":"Klaukien","given":"Volker"},{"family":"Ficner","given":"Ralf"},{"family":"Becker","given":"Stefan"},{"family":"Urlaub","given":"Henning"},{"family":"Lührmann","given":"Reinhard"},{"family":"Groot","given":"Bert","non-dropping-particle":"de"},{"family":"Zweckstetter","given":"Markus"}],"issued":{"date-parts":[["2013",12,3]]}}}],"schema":"https://github.com/citation-style-language/schema/raw/master/csl-citation.json"} </w:instrText>
            </w:r>
            <w:r w:rsidR="00446A7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6</w:t>
            </w:r>
            <w:r w:rsidR="00446A71">
              <w:rPr>
                <w:rFonts w:ascii="Times New Roman" w:hAnsi="Times New Roman" w:cs="Times New Roman"/>
              </w:rPr>
              <w:fldChar w:fldCharType="end"/>
            </w:r>
          </w:p>
        </w:tc>
      </w:tr>
      <w:tr w:rsidR="002520CC" w14:paraId="19947AAB"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4DD4ECD4"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Histatin5</w:t>
            </w:r>
          </w:p>
        </w:tc>
        <w:tc>
          <w:tcPr>
            <w:tcW w:w="2765" w:type="dxa"/>
            <w:vAlign w:val="center"/>
          </w:tcPr>
          <w:p w14:paraId="7C8E6557" w14:textId="7231E158"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13.8</w:t>
            </w:r>
            <w:r w:rsidR="002D73E1">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{"citationID":"rBYLkVSc","properties":{"formattedCitation":"\\super 7\\nosupersub{}","plainCitation":"7","noteIndex":0},"citationItems":[{"id":168,"uris":["http://zotero.org/users/14054239/items/QP2C3SCC"],"itemData":{"id":168,"type":"article-journal","abstract":"Monte Carlo simulations and coarse-grained modeling have been used to analyze Histatin 5, an unstructured short cationic salivary peptide known to have anticandidical properties. The calculated scattering functions have been compared with intensity curves and the distance distribution function P(r) obtained from small angle X-ray scattering (SAXS), at both high and low salt concentrations. The aim was to achieve a molecular understanding and a physico-chemical insight of the obtained SAXS results and to gain information of the conformational changes of Histatin 5 due to altering salt content, charge distribution, and net charge. From a modeling perspective, the accuracy of the electrostatic interactions are of special interest. The used coarse-grained model was based on the primitive model in which charged hard spheres differing in charge and in size represent the ionic particles, and the solvent only enters the model through its relative permittivity. The Hamiltonian of the model comprises three different contributions: (i) excluded volumes, (ii) electrostatic, and (iii) van der Waals interactions. Even though the model can be considered as gross omitting all atomistic details, a great correspondence is obtained with the experimental results. Proteins 2016; 84:777–791. © 2016 Wiley Periodicals, Inc.","container-title":"Proteins: Structure, Function, and Bioinformatics","DOI":"10.1002/prot.25025","ISSN":"1097-0134","issue":"6","language":"en","license":"© 2016 Wiley Periodicals, Inc.","note":"_eprint: https://onlinelibrary.wiley.com/doi/pdf/10.1002/prot.25025","page":"777-791","source":"Wiley Online Library","title":"Coarse-grained modeling of the intrinsically disordered protein Histatin 5 in solution: Monte Carlo simulations in combination with SAXS","title-short":"Coarse-grained modeling of the intrinsically disordered protein Histatin 5 in solution","volume":"84","author":[{"family":"Cragnell","given":"Carolina"},{"family":"Durand","given":"Dominique"},{"family":"Cabane","given":"Bernard"},{"family":"Skepö","given":"Marie"}],"issued":{"date-parts":[["2016"]]}}}],"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7</w:t>
            </w:r>
            <w:r w:rsidR="002D73E1">
              <w:rPr>
                <w:rFonts w:ascii="Times New Roman" w:hAnsi="Times New Roman" w:cs="Times New Roman"/>
              </w:rPr>
              <w:fldChar w:fldCharType="end"/>
            </w:r>
          </w:p>
        </w:tc>
        <w:tc>
          <w:tcPr>
            <w:tcW w:w="2766" w:type="dxa"/>
            <w:vAlign w:val="center"/>
          </w:tcPr>
          <w:p w14:paraId="7DD2C31F" w14:textId="3C8DC793"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2520CC" w14:paraId="173FABF1"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7032B614"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p15</w:t>
            </w:r>
            <w:r w:rsidRPr="00AC53C0">
              <w:rPr>
                <w:rFonts w:ascii="Times New Roman" w:hAnsi="Times New Roman" w:cs="Times New Roman"/>
                <w:vertAlign w:val="superscript"/>
              </w:rPr>
              <w:t>PAF</w:t>
            </w:r>
          </w:p>
        </w:tc>
        <w:tc>
          <w:tcPr>
            <w:tcW w:w="2765" w:type="dxa"/>
            <w:vAlign w:val="center"/>
          </w:tcPr>
          <w:p w14:paraId="648013CD" w14:textId="0EFD6EEF"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28.1</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{"citationID":"euhSUkhF","properties":{"formattedCitation":"\\super 8\\nosupersub{}","plainCitation":"8","noteIndex":0},"citationItems":[{"id":191,"uris":["http://zotero.org/users/14054239/items/GQAAYZVY"],"itemData":{"id":191,"type":"article-journal","abstract":"We present to our knowledge the first structural characterization of the proliferating-cell-nuclear-antigen-associated factor p15PAF, showing that it is monomeric and intrinsically disordered in solution but has nonrandom conformational preferences at sites of protein-protein interactions. p15PAF is a 12 kDa nuclear protein that acts as a regulator of DNA repair during DNA replication. The p15PAF gene is overexpressed in several types of human cancer. The nearly complete NMR backbone assignment of p15PAF allowed us to measure 86 N-HN residual dipolar couplings. Our residual dipolar coupling analysis reveals nonrandom conformational preferences in distinct regions, including the proliferating-cell-nuclear-antigen-interacting protein motif (PIP-box) and the KEN-box (recognized by the ubiquitin ligase that targets p15PAF for degradation). In accordance with these findings, analysis of the 15N R2 relaxation rates shows a relatively reduced mobility for the residues in these regions. The agreement between the experimental small angle x-ray scattering curve of p15PAF and that computed from a statistical coil ensemble corrected for the presence of local secondary structural elements further validates our structural model for p15PAF. The coincidence of these transiently structured regions with protein-protein interaction and posttranslational modification sites suggests a possible role for these structures as molecular recognition elements for p15PAF.","container-title":"Biophysical Journal","DOI":"10.1016/j.bpj.2013.12.046","ISSN":"0006-3495","issue":"4","journalAbbreviation":"Biophysical Journal","language":"en","page":"865-874","source":"ScienceDirect","title":"p15PAF Is an Intrinsically Disordered Protein with Nonrandom Structural Preferences at Sites of Interaction with Other Proteins","volume":"106","author":[{"family":"De Biasio","given":"Alfredo"},{"family":"Ibáñez de Opakua","given":"Alain"},{"family":"Cordeiro","given":"Tiago N."},{"family":"Villate","given":"Maider"},{"family":"Merino","given":"Nekane"},{"family":"Sibille","given":"Nathalie"},{"family":"Lelli","given":"Moreno"},{"family":"Diercks","given":"Tammo"},{"family":"Bernadó","given":"Pau"},{"family":"Blanco","given":"Francisco J."}],"issued":{"date-parts":[["2014",2,18]]}}}],"schema":"https://github.com/citation-style-language/schema/raw/master/csl-citation.json"}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8</w:t>
            </w:r>
            <w:r w:rsidR="00183C39">
              <w:rPr>
                <w:rFonts w:ascii="Times New Roman" w:hAnsi="Times New Roman" w:cs="Times New Roman"/>
              </w:rPr>
              <w:fldChar w:fldCharType="end"/>
            </w:r>
          </w:p>
        </w:tc>
        <w:tc>
          <w:tcPr>
            <w:tcW w:w="2766" w:type="dxa"/>
            <w:vAlign w:val="center"/>
          </w:tcPr>
          <w:p w14:paraId="2084871A" w14:textId="3EDA3E7E" w:rsidR="002520CC" w:rsidRPr="00AC53C0" w:rsidRDefault="00A93DA8" w:rsidP="002520CC">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51438A">
              <w:rPr>
                <w:rFonts w:ascii="Times New Roman" w:hAnsi="Times New Roman" w:cs="Times New Roman" w:hint="eastAsia"/>
              </w:rPr>
              <w:t xml:space="preserve"> chemical shifts</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{"citationID":"nRsmkJeG","properties":{"formattedCitation":"\\super 8\\nosupersub{}","plainCitation":"8","noteIndex":0},"citationItems":[{"id":191,"uris":["http://zotero.org/users/14054239/items/GQAAYZVY"],"itemData":{"id":191,"type":"article-journal","abstract":"We present to our knowledge the first structural characterization of the proliferating-cell-nuclear-antigen-associated factor p15PAF, showing that it is monomeric and intrinsically disordered in solution but has nonrandom conformational preferences at sites of protein-protein interactions. p15PAF is a 12 kDa nuclear protein that acts as a regulator of DNA repair during DNA replication. The p15PAF gene is overexpressed in several types of human cancer. The nearly complete NMR backbone assignment of p15PAF allowed us to measure 86 N-HN residual dipolar couplings. Our residual dipolar coupling analysis reveals nonrandom conformational preferences in distinct regions, including the proliferating-cell-nuclear-antigen-interacting protein motif (PIP-box) and the KEN-box (recognized by the ubiquitin ligase that targets p15PAF for degradation). In accordance with these findings, analysis of the 15N R2 relaxation rates shows a relatively reduced mobility for the residues in these regions. The agreement between the experimental small angle x-ray scattering curve of p15PAF and that computed from a statistical coil ensemble corrected for the presence of local secondary structural elements further validates our structural model for p15PAF. The coincidence of these transiently structured regions with protein-protein interaction and posttranslational modification sites suggests a possible role for these structures as molecular recognition elements for p15PAF.","container-title":"Biophysical Journal","DOI":"10.1016/j.bpj.2013.12.046","ISSN":"0006-3495","issue":"4","journalAbbreviation":"Biophysical Journal","language":"en","page":"865-874","source":"ScienceDirect","title":"p15PAF Is an Intrinsically Disordered Protein with Nonrandom Structural Preferences at Sites of Interaction with Other Proteins","volume":"106","author":[{"family":"De Biasio","given":"Alfredo"},{"family":"Ibáñez de Opakua","given":"Alain"},{"family":"Cordeiro","given":"Tiago N."},{"family":"Villate","given":"Maider"},{"family":"Merino","given":"Nekane"},{"family":"Sibille","given":"Nathalie"},{"family":"Lelli","given":"Moreno"},{"family":"Diercks","given":"Tammo"},{"family":"Bernadó","given":"Pau"},{"family":"Blanco","given":"Francisco J."}],"issued":{"date-parts":[["2014",2,18]]}}}],"schema":"https://github.com/citation-style-language/schema/raw/master/csl-citation.json"}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8</w:t>
            </w:r>
            <w:r w:rsidR="00183C39">
              <w:rPr>
                <w:rFonts w:ascii="Times New Roman" w:hAnsi="Times New Roman" w:cs="Times New Roman"/>
              </w:rPr>
              <w:fldChar w:fldCharType="end"/>
            </w:r>
          </w:p>
        </w:tc>
      </w:tr>
      <w:tr w:rsidR="002520CC" w14:paraId="0EF7265B"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00B3F893"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FEZ1 monomer</w:t>
            </w:r>
          </w:p>
        </w:tc>
        <w:tc>
          <w:tcPr>
            <w:tcW w:w="2765" w:type="dxa"/>
            <w:vAlign w:val="center"/>
          </w:tcPr>
          <w:p w14:paraId="1353BF7A" w14:textId="6D8C6CE0"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36</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{"citationID":"KfXYrSfN","properties":{"formattedCitation":"\\super 9\\nosupersub{}","plainCitation":"9","noteIndex":0},"citationItems":[{"id":209,"uris":["http://zotero.org/users/14054239/items/FEMEL7L3"],"itemData":{"id":209,"type":"article-journal","abstract":"The human proteins FEZ1 (fasciculation and elongation protein zeta 1) and FEZ2 are orthologs of the protein UNC-76 from C. elegans, involved in the growth and fasciculation of the worms axon. Pull down assays showed that the protein FEZ1 interacts with other proteins (e.g., the protein SCOCO, short coiled-coil protein), mitochondria, and vesicles. These components may therefore represent cargoes to be transported along the microtubule, and the transport may be mediated through FEZ1 reported binding to kinesins (KIF3A). We previously showed that FEZ1 dimerizes in its N-terminal region and interacts with other proteins, including the candidate cargoe proteins, through its C-terminus. Here, we studied the fragment FEZ1(92−194) as well as full-length 6xHis-FEZ1 (1−392) in vitro and endogenous FEZ1 isolated from HEK 293 cells and were able to demonstrate the formation of an intermolecular disulfide bond through FEZ1 Cys-133, which appears to be essential for dimerization. This disulfide bond may be important for the FEZ1 role as a dimeric and bivalent transport adaptor molecule, since it establishes a strong link between the monomers, which could be a prerequisite for the simultaneous binding of two cargoes.","container-title":"Journal of Proteome Research","DOI":"10.1021/pr100314q","ISSN":"1535-3893","issue":"9","journalAbbreviation":"J. Proteome Res.","language":"en","note":"publisher: American Chemical Society","page":"4595-4603","source":"ACS Publications","title":"Human FEZ1 Protein Forms a Disulfide Bond Mediated Dimer: Implications for Cargo Transport","title-short":"Human FEZ1 Protein Forms a Disulfide Bond Mediated Dimer","volume":"9","author":[{"family":"Alborghetti","given":"M. R."},{"family":"Furlan","given":"A. S."},{"family":"Silva","given":"J. C."},{"family":"Paes Leme","given":"A. F."},{"family":"Torriani","given":"I. C. L."},{"family":"Kobarg","given":"J."}],"issued":{"date-parts":[["2010",9,3]]}}}],"schema":"https://github.com/citation-style-language/schema/raw/master/csl-citation.json"}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9</w:t>
            </w:r>
            <w:r w:rsidR="00296CBE">
              <w:rPr>
                <w:rFonts w:ascii="Times New Roman" w:hAnsi="Times New Roman" w:cs="Times New Roman"/>
              </w:rPr>
              <w:fldChar w:fldCharType="end"/>
            </w:r>
          </w:p>
        </w:tc>
        <w:tc>
          <w:tcPr>
            <w:tcW w:w="2766" w:type="dxa"/>
            <w:vAlign w:val="center"/>
          </w:tcPr>
          <w:p w14:paraId="0EE554E9" w14:textId="4DAEB098"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2520CC" w14:paraId="78AFBB91"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3A8739A1"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HIV-1 Tat</w:t>
            </w:r>
            <w:r w:rsidRPr="00AC53C0">
              <w:rPr>
                <w:rFonts w:ascii="Times New Roman" w:hAnsi="Times New Roman" w:cs="Times New Roman"/>
                <w:vertAlign w:val="subscript"/>
              </w:rPr>
              <w:t>133</w:t>
            </w:r>
          </w:p>
        </w:tc>
        <w:tc>
          <w:tcPr>
            <w:tcW w:w="2765" w:type="dxa"/>
            <w:vAlign w:val="center"/>
          </w:tcPr>
          <w:p w14:paraId="70BA9909" w14:textId="3F3F5B29"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33</w:t>
            </w:r>
            <w:r w:rsidR="00296CBE">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{"citationID":"UgVelMDF","properties":{"formattedCitation":"\\super 10\\nosupersub{}","plainCitation":"10","noteIndex":0},"citationItems":[{"id":213,"uris":["http://zotero.org/users/14054239/items/23NY2HJY"],"itemData":{"id":213,"type":"article-journal","abstract":"The 101-residue long Tat protein of primary isolate 133 of the human immunodeficiency virus type 1 (HIV-1), wt-Tat133 displays a high transactivation activity in vitro, whereas the mutant thereof, STLA-Tat133, a vaccine candidate for HIV-1, has none. These two proteins were chemically synthesized and their biological activity was validated. Their structural properties were characterized using circular dichroism (CD), fluorescence emission, gel filtration, dynamic light scattering, and small angle X-ray scattering (SAXS) techniques. SAXS studies revealed that both proteins were extended and belong to the family of intrinsically unstructured proteins. CD measurements showed that wt-Tat133 or STLA-Tat133 underwent limited structural rearrangements when complexed with specific fragments of antibodies. Crystallization trials have been performed on the two forms, assuming that the Tat133 proteins might have a better propensity to fold in supersaturated conditions, and small crystals have been obtained. These results suggest that biologically active Tat protein is natively unfolded and requires only a limited gain of structure for its function. Proteins 2010. © 2009 Wiley-Liss, Inc","container-title":"Proteins: Structure, Function, and Bioinformatics","DOI":"10.1002/prot.22661","ISSN":"1097-0134","issue":"6","language":"en","license":"Copyright © 2009 Wiley-Liss, Inc.","note":"_eprint: https://onlinelibrary.wiley.com/doi/pdf/10.1002/prot.22661","page":"1441-1456","source":"Wiley Online Library","title":"UV and X-ray structural studies of a 101-residue long Tat protein from a HIV-1 primary isolate and of its mutated, detoxified, vaccine candidate","volume":"78","author":[{"family":"Foucault","given":"Marine"},{"family":"Mayol","given":"Katia"},{"family":"Receveur-Bréchot","given":"Véronique"},{"family":"Bussat","given":"Marie-Claire"},{"family":"Klinguer-Hamour","given":"Christine"},{"family":"Verrier","given":"Bernard"},{"family":"Beck","given":"Alain"},{"family":"Haser","given":"Richard"},{"family":"Gouet","given":"Patrice"},{"family":"Guillon","given":"Christophe"}],"issued":{"date-parts":[["2010"]]}}}],"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10</w:t>
            </w:r>
            <w:r w:rsidR="00296CBE">
              <w:rPr>
                <w:rFonts w:ascii="Times New Roman" w:hAnsi="Times New Roman" w:cs="Times New Roman"/>
              </w:rPr>
              <w:fldChar w:fldCharType="end"/>
            </w:r>
          </w:p>
        </w:tc>
        <w:tc>
          <w:tcPr>
            <w:tcW w:w="2766" w:type="dxa"/>
            <w:vAlign w:val="center"/>
          </w:tcPr>
          <w:p w14:paraId="418DD1A0" w14:textId="41B99E52"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2520CC" w14:paraId="20247A91"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08BB9EB8"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R17</w:t>
            </w:r>
          </w:p>
        </w:tc>
        <w:tc>
          <w:tcPr>
            <w:tcW w:w="2765" w:type="dxa"/>
            <w:vAlign w:val="center"/>
          </w:tcPr>
          <w:p w14:paraId="20C4A1D5" w14:textId="729F0840"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22.9</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{"citationID":"dLBfCOAH","properties":{"formattedCitation":"\\super 11\\nosupersub{}","plainCitation":"11","noteIndex":0},"citationItems":[{"id":189,"uris":["http://zotero.org/users/14054239/items/GPDRV9NC"],"itemData":{"id":189,"type":"article-journal","abstract":"The dimensions of unfolded and intrinsically disordered proteins are highly dependent on their amino acid composition and solution conditions, especially salt and denaturant concentration. However, the quantitative implications of this behavior have remained unclear, largely because the effective theta-state, the central reference point for the underlying polymer collapse transition, has eluded experimental determination. Here, we used single-molecule fluorescence spectroscopy and two-focus correlation spectroscopy to determine the theta points for six different proteins. While the scaling exponents of all proteins converge to 0.62 ± 0.03 at high denaturant concentrations, as expected for a polymer in good solvent, the scaling regime in water strongly depends on sequence composition. The resulting average scaling exponent of 0.46 ± 0.05 for the four foldable protein sequences in our study suggests that the aqueous cellular milieu is close to effective theta conditions for unfolded proteins. In contrast, two intrinsically disordered proteins do not reach the Θ-point under any of our solvent conditions, which may reflect the optimization of their expanded state for the interactions with cellular partners. Sequence analyses based on our results imply that foldable sequences with more compact unfolded states are a more recent result of protein evolution.","container-title":"Proceedings of the National Academy of Sciences","DOI":"10.1073/pnas.1207719109","issue":"40","language":"en","note":"publisher: Proceedings of the National Academy of Sciences","page":"16155-16160","source":"pnas.org (Atypon)","title":"Polymer scaling laws of unfolded and intrinsically disordered proteins quantified with single-molecule spectroscopy","volume":"109","author":[{"family":"Hofmann","given":"Hagen"},{"family":"Soranno","given":"Andrea"},{"family":"Borgia","given":"Alessandro"},{"family":"Gast","given":"Klaus"},{"family":"Nettels","given":"Daniel"},{"family":"Schuler","given":"Benjamin"}],"issued":{"date-parts":[["2012",10,2]]}}}],"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11</w:t>
            </w:r>
            <w:r w:rsidR="00183C39">
              <w:rPr>
                <w:rFonts w:ascii="Times New Roman" w:hAnsi="Times New Roman" w:cs="Times New Roman"/>
              </w:rPr>
              <w:fldChar w:fldCharType="end"/>
            </w:r>
          </w:p>
        </w:tc>
        <w:tc>
          <w:tcPr>
            <w:tcW w:w="2766" w:type="dxa"/>
            <w:vAlign w:val="center"/>
          </w:tcPr>
          <w:p w14:paraId="32812991" w14:textId="08FB873C"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2520CC" w14:paraId="3A4B66A1"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327ECCD1"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PIR domain</w:t>
            </w:r>
          </w:p>
        </w:tc>
        <w:tc>
          <w:tcPr>
            <w:tcW w:w="2765" w:type="dxa"/>
            <w:vAlign w:val="center"/>
          </w:tcPr>
          <w:p w14:paraId="458433FC" w14:textId="5FC37E91"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26.5</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{"citationID":"11JX9VGk","properties":{"formattedCitation":"\\super 12\\nosupersub{}","plainCitation":"12","noteIndex":0},"citationItems":[{"id":220,"uris":["http://zotero.org/users/14054239/items/6D6Z35EB"],"itemData":{"id":220,"type":"article-journal","abstract":"Grb14 belongs to the Grb7 family of adapters and was identified as a negative regulator of insulin signal transduction. Between the PH (pleckstrin homology) and SH2 (Src homology 2) domains is a new binding domain implicated in the interaction with receptor tyrosine kinases called PIR (phosphorylated insulin receptor interaction region). Both PIR and SH2 domains interact with the insulin receptor, but their relative role varies considering the member of the Grb7 family and the tyrosine kinase receptor. In the case of Grb14, PIR is the main binding domain and is sufficient to inhibit the insulin receptor kinase activity. We have proposed, on the basis of NMR measurements, that PIR lacks ordered structure and presents a high flexibility, although remaining fully active. To complement this first study, we have used small-angle x-ray scattering in solution together with a modeling approach representing the PIR domain as a chain of pseudo residues. Circular dichroism experiments were also performed in the presence of variable amounts of trifluoroethanol. These observations, together with an ensemble of sequence analyses and previous NMR results, all support the view of PIR as essentially unstructured but with a potentially structured short stretch encompassing residues 399–407. This stretch, which may be only structured transiently in the isolated molecule, could play a major role in Grb14 PIR binding to a biological partner by undergoing a structural transition.","container-title":"Biophysical Journal","DOI":"10.1529/biophysj.104.048645","ISSN":"0006-3495","issue":"6","journalAbbreviation":"Biophysical Journal","language":"en","page":"4056-4064","source":"ScienceDirect","title":"SAXS Study of the PIR Domain from the Grb14 Molecular Adaptor: A Natively Unfolded Protein with a Transient Structure Primer?","title-short":"SAXS Study of the PIR Domain from the Grb14 Molecular Adaptor","volume":"87","author":[{"family":"Moncoq","given":"K."},{"family":"Broutin","given":"I."},{"family":"Craescu","given":"C. T."},{"family":"Vachette","given":"P."},{"family":"Ducruix","given":"A."},{"family":"Durand","given":"D."}],"issued":{"date-parts":[["2004",12,1]]}}}],"schema":"https://github.com/citation-style-language/schema/raw/master/csl-citation.json"}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12</w:t>
            </w:r>
            <w:r w:rsidR="00296CBE">
              <w:rPr>
                <w:rFonts w:ascii="Times New Roman" w:hAnsi="Times New Roman" w:cs="Times New Roman"/>
              </w:rPr>
              <w:fldChar w:fldCharType="end"/>
            </w:r>
          </w:p>
        </w:tc>
        <w:tc>
          <w:tcPr>
            <w:tcW w:w="2766" w:type="dxa"/>
            <w:vAlign w:val="center"/>
          </w:tcPr>
          <w:p w14:paraId="7BCB1E03" w14:textId="347FBB4D"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2520CC" w14:paraId="7EC771E2"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79AD0CF8" w14:textId="77777777" w:rsidR="002520CC" w:rsidRPr="00AC53C0" w:rsidRDefault="002520CC" w:rsidP="002520CC">
            <w:pPr>
              <w:spacing w:beforeLines="25" w:before="78" w:afterLines="25" w:after="78"/>
              <w:jc w:val="center"/>
              <w:rPr>
                <w:rFonts w:ascii="Times New Roman" w:hAnsi="Times New Roman" w:cs="Times New Roman"/>
              </w:rPr>
            </w:pPr>
            <w:r w:rsidRPr="00AC53C0">
              <w:rPr>
                <w:rFonts w:ascii="Times New Roman" w:hAnsi="Times New Roman" w:cs="Times New Roman"/>
              </w:rPr>
              <w:t>IB5</w:t>
            </w:r>
          </w:p>
        </w:tc>
        <w:tc>
          <w:tcPr>
            <w:tcW w:w="2765" w:type="dxa"/>
            <w:vAlign w:val="center"/>
          </w:tcPr>
          <w:p w14:paraId="7ED7882A" w14:textId="4CFFC8CC" w:rsidR="002520CC" w:rsidRPr="00AC53C0" w:rsidRDefault="0051438A" w:rsidP="002520CC">
            <w:pPr>
              <w:spacing w:beforeLines="25" w:before="78" w:afterLines="25" w:after="78"/>
              <w:jc w:val="center"/>
              <w:rPr>
                <w:rFonts w:ascii="Times New Roman" w:hAnsi="Times New Roman" w:cs="Times New Roman"/>
              </w:rPr>
            </w:pPr>
            <w:r>
              <w:rPr>
                <w:rFonts w:ascii="Times New Roman" w:hAnsi="Times New Roman" w:cs="Times New Roman" w:hint="eastAsia"/>
              </w:rPr>
              <w:t>27.9</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{"citationID":"ub39J1pA","properties":{"formattedCitation":"\\super 13\\nosupersub{}","plainCitation":"13","noteIndex":0},"citationItems":[{"id":225,"uris":["http://zotero.org/users/14054239/items/FM78JU66"],"itemData":{"id":225,"type":"article-journal","abstract":"Three basic proline-rich salivary proteins have been produced through the recombinant route. IB5 is a small basic proline-rich protein that is involved in the binding of plant tannins in the oral cavity. II-1 is a larger protein with a closely related backbone; it is glycosylated, and it is also able to bind plant tannins. II-1ng has the same polypeptidic backbone as II-1, but it is not glycosylated. Small angle x-ray scattering experiments on dilute solutions of these proteins confirm that they are intrinsically disordered. IB5 and II-1ng can be described through a chain model including a persistence length and cross section. The measured radii of gyration (Rg = 27.9 and 41.0 ± 1 Å respectively) and largest distances (rmax = 110 and 155 ± 10 Å respectively) show that their average conformations are rather extended. The length of the statistical segment (twice the persistence length) is b = 30 Å, which is larger than the usual value (18 Å − 20 Å) for unstructured polypeptide chains. These characteristics are presumably related to the presence of polyproline helices within the polypeptidic backbones. For both proteins, the radius of gyration of the chain cross-section is Rc = 2.7 ± 0.2Å. The glycosylated protein II-1 has similar conformations but the presence of large polyoside sidegroups yields the structure of a branched macromolecule with the same hydrophobic backbone and hydrophilic branches. It is proposed that the unusually extended conformations of these proteins in solution facilitate the capture of plant tannins in the oral cavity.","container-title":"Biophysical Journal","DOI":"10.1016/j.bpj.2010.04.050","ISSN":"0006-3495","issue":"2","journalAbbreviation":"Biophysical Journal","language":"en","page":"656-665","source":"ScienceDirect","title":"Proline-Rich Salivary Proteins Have Extended Conformations","volume":"99","author":[{"family":"Boze","given":"Hélène"},{"family":"Marlin","given":"Thérèse"},{"family":"Durand","given":"Dominique"},{"family":"Pérez","given":"Javier"},{"family":"Vernhet","given":"Aude"},{"family":"Canon","given":"Francis"},{"family":"Sarni-Manchado","given":"Pascale"},{"family":"Cheynier","given":"Véronique"},{"family":"Cabane","given":"Bernard"}],"issued":{"date-parts":[["2010",7,21]]}}}],"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13</w:t>
            </w:r>
            <w:r w:rsidR="00296CBE">
              <w:rPr>
                <w:rFonts w:ascii="Times New Roman" w:hAnsi="Times New Roman" w:cs="Times New Roman"/>
              </w:rPr>
              <w:fldChar w:fldCharType="end"/>
            </w:r>
          </w:p>
        </w:tc>
        <w:tc>
          <w:tcPr>
            <w:tcW w:w="2766" w:type="dxa"/>
            <w:vAlign w:val="center"/>
          </w:tcPr>
          <w:p w14:paraId="2D8FC00D" w14:textId="23413CC9" w:rsidR="002520CC" w:rsidRPr="00AC53C0" w:rsidRDefault="002B6770" w:rsidP="002520CC">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69AD54AD"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4468F006"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PaaA2</w:t>
            </w:r>
          </w:p>
        </w:tc>
        <w:tc>
          <w:tcPr>
            <w:tcW w:w="2765" w:type="dxa"/>
            <w:vAlign w:val="center"/>
          </w:tcPr>
          <w:p w14:paraId="08CCF904" w14:textId="7EA8E4EE"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22.4</w:t>
            </w:r>
            <w:r>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{"citationID":"Rw5HbsLV","properties":{"formattedCitation":"\\super 14\\nosupersub{}","plainCitation":"14","noteIndex":0},"citationItems":[{"id":160,"uris":["http://zotero.org/users/14054239/items/KNPAGP6G"],"itemData":{"id":160,"type":"article-journal","abstract":"Antitoxins from prokaryotic type II toxin-antitoxin modules are characterized by a high degree of intrinsic disorder. The description of such highly flexible proteins is challenging because they cannot be represented by a single structure. Here, we present a combination of SAXS and NMR data to describe the conformational ensemble of the PaaA2 antitoxin from the human pathogen E. coli O157. The method encompasses the use of SAXS data to filter ensembles out of a pool of conformers generated by a custom NMR structure calculation protocol and the subsequent refinement by a block jackknife procedure. The final ensemble obtained through the method is validated by an established residual dipolar coupling analysis. We show that the conformational ensemble of PaaA2 is highly compact and that the protein exists in solution as two preformed helices, connected by a flexible linker, that probably act as molecular recognition elements for toxin inhibition.","container-title":"Structure","DOI":"10.1016/j.str.2014.03.012","ISSN":"0969-2126","issue":"6","journalAbbreviation":"Structure","language":"en","page":"854-865","source":"ScienceDirect","title":"Small-Angle X-Ray Scattering- and Nuclear Magnetic Resonance-Derived Conformational Ensemble of the Highly Flexible Antitoxin PaaA2","volume":"22","author":[{"family":"Sterckx","given":"Yann G. J."},{"family":"Volkov","given":"Alexander N."},{"family":"Vranken","given":"Wim F."},{"family":"Kragelj","given":"Jaka"},{"family":"Jensen","given":"Malene Ringkjøbing"},{"family":"Buts","given":"Lieven"},{"family":"Garcia-Pino","given":"Abel"},{"family":"Jové","given":"Thomas"},{"family":"Van Melderen","given":"Laurence"},{"family":"Blackledge","given":"Martin"},{"family":"Nuland","given":"Nico A. J.","non-dropping-particle":"van"},{"family":"Loris","given":"Remy"}],"issued":{"date-parts":[["2014",6,10]]}}}],"schema":"https://github.com/citation-style-language/schema/raw/master/csl-citation.json"} </w:instrText>
            </w:r>
            <w:r>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14</w:t>
            </w:r>
            <w:r>
              <w:rPr>
                <w:rFonts w:ascii="Times New Roman" w:hAnsi="Times New Roman" w:cs="Times New Roman"/>
              </w:rPr>
              <w:fldChar w:fldCharType="end"/>
            </w:r>
          </w:p>
        </w:tc>
        <w:tc>
          <w:tcPr>
            <w:tcW w:w="2766" w:type="dxa"/>
            <w:vAlign w:val="center"/>
          </w:tcPr>
          <w:p w14:paraId="3A79B1F8" w14:textId="20B4EA2C" w:rsidR="00446A71" w:rsidRPr="00AC53C0" w:rsidRDefault="00A93DA8" w:rsidP="00446A71">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446A71">
              <w:rPr>
                <w:rFonts w:ascii="Times New Roman" w:hAnsi="Times New Roman" w:cs="Times New Roman" w:hint="eastAsia"/>
              </w:rPr>
              <w:t xml:space="preserve"> chemical shifts</w:t>
            </w:r>
            <w:r w:rsidR="00446A7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{"citationID":"FeTCWIf7","properties":{"formattedCitation":"\\super 14\\nosupersub{}","plainCitation":"14","noteIndex":0},"citationItems":[{"id":160,"uris":["http://zotero.org/users/14054239/items/KNPAGP6G"],"itemData":{"id":160,"type":"article-journal","abstract":"Antitoxins from prokaryotic type II toxin-antitoxin modules are characterized by a high degree of intrinsic disorder. The description of such highly flexible proteins is challenging because they cannot be represented by a single structure. Here, we present a combination of SAXS and NMR data to describe the conformational ensemble of the PaaA2 antitoxin from the human pathogen E. coli O157. The method encompasses the use of SAXS data to filter ensembles out of a pool of conformers generated by a custom NMR structure calculation protocol and the subsequent refinement by a block jackknife procedure. The final ensemble obtained through the method is validated by an established residual dipolar coupling analysis. We show that the conformational ensemble of PaaA2 is highly compact and that the protein exists in solution as two preformed helices, connected by a flexible linker, that probably act as molecular recognition elements for toxin inhibition.","container-title":"Structure","DOI":"10.1016/j.str.2014.03.012","ISSN":"0969-2126","issue":"6","journalAbbreviation":"Structure","language":"en","page":"854-865","source":"ScienceDirect","title":"Small-Angle X-Ray Scattering- and Nuclear Magnetic Resonance-Derived Conformational Ensemble of the Highly Flexible Antitoxin PaaA2","volume":"22","author":[{"family":"Sterckx","given":"Yann G. J."},{"family":"Volkov","given":"Alexander N."},{"family":"Vranken","given":"Wim F."},{"family":"Kragelj","given":"Jaka"},{"family":"Jensen","given":"Malene Ringkjøbing"},{"family":"Buts","given":"Lieven"},{"family":"Garcia-Pino","given":"Abel"},{"family":"Jové","given":"Thomas"},{"family":"Van Melderen","given":"Laurence"},{"family":"Blackledge","given":"Martin"},{"family":"Nuland","given":"Nico A. J.","non-dropping-particle":"van"},{"family":"Loris","given":"Remy"}],"issued":{"date-parts":[["2014",6,10]]}}}],"schema":"https://github.com/citation-style-language/schema/raw/master/csl-citation.json"} </w:instrText>
            </w:r>
            <w:r w:rsidR="00446A7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14</w:t>
            </w:r>
            <w:r w:rsidR="00446A71">
              <w:rPr>
                <w:rFonts w:ascii="Times New Roman" w:hAnsi="Times New Roman" w:cs="Times New Roman"/>
              </w:rPr>
              <w:fldChar w:fldCharType="end"/>
            </w:r>
          </w:p>
        </w:tc>
      </w:tr>
      <w:tr w:rsidR="00446A71" w14:paraId="6B2D9B44"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39966C08"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ACTR</w:t>
            </w:r>
          </w:p>
        </w:tc>
        <w:tc>
          <w:tcPr>
            <w:tcW w:w="2765" w:type="dxa"/>
            <w:vAlign w:val="center"/>
          </w:tcPr>
          <w:p w14:paraId="5ABB3A0F" w14:textId="00F31F82"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25</w:t>
            </w:r>
            <w:r w:rsidR="002D73E1">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{"citationID":"2OnxNsjn","properties":{"formattedCitation":"\\super 15\\nosupersub{}","plainCitation":"15","noteIndex":0},"citationItems":[{"id":184,"uris":["http://zotero.org/users/14054239/items/B2EN8ATX"],"itemData":{"id":184,"type":"article-journal","abstract":"Structural characterization of intrinsically disordered proteins (IDPs) is mandatory for deciphering their potential unique physical and biological properties. A large number of circular dichroism (CD) studies have demonstrated that a structural change takes place in IDPs with increasing temperature, which most likely reflects formation of transient α‒helices or loss of polyproline II (PPII) content. Using three IDPs, ACTR, NHE1, and Spd1, we show that the temperature-induced structural change is common among IDPs and is accompanied by a contraction of the conformational ensemble. This phenomenon was explored at residue resolution by multidimensional NMR spectroscopy. Intrinsic chemical shift referencing allowed us to identify regions of transiently formed helices and their temperature-dependent changes in helicity. All helical regions were found to lose rather than gain helical structures with increasing temperature, and accordingly these were not responsible for the change in the CD spectra. In contrast, the nonhelical regions exhibited a general temperature-dependent structural change that was independent of long-range interactions. The temperature-dependent CD spectroscopic signature of IDPs that has been amply documented can be rationalized to represent redistribution of the statistical coil involving a general loss of PPII conformations.","container-title":"Protein Science","DOI":"10.1002/pro.435","ISSN":"1469-896X","issue":"8","language":"en","license":"Copyright © 2010 The Protein Society","note":"_eprint: https://onlinelibrary.wiley.com/doi/pdf/10.1002/pro.435","page":"1555-1564","source":"Wiley Online Library","title":"Temperature-dependent structural changes in intrinsically disordered proteins: Formation of α‒helices or loss of polyproline II?","title-short":"Temperature-dependent structural changes in intrinsically disordered proteins","volume":"19","author":[{"family":"Kjaergaard","given":"Magnus"},{"family":"Nørholm","given":"Ann‒Beth"},{"family":"Hendus‒Altenburger","given":"Ruth"},{"family":"Pedersen","given":"Stine F."},{"family":"Poulsen","given":"Flemming M."},{"family":"Kragelund","given":"Birthe B."}],"issued":{"date-parts":[["2010"]]}}}],"schema":"https://github.com/citation-style-language/schema/raw/master/csl-citation.json"}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15</w:t>
            </w:r>
            <w:r w:rsidR="002D73E1">
              <w:rPr>
                <w:rFonts w:ascii="Times New Roman" w:hAnsi="Times New Roman" w:cs="Times New Roman"/>
              </w:rPr>
              <w:fldChar w:fldCharType="end"/>
            </w:r>
          </w:p>
        </w:tc>
        <w:tc>
          <w:tcPr>
            <w:tcW w:w="2766" w:type="dxa"/>
            <w:vAlign w:val="center"/>
          </w:tcPr>
          <w:p w14:paraId="5BAF3268" w14:textId="0602CB62" w:rsidR="00446A71" w:rsidRPr="00AC53C0" w:rsidRDefault="00A93DA8" w:rsidP="00446A71">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446A71">
              <w:rPr>
                <w:rFonts w:ascii="Times New Roman" w:hAnsi="Times New Roman" w:cs="Times New Roman" w:hint="eastAsia"/>
              </w:rPr>
              <w:t xml:space="preserve"> chemical shifts</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{"citationID":"n729ngWO","properties":{"formattedCitation":"\\super 16\\nosupersub{}","plainCitation":"16","noteIndex":0},"citationItems":[{"id":186,"uris":["http://zotero.org/users/14054239/items/FSFJBFWE"],"itemData":{"id":186,"type":"article-journal","abstract":"Intrinsically disordered proteins (IDPs) are widespread and important in biology but defy the classical protein structure–function paradigm by being functional in the absence of a stable, folded conformation. Here we investigate the coupling between transient secondary and tertiary structure in the protein activator for thyroid hormone and retinoid receptors (ACTR) by rationally modulating the helical propensity of a partially formed α-helix via mutations. Eight mutations predicted to affect the population of a transient helix were produced and investigated by NMR spectroscopy. Chemical shift changes distant to the mutation site are observed in regions containing other transient helices indicating that distant helices are stabilized through long-range hydrophobic helix–helix interactions and demonstrating the coupling of transient secondary and tertiary structure. The long-range structure of ACTR is also probed using paramagnetic relaxation enhancements (PRE) and residual dipolar couplings, which reveal an additional long-range contact between the N- and C-terminal segments. Compared to residual dipolar couplings and PRE, modulation of the helical propensity by mutagenesis thus reveals a different set of long-range interactions that may be obscured by stronger interactions that dominate other NMR measurements. This approach thus offers a complementary and generally applicable strategy for probing long-range structure in disordered proteins.","container-title":"Journal of the American Chemical Society","DOI":"10.1021/ja4045532","ISSN":"0002-7863","issue":"27","journalAbbreviation":"J. Am. Chem. Soc.","language":"en","note":"publisher: American Chemical Society","page":"10155-10163","source":"ACS Publications","title":"Modulation of the Intrinsic Helix Propensity of an Intrinsically Disordered Protein Reveals Long-Range Helix–Helix Interactions","volume":"135","author":[{"family":"Iešmantavičius","given":"Vytautas"},{"family":"Jensen","given":"Malene Ringkjøbing"},{"family":"Ozenne","given":"Valéry"},{"family":"Blackledge","given":"Martin"},{"family":"Poulsen","given":"Flemming M."},{"family":"Kjaergaard","given":"Magnus"}],"issued":{"date-parts":[["2013",7,10]]}}}],"schema":"https://github.com/citation-style-language/schema/raw/master/csl-citation.json"}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16</w:t>
            </w:r>
            <w:r w:rsidR="002D73E1">
              <w:rPr>
                <w:rFonts w:ascii="Times New Roman" w:hAnsi="Times New Roman" w:cs="Times New Roman"/>
              </w:rPr>
              <w:fldChar w:fldCharType="end"/>
            </w:r>
          </w:p>
        </w:tc>
      </w:tr>
      <w:tr w:rsidR="00446A71" w14:paraId="7690349F" w14:textId="77777777" w:rsidTr="00252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4FAA7796" w14:textId="77777777" w:rsidR="00446A71" w:rsidRPr="00AC53C0" w:rsidRDefault="00446A71" w:rsidP="00446A71">
            <w:pPr>
              <w:spacing w:beforeLines="25" w:before="78" w:afterLines="25" w:after="78"/>
              <w:jc w:val="center"/>
              <w:rPr>
                <w:rFonts w:ascii="Times New Roman" w:hAnsi="Times New Roman" w:cs="Times New Roman"/>
              </w:rPr>
            </w:pPr>
            <w:proofErr w:type="spellStart"/>
            <w:r w:rsidRPr="00AC53C0">
              <w:rPr>
                <w:rFonts w:ascii="Times New Roman" w:hAnsi="Times New Roman" w:cs="Times New Roman"/>
              </w:rPr>
              <w:t>drkN</w:t>
            </w:r>
            <w:proofErr w:type="spellEnd"/>
            <w:r w:rsidRPr="00AC53C0">
              <w:rPr>
                <w:rFonts w:ascii="Times New Roman" w:hAnsi="Times New Roman" w:cs="Times New Roman"/>
              </w:rPr>
              <w:t xml:space="preserve"> SH3</w:t>
            </w:r>
          </w:p>
        </w:tc>
        <w:tc>
          <w:tcPr>
            <w:tcW w:w="2765" w:type="dxa"/>
            <w:vAlign w:val="center"/>
          </w:tcPr>
          <w:p w14:paraId="59BAA74F" w14:textId="232EACD1"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16.7</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{"citationID":"72aAps1q","properties":{"formattedCitation":"\\super 17\\nosupersub{}","plainCitation":"17","noteIndex":0},"citationItems":[{"id":180,"uris":["http://zotero.org/users/14054239/items/QQKAE2XL"],"itemData":{"id":180,"type":"article-journal","abstract":"The size distribution of molecules within an unfolded state of the N-terminal SH3 domain of drk (drkN SH3) has been studied by small-angle X-ray scattering (SAXS) and pulsed-field-gradient NMR (PFG-NMR) methods. An empirical model to describe this distribution in the unfolded state ensemble has been proposed based on (i) the ensemble-averaged radius of gyration and hydrodynamic radius derived from the SAXS and PFG-NMR data, respectively, and (ii) a histogram of the size distribution of structures obtained from preliminary analyses of structural parameters recorded on the unfolded state. Results show that this unfolded state, Uexch, which exists in equilibrium with the folded state, Fexch, under non-denaturing conditions, is relatively compact, with the average size of conformers within the unfolded state ensemble only 30–40 % larger than the folded state structure. In addition, the model predicts a significant overlap in the size range of structures comprising the Uexch state with those in a denatured state obtained by addition of 2 M guanidinium chloride.","container-title":"Journal of Molecular Biology","DOI":"10.1006/jmbi.2001.5328","ISSN":"0022-2836","issue":"1","journalAbbreviation":"Journal of Molecular Biology","language":"en","page":"101-112","source":"ScienceDirect","title":"Distribution of molecular size within an unfolded state ensemble using small-angle X-ray scattering and pulse field gradient NMR techniques1","volume":"316","author":[{"family":"Choy","given":"Wing-Yiu"},{"family":"Mulder","given":"Frans A. A."},{"family":"Crowhurst","given":"Karin A."},{"family":"Muhandiram","given":"D. R."},{"family":"Millett","given":"Ian S."},{"family":"Doniach","given":"Sebastian"},{"family":"Forman-Kay","given":"Julie D."},{"family":"Kay","given":"Lewis E."}],"issued":{"date-parts":[["2002",2,8]]}}}],"schema":"https://github.com/citation-style-language/schema/raw/master/csl-citation.json"}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17</w:t>
            </w:r>
            <w:r w:rsidR="002D73E1">
              <w:rPr>
                <w:rFonts w:ascii="Times New Roman" w:hAnsi="Times New Roman" w:cs="Times New Roman"/>
              </w:rPr>
              <w:fldChar w:fldCharType="end"/>
            </w:r>
          </w:p>
        </w:tc>
        <w:tc>
          <w:tcPr>
            <w:tcW w:w="2766" w:type="dxa"/>
            <w:vAlign w:val="center"/>
          </w:tcPr>
          <w:p w14:paraId="68B1582A" w14:textId="6D347B68" w:rsidR="00446A71" w:rsidRPr="00AC53C0" w:rsidRDefault="00A93DA8" w:rsidP="00446A71">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446A71">
              <w:rPr>
                <w:rFonts w:ascii="Times New Roman" w:hAnsi="Times New Roman" w:cs="Times New Roman" w:hint="eastAsia"/>
              </w:rPr>
              <w:t xml:space="preserve"> chemical shifts</w:t>
            </w:r>
            <w:r w:rsidR="002D73E1">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{"citationID":"3PXJmSG2","properties":{"formattedCitation":"\\super 18\\nosupersub{}","plainCitation":"18","noteIndex":0},"citationItems":[{"id":182,"uris":["http://zotero.org/users/14054239/items/P59DNDYN"],"itemData":{"id":182,"type":"article-journal","abstract":"The molecular chaperone heat shock protein 70 (Hsp70) plays a vital role in cellular processes, including protein folding and assembly, and helps prevent aggregation under physiological and stress-related conditions. Although the structural changes undergone by full-length client proteins upon interaction with DnaK (i.e., Escherichia coli Hsp70) are fundamental to understand chaperone-mediated protein folding, these changes are still largely unexplored. Here, we show that multiple conformations of the SRC homology 3 domain (SH3) client protein interact with the ADP-bound form of the DnaK chaperone. Chaperone-bound SH3 is largely unstructured yet distinct from the unfolded state in the absence of DnaK. The bound client protein shares a highly flexible N terminus and multiple slowly interconverting conformations in different parts of the sequence. In all, there is significant structural and dynamical heterogeneity in the DnaK-bound client protein, revealing that proteins may undergo some conformational sampling while chaperone-bound. This result is important because it shows that the surface of the Hsp70 chaperone provides an aggregation-free environment able to support part of the search for the native state.","container-title":"Proceedings of the National Academy of Sciences","DOI":"10.1073/pnas.1505173112","issue":"31","language":"en","note":"publisher: Proceedings of the National Academy of Sciences","page":"E4206-E4215","source":"pnas.org (Atypon)","title":"Heterogeneous binding of the SH3 client protein to the DnaK molecular chaperone","volume":"112","author":[{"family":"Lee","given":"Jung Ho"},{"family":"Zhang","given":"Dongyu"},{"family":"Hughes","given":"Christopher"},{"family":"Okuno","given":"Yusuke"},{"family":"Sekhar","given":"Ashok"},{"family":"Cavagnero","given":"Silvia"}],"issued":{"date-parts":[["2015",8,4]]}}}],"schema":"https://github.com/citation-style-language/schema/raw/master/csl-citation.json"} </w:instrText>
            </w:r>
            <w:r w:rsidR="002D73E1">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18</w:t>
            </w:r>
            <w:r w:rsidR="002D73E1">
              <w:rPr>
                <w:rFonts w:ascii="Times New Roman" w:hAnsi="Times New Roman" w:cs="Times New Roman"/>
              </w:rPr>
              <w:fldChar w:fldCharType="end"/>
            </w:r>
          </w:p>
        </w:tc>
      </w:tr>
      <w:tr w:rsidR="00446A71" w14:paraId="109948FA" w14:textId="77777777" w:rsidTr="002520CC">
        <w:tc>
          <w:tcPr>
            <w:tcW w:w="2765" w:type="dxa"/>
            <w:tcBorders>
              <w:top w:val="nil"/>
              <w:left w:val="nil"/>
              <w:bottom w:val="nil"/>
              <w:right w:val="nil"/>
            </w:tcBorders>
            <w:vAlign w:val="center"/>
          </w:tcPr>
          <w:p w14:paraId="153FB126" w14:textId="77777777" w:rsidR="00446A71" w:rsidRPr="00AC53C0" w:rsidRDefault="00446A71" w:rsidP="00446A71">
            <w:pPr>
              <w:spacing w:beforeLines="25" w:before="78" w:afterLines="25" w:after="78"/>
              <w:jc w:val="center"/>
              <w:rPr>
                <w:rFonts w:ascii="Times New Roman" w:hAnsi="Times New Roman" w:cs="Times New Roman"/>
              </w:rPr>
            </w:pPr>
            <w:proofErr w:type="spellStart"/>
            <w:r w:rsidRPr="00AC53C0">
              <w:rPr>
                <w:rFonts w:ascii="Times New Roman" w:hAnsi="Times New Roman" w:cs="Times New Roman"/>
              </w:rPr>
              <w:t>Juxtanodin</w:t>
            </w:r>
            <w:proofErr w:type="spellEnd"/>
          </w:p>
        </w:tc>
        <w:tc>
          <w:tcPr>
            <w:tcW w:w="2765" w:type="dxa"/>
            <w:tcBorders>
              <w:top w:val="nil"/>
              <w:left w:val="nil"/>
              <w:bottom w:val="nil"/>
              <w:right w:val="nil"/>
            </w:tcBorders>
            <w:vAlign w:val="center"/>
          </w:tcPr>
          <w:p w14:paraId="477BBC2C" w14:textId="7215BCF4"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55.9</w:t>
            </w:r>
            <w:r w:rsidR="00183C39">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{"citationID":"Z31fYFrV","properties":{"formattedCitation":"\\super 19\\nosupersub{}","plainCitation":"19","noteIndex":0},"citationItems":[{"id":204,"uris":["http://zotero.org/users/14054239/items/XYRAEIW7"],"itemData":{"id":204,"type":"article-journal","abstract":"Juxtanodin, also called ermin, is an F-actin-binding protein expressed by oligodendrocytes, the myelin-forming cells of the central nervous system. While juxtanodin carries a short conserved F-actin-binding segment at its C terminus, it otherwise shares no similarity with known protein sequences. We carried out a structural characterization of recombinant juxtanodin in solution. Juxtanodin turned out to be intrinsically disordered, as evidenced by conventional and synchrotron radiation CD spectroscopy. Small-angle X-ray scattering indicated that juxtanodin is a monomeric, highly elongated, unfolded molecule. Ensemble optimization analysis of the data suggested also the presence of more compact forms of juxtanodin. The C terminus was a strict requirement for co-sedimentation of juxtanodin with microfilaments, but juxtanodin had only mild effects on actin polymerization. The disordered nature of juxtanodin may predict functions as a protein interaction hub, although F-actin is its only currently known binding partner.","container-title":"Scientific Reports","DOI":"10.1038/srep00899","ISSN":"2045-2322","issue":"1","journalAbbreviation":"Sci Rep","language":"en","license":"2012 The Author(s)","note":"publisher: Nature Publishing Group","page":"899","source":"www.nature.com","title":"Juxtanodin is an intrinsically disordered F-actin-binding protein","volume":"2","author":[{"family":"Ruskamo","given":"Salla"},{"family":"Chukhlieb","given":"Maryna"},{"family":"Vahokoski","given":"Juha"},{"family":"Bhargav","given":"Saligram Prabhakar"},{"family":"Liang","given":"Fengyi"},{"family":"Kursula","given":"Inari"},{"family":"Kursula","given":"Petri"}],"issued":{"date-parts":[["2012",11,29]]}}}],"schema":"https://github.com/citation-style-language/schema/raw/master/csl-citation.json"}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19</w:t>
            </w:r>
            <w:r w:rsidR="00183C39">
              <w:rPr>
                <w:rFonts w:ascii="Times New Roman" w:hAnsi="Times New Roman" w:cs="Times New Roman"/>
              </w:rPr>
              <w:fldChar w:fldCharType="end"/>
            </w:r>
          </w:p>
        </w:tc>
        <w:tc>
          <w:tcPr>
            <w:tcW w:w="2766" w:type="dxa"/>
            <w:tcBorders>
              <w:top w:val="nil"/>
              <w:left w:val="nil"/>
              <w:bottom w:val="nil"/>
              <w:right w:val="nil"/>
            </w:tcBorders>
            <w:vAlign w:val="center"/>
          </w:tcPr>
          <w:p w14:paraId="70EEB4C1" w14:textId="18C5AD42"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212955DF" w14:textId="77777777" w:rsidTr="002520CC">
        <w:tc>
          <w:tcPr>
            <w:tcW w:w="2765" w:type="dxa"/>
            <w:tcBorders>
              <w:top w:val="nil"/>
              <w:left w:val="nil"/>
              <w:bottom w:val="nil"/>
              <w:right w:val="nil"/>
            </w:tcBorders>
            <w:vAlign w:val="center"/>
          </w:tcPr>
          <w:p w14:paraId="639151D8"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 xml:space="preserve">α </w:t>
            </w:r>
            <w:r>
              <w:rPr>
                <w:rFonts w:ascii="Times New Roman" w:hAnsi="Times New Roman" w:cs="Times New Roman" w:hint="eastAsia"/>
              </w:rPr>
              <w:t>S</w:t>
            </w:r>
            <w:r w:rsidRPr="00AC53C0">
              <w:rPr>
                <w:rFonts w:ascii="Times New Roman" w:hAnsi="Times New Roman" w:cs="Times New Roman"/>
              </w:rPr>
              <w:t>ynuclein</w:t>
            </w:r>
          </w:p>
        </w:tc>
        <w:tc>
          <w:tcPr>
            <w:tcW w:w="2765" w:type="dxa"/>
            <w:tcBorders>
              <w:top w:val="nil"/>
              <w:left w:val="nil"/>
              <w:bottom w:val="nil"/>
              <w:right w:val="nil"/>
            </w:tcBorders>
            <w:vAlign w:val="center"/>
          </w:tcPr>
          <w:p w14:paraId="58FDC00E" w14:textId="02958327"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33</w:t>
            </w:r>
            <w:r w:rsidR="00183C39">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{"citationID":"tTF00Vng","properties":{"formattedCitation":"\\super 20\\nosupersub{}","plainCitation":"20","noteIndex":0},"citationItems":[{"id":196,"uris":["http://zotero.org/users/14054239/items/PSE6SQCY"],"itemData":{"id":196,"type":"article-journal","abstract":"The effects of solution conditions on protein collapse were studied by measuring the hydrodynamic radii of two unfolded proteins, α-synuclein and acid-denatured ferricytochrome c, in dilute solution and in 1 M glucose. The radius of α-synuclein in dilute solution is less than that predicted for a highly denatured state, and adding 1 M glucose causes further collapse. Circular dichroic data show that α-synuclein lacks organized structure in both dilute solution and 1 M glucose. On the other hand, the radius of acid-denatured cytochrome c in dilute solution is consistent with that of a highly denatured state, and 1 M glucose induces collapse to the size and structure of native cytochrome c. Taken together, these data show that α-synuclein, a natively unfolded protein, is collapsed even in dilute solution, but lacks structure.","container-title":"Protein Science","DOI":"10.1110/ps.24301","ISSN":"1469-896X","issue":"11","language":"en","license":"Copyright © 2001 The Protein Society","note":"_eprint: https://onlinelibrary.wiley.com/doi/pdf/10.1110/ps.24301","page":"2195-2199","source":"Wiley Online Library","title":"Solvent-induced collapse of α-synuclein and acid-denatured cytochrome c","volume":"10","author":[{"family":"Morar","given":"Artemiza S."},{"family":"Olteanu","given":"Alina"},{"family":"Young","given":"Gregory B."},{"family":"Pielak","given":"Gary J."}],"issued":{"date-parts":[["2001"]]}}}],"schema":"https://github.com/citation-style-language/schema/raw/master/csl-citation.json"}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20</w:t>
            </w:r>
            <w:r w:rsidR="00183C39">
              <w:rPr>
                <w:rFonts w:ascii="Times New Roman" w:hAnsi="Times New Roman" w:cs="Times New Roman"/>
              </w:rPr>
              <w:fldChar w:fldCharType="end"/>
            </w:r>
          </w:p>
        </w:tc>
        <w:tc>
          <w:tcPr>
            <w:tcW w:w="2766" w:type="dxa"/>
            <w:tcBorders>
              <w:top w:val="nil"/>
              <w:left w:val="nil"/>
              <w:bottom w:val="nil"/>
              <w:right w:val="nil"/>
            </w:tcBorders>
            <w:vAlign w:val="center"/>
          </w:tcPr>
          <w:p w14:paraId="19BDCB34" w14:textId="1FB1734C" w:rsidR="00446A71" w:rsidRPr="00AC53C0" w:rsidRDefault="00A93DA8" w:rsidP="00446A71">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446A71">
              <w:rPr>
                <w:rFonts w:ascii="Times New Roman" w:hAnsi="Times New Roman" w:cs="Times New Roman" w:hint="eastAsia"/>
              </w:rPr>
              <w:t xml:space="preserve"> chemical shifts</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{"citationID":"ql6ZgPQu","properties":{"formattedCitation":"\\super 21\\nosupersub{}","plainCitation":"21","noteIndex":0},"citationItems":[{"id":194,"uris":["http://zotero.org/users/14054239/items/4B759GFS"],"itemData":{"id":194,"type":"article-journal","abstract":"Overexpression of the p160 steroid receptor coactivator ACTR is associated with breast and ovarian cancers. Complex formation between ACTR and the general transcriptional coactivators CBP and p300 plays a key role in the nuclear receptor-dependent regulation of gene transcription and was the first reported example of mutual synergistic folding of two disordered polypeptide chains. In order to investigate the structure and dynamics of the free domains and complex, we measured and analyzed 15N longitudinal and transverse relaxation rates and [1H]−15N heteronuclear Overhauser effects of the backbone amides of the free and bound forms of human ACTR (residues 1041−1088) and mouse CBP (residues 2059−2117). Secondary chemical shifts for the free and bound forms were well correlated with the extent of backbone flexibility. The free ACTR domain has no residual secondary structure and shows all of the characteristics of a completely unfolded polypeptide chain. The free CBP domain retains most of the α-helical content seen in the complex but is significantly more flexible. Despite the disordered nature of the free individual domains, the complex has the motional characteristics of a completely folded protein complex and has no significant residual backbone fluctuation that might compensate for the massive loss of conformational entropy upon complex formation.","container-title":"Biochemistry","DOI":"10.1021/bi701767j","ISSN":"0006-2960","issue":"5","journalAbbreviation":"Biochemistry","language":"en","note":"publisher: American Chemical Society","page":"1299-1308","source":"ACS Publications","title":"NMR Relaxation Study of the Complex Formed Between CBP and the Activation Domain of the Nuclear Hormone Receptor Coactivator ACTR†","volume":"47","author":[{"family":"Ebert","given":"Marc-Olivier"},{"family":"Bae","given":"Sung-Hun"},{"family":"Dyson","given":"H. Jane"},{"family":"Wright","given":"Peter E."}],"issued":{"date-parts":[["2008",2,1]]}}}],"schema":"https://github.com/citation-style-language/schema/raw/master/csl-citation.json"}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21</w:t>
            </w:r>
            <w:r w:rsidR="00183C39">
              <w:rPr>
                <w:rFonts w:ascii="Times New Roman" w:hAnsi="Times New Roman" w:cs="Times New Roman"/>
              </w:rPr>
              <w:fldChar w:fldCharType="end"/>
            </w:r>
          </w:p>
        </w:tc>
      </w:tr>
      <w:tr w:rsidR="00446A71" w14:paraId="6CE35419" w14:textId="77777777" w:rsidTr="002520CC">
        <w:tc>
          <w:tcPr>
            <w:tcW w:w="2765" w:type="dxa"/>
            <w:tcBorders>
              <w:top w:val="nil"/>
              <w:left w:val="nil"/>
              <w:bottom w:val="nil"/>
              <w:right w:val="nil"/>
            </w:tcBorders>
            <w:vAlign w:val="center"/>
          </w:tcPr>
          <w:p w14:paraId="49D00688"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 xml:space="preserve">β </w:t>
            </w:r>
            <w:r>
              <w:rPr>
                <w:rFonts w:ascii="Times New Roman" w:hAnsi="Times New Roman" w:cs="Times New Roman" w:hint="eastAsia"/>
              </w:rPr>
              <w:t>S</w:t>
            </w:r>
            <w:r w:rsidRPr="00AC53C0">
              <w:rPr>
                <w:rFonts w:ascii="Times New Roman" w:hAnsi="Times New Roman" w:cs="Times New Roman"/>
              </w:rPr>
              <w:t>ynuclein</w:t>
            </w:r>
          </w:p>
        </w:tc>
        <w:tc>
          <w:tcPr>
            <w:tcW w:w="2765" w:type="dxa"/>
            <w:tcBorders>
              <w:top w:val="nil"/>
              <w:left w:val="nil"/>
              <w:bottom w:val="nil"/>
              <w:right w:val="nil"/>
            </w:tcBorders>
            <w:vAlign w:val="center"/>
          </w:tcPr>
          <w:p w14:paraId="4C9763ED" w14:textId="7E14953D"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49</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{"citationID":"3HEMsxCT","properties":{"formattedCitation":"\\super 22\\nosupersub{}","plainCitation":"22","noteIndex":0},"citationItems":[{"id":201,"uris":["http://zotero.org/users/14054239/items/K2XUSLBR"],"itemData":{"id":201,"type":"article-journal","abstract":"The pathological hallmark of Parkinson's disease is the presence of intracellular inclusions, Lewy bodies, and Lewy neurites, in the dopaminergic neurons of the substantia nigra and several other brain regions. Filamentous α-synuclein is the major component of these deposits and its aggregation is believed to play an important role in Parkinson's disease and several other neurodegenerative diseases. Two homologous proteins, β- and γ-synucleins, are also abundant in the brain. The synucleins are natively unfolded proteins. β-Synuclein, which lacks 11 central hydrophobic residues compared with its homologs, exhibited the properties of a random coil, whereas α- and γ-synucleins were slightly more compact and structured. γ-Synuclein, unlike its homologs, formed a soluble oligomer at relatively low concentrations, which appears to be an off-fibrillation pathway species. Here we show that, although they have similar biophysical properties to α-synuclein, β- And γ-synucleins inhibit α-synuclein fibril formation. Complete inhibition of α-synuclein fibrillation was observed at 4:1 molar excess of β- and γ-synucleins. No significant incorporation of β-synuclein into the fibrils was detected. The lack of fibrils formed by β-synuclein is most readily explained by the absence of a stretch of hydrophobic residues from the middle region of the protein. A model for the inhibition is proposed.","container-title":"Journal of Biological Chemistry","DOI":"10.1074/jbc.M109541200","ISSN":"0021-9258","issue":"14","journalAbbreviation":"Journal of Biological Chemistry","language":"en","page":"11970-11978","source":"ScienceDirect","title":"Biophysical Properties of the Synucleins and Their Propensities to Fibrillate: INHIBITION OF α-SYNUCLEIN ASSEMBLY BY β- AND γ-SYNUCLEINS*","title-short":"Biophysical Properties of the Synucleins and Their Propensities to Fibrillate","volume":"277","author":[{"family":"Uversky","given":"Vladimir N."},{"family":"Li","given":"Jie"},{"family":"Souillac","given":"Pierre"},{"family":"Millett","given":"Ian S."},{"family":"Doniach","given":"Sebastian"},{"family":"Jakes","given":"Ross"},{"family":"Goedert","given":"Michel"},{"family":"Fink","given":"Anthony L."}],"issued":{"date-parts":[["2002",4,5]]}}}],"schema":"https://github.com/citation-style-language/schema/raw/master/csl-citation.json"}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22</w:t>
            </w:r>
            <w:r w:rsidR="00183C39">
              <w:rPr>
                <w:rFonts w:ascii="Times New Roman" w:hAnsi="Times New Roman" w:cs="Times New Roman"/>
              </w:rPr>
              <w:fldChar w:fldCharType="end"/>
            </w:r>
          </w:p>
        </w:tc>
        <w:tc>
          <w:tcPr>
            <w:tcW w:w="2766" w:type="dxa"/>
            <w:tcBorders>
              <w:top w:val="nil"/>
              <w:left w:val="nil"/>
              <w:bottom w:val="nil"/>
              <w:right w:val="nil"/>
            </w:tcBorders>
            <w:vAlign w:val="center"/>
          </w:tcPr>
          <w:p w14:paraId="66E150BD" w14:textId="72948654"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595F9E52" w14:textId="77777777" w:rsidTr="002520CC">
        <w:tc>
          <w:tcPr>
            <w:tcW w:w="2765" w:type="dxa"/>
            <w:tcBorders>
              <w:top w:val="nil"/>
              <w:left w:val="nil"/>
              <w:bottom w:val="nil"/>
              <w:right w:val="nil"/>
            </w:tcBorders>
            <w:vAlign w:val="center"/>
          </w:tcPr>
          <w:p w14:paraId="681E436F"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 xml:space="preserve">γ </w:t>
            </w:r>
            <w:r>
              <w:rPr>
                <w:rFonts w:ascii="Times New Roman" w:hAnsi="Times New Roman" w:cs="Times New Roman" w:hint="eastAsia"/>
              </w:rPr>
              <w:t>S</w:t>
            </w:r>
            <w:r w:rsidRPr="00AC53C0">
              <w:rPr>
                <w:rFonts w:ascii="Times New Roman" w:hAnsi="Times New Roman" w:cs="Times New Roman"/>
              </w:rPr>
              <w:t>ynuclein</w:t>
            </w:r>
          </w:p>
        </w:tc>
        <w:tc>
          <w:tcPr>
            <w:tcW w:w="2765" w:type="dxa"/>
            <w:tcBorders>
              <w:top w:val="nil"/>
              <w:left w:val="nil"/>
              <w:bottom w:val="nil"/>
              <w:right w:val="nil"/>
            </w:tcBorders>
            <w:vAlign w:val="center"/>
          </w:tcPr>
          <w:p w14:paraId="6C0DD901" w14:textId="47DCE0F0"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61</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{"citationID":"26FcEvJH","properties":{"formattedCitation":"\\super 22\\nosupersub{}","plainCitation":"22","noteIndex":0},"citationItems":[{"id":201,"uris":["http://zotero.org/users/14054239/items/K2XUSLBR"],"itemData":{"id":201,"type":"article-journal","abstract":"The pathological hallmark of Parkinson's disease is the presence of intracellular inclusions, Lewy bodies, and Lewy neurites, in the dopaminergic neurons of the substantia nigra and several other brain regions. Filamentous α-synuclein is the major component of these deposits and its aggregation is believed to play an important role in Parkinson's disease and several other neurodegenerative diseases. Two homologous proteins, β- and γ-synucleins, are also abundant in the brain. The synucleins are natively unfolded proteins. β-Synuclein, which lacks 11 central hydrophobic residues compared with its homologs, exhibited the properties of a random coil, whereas α- and γ-synucleins were slightly more compact and structured. γ-Synuclein, unlike its homologs, formed a soluble oligomer at relatively low concentrations, which appears to be an off-fibrillation pathway species. Here we show that, although they have similar biophysical properties to α-synuclein, β- And γ-synucleins inhibit α-synuclein fibril formation. Complete inhibition of α-synuclein fibrillation was observed at 4:1 molar excess of β- and γ-synucleins. No significant incorporation of β-synuclein into the fibrils was detected. The lack of fibrils formed by β-synuclein is most readily explained by the absence of a stretch of hydrophobic residues from the middle region of the protein. A model for the inhibition is proposed.","container-title":"Journal of Biological Chemistry","DOI":"10.1074/jbc.M109541200","ISSN":"0021-9258","issue":"14","journalAbbreviation":"Journal of Biological Chemistry","language":"en","page":"11970-11978","source":"ScienceDirect","title":"Biophysical Properties of the Synucleins and Their Propensities to Fibrillate: INHIBITION OF α-SYNUCLEIN ASSEMBLY BY β- AND γ-SYNUCLEINS*","title-short":"Biophysical Properties of the Synucleins and Their Propensities to Fibrillate","volume":"277","author":[{"family":"Uversky","given":"Vladimir N."},{"family":"Li","given":"Jie"},{"family":"Souillac","given":"Pierre"},{"family":"Millett","given":"Ian S."},{"family":"Doniach","given":"Sebastian"},{"family":"Jakes","given":"Ross"},{"family":"Goedert","given":"Michel"},{"family":"Fink","given":"Anthony L."}],"issued":{"date-parts":[["2002",4,5]]}}}],"schema":"https://github.com/citation-style-language/schema/raw/master/csl-citation.json"}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22</w:t>
            </w:r>
            <w:r w:rsidR="00183C39">
              <w:rPr>
                <w:rFonts w:ascii="Times New Roman" w:hAnsi="Times New Roman" w:cs="Times New Roman"/>
              </w:rPr>
              <w:fldChar w:fldCharType="end"/>
            </w:r>
          </w:p>
        </w:tc>
        <w:tc>
          <w:tcPr>
            <w:tcW w:w="2766" w:type="dxa"/>
            <w:tcBorders>
              <w:top w:val="nil"/>
              <w:left w:val="nil"/>
              <w:bottom w:val="nil"/>
              <w:right w:val="nil"/>
            </w:tcBorders>
            <w:vAlign w:val="center"/>
          </w:tcPr>
          <w:p w14:paraId="6A4AF9D7" w14:textId="46F23E0D"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21E35366" w14:textId="77777777" w:rsidTr="002520CC">
        <w:tc>
          <w:tcPr>
            <w:tcW w:w="2765" w:type="dxa"/>
            <w:tcBorders>
              <w:top w:val="nil"/>
              <w:left w:val="nil"/>
              <w:bottom w:val="nil"/>
              <w:right w:val="nil"/>
            </w:tcBorders>
            <w:vAlign w:val="center"/>
          </w:tcPr>
          <w:p w14:paraId="44499B3C"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Tau K18</w:t>
            </w:r>
          </w:p>
        </w:tc>
        <w:tc>
          <w:tcPr>
            <w:tcW w:w="2765" w:type="dxa"/>
            <w:tcBorders>
              <w:top w:val="nil"/>
              <w:left w:val="nil"/>
              <w:bottom w:val="nil"/>
              <w:right w:val="nil"/>
            </w:tcBorders>
            <w:vAlign w:val="center"/>
          </w:tcPr>
          <w:p w14:paraId="56D538C4" w14:textId="7AA2C758"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38</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{"citationID":"DO7GbLLi","properties":{"formattedCitation":"\\super 23\\nosupersub{}","plainCitation":"23","noteIndex":0},"citationItems":[{"id":199,"uris":["http://zotero.org/users/14054239/items/QX8RKL98"],"itemData":{"id":199,"type":"article-journal","abstract":"Tau is one of the two main proteins involved in the pathology of Alzheimer’s disease via formation of β-sheet rich intracellular aggregates named paired helical filaments (PHFs). Given that tau is a natively unfolded protein with no folded core (even upon binding to physiological partners such as microtubules), its structural analysis by high-resolution techniques has been difficult. In this study, employing solution small-angle X-ray scattering from the full length isoforms and from a variety of deletion and point mutants the conformation of tau in solution is structurally characterized. A recently developed ensemble optimization method was employed to generate pools of random models and to select ensembles of coexisting conformations, which fitted simultaneously the scattering data from the full length protein and deletion mutants. The analysis of the structural properties of these selected ensembles allowed us to extract information about residual structure in different domains of the native protein. The short deletion mutants containing the repeat domain (considered the core constituent of the PHFs) are significantly more extended than random coils, suggesting an extended conformation of the repeat domain. The longer tau constructs are comparable in size with the random coils, pointing to long-range contacts between the N- and C-termini compensating for the extension of the repeat domain. Moreover, most of the aggregation-promoting mutants did not show major differences in structure from their wild-type counterparts, indicating that their increased pathological effect is triggered only after an aggregation core has been formed.","container-title":"Biochemistry","DOI":"10.1021/bi800900d","ISSN":"0006-2960","issue":"39","journalAbbreviation":"Biochemistry","language":"en","note":"publisher: American Chemical Society","page":"10345-10353","source":"ACS Publications","title":"Domain Conformation of Tau Protein Studied by Solution Small-Angle X-ray Scattering","volume":"47","author":[{"family":"Mylonas","given":"Efstratios"},{"family":"Hascher","given":"Antje"},{"family":"Bernadó","given":"Pau"},{"family":"Blackledge","given":"Martin"},{"family":"Mandelkow","given":"Eckhard"},{"family":"Svergun","given":"Dmitri I."}],"issued":{"date-parts":[["2008",9,30]]}}}],"schema":"https://github.com/citation-style-language/schema/raw/master/csl-citation.json"}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23</w:t>
            </w:r>
            <w:r w:rsidR="00183C39">
              <w:rPr>
                <w:rFonts w:ascii="Times New Roman" w:hAnsi="Times New Roman" w:cs="Times New Roman"/>
              </w:rPr>
              <w:fldChar w:fldCharType="end"/>
            </w:r>
          </w:p>
        </w:tc>
        <w:tc>
          <w:tcPr>
            <w:tcW w:w="2766" w:type="dxa"/>
            <w:tcBorders>
              <w:top w:val="nil"/>
              <w:left w:val="nil"/>
              <w:bottom w:val="nil"/>
              <w:right w:val="nil"/>
            </w:tcBorders>
            <w:vAlign w:val="center"/>
          </w:tcPr>
          <w:p w14:paraId="4CEFAD97" w14:textId="5643442D"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2654E38B" w14:textId="77777777" w:rsidTr="002520CC">
        <w:tc>
          <w:tcPr>
            <w:tcW w:w="2765" w:type="dxa"/>
            <w:tcBorders>
              <w:top w:val="nil"/>
              <w:left w:val="nil"/>
              <w:bottom w:val="nil"/>
              <w:right w:val="nil"/>
            </w:tcBorders>
            <w:vAlign w:val="center"/>
          </w:tcPr>
          <w:p w14:paraId="290325DB"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Tau K19</w:t>
            </w:r>
          </w:p>
        </w:tc>
        <w:tc>
          <w:tcPr>
            <w:tcW w:w="2765" w:type="dxa"/>
            <w:tcBorders>
              <w:top w:val="nil"/>
              <w:left w:val="nil"/>
              <w:bottom w:val="nil"/>
              <w:right w:val="nil"/>
            </w:tcBorders>
            <w:vAlign w:val="center"/>
          </w:tcPr>
          <w:p w14:paraId="78D00611" w14:textId="6CF6BCE4"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35</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{"citationID":"dGHksdWF","properties":{"formattedCitation":"\\super 23\\nosupersub{}","plainCitation":"23","noteIndex":0},"citationItems":[{"id":199,"uris":["http://zotero.org/users/14054239/items/QX8RKL98"],"itemData":{"id":199,"type":"article-journal","abstract":"Tau is one of the two main proteins involved in the pathology of Alzheimer’s disease via formation of β-sheet rich intracellular aggregates named paired helical filaments (PHFs). Given that tau is a natively unfolded protein with no folded core (even upon binding to physiological partners such as microtubules), its structural analysis by high-resolution techniques has been difficult. In this study, employing solution small-angle X-ray scattering from the full length isoforms and from a variety of deletion and point mutants the conformation of tau in solution is structurally characterized. A recently developed ensemble optimization method was employed to generate pools of random models and to select ensembles of coexisting conformations, which fitted simultaneously the scattering data from the full length protein and deletion mutants. The analysis of the structural properties of these selected ensembles allowed us to extract information about residual structure in different domains of the native protein. The short deletion mutants containing the repeat domain (considered the core constituent of the PHFs) are significantly more extended than random coils, suggesting an extended conformation of the repeat domain. The longer tau constructs are comparable in size with the random coils, pointing to long-range contacts between the N- and C-termini compensating for the extension of the repeat domain. Moreover, most of the aggregation-promoting mutants did not show major differences in structure from their wild-type counterparts, indicating that their increased pathological effect is triggered only after an aggregation core has been formed.","container-title":"Biochemistry","DOI":"10.1021/bi800900d","ISSN":"0006-2960","issue":"39","journalAbbreviation":"Biochemistry","language":"en","note":"publisher: American Chemical Society","page":"10345-10353","source":"ACS Publications","title":"Domain Conformation of Tau Protein Studied by Solution Small-Angle X-ray Scattering","volume":"47","author":[{"family":"Mylonas","given":"Efstratios"},{"family":"Hascher","given":"Antje"},{"family":"Bernadó","given":"Pau"},{"family":"Blackledge","given":"Martin"},{"family":"Mandelkow","given":"Eckhard"},{"family":"Svergun","given":"Dmitri I."}],"issued":{"date-parts":[["2008",9,30]]}}}],"schema":"https://github.com/citation-style-language/schema/raw/master/csl-citation.json"}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23</w:t>
            </w:r>
            <w:r w:rsidR="00296CBE">
              <w:rPr>
                <w:rFonts w:ascii="Times New Roman" w:hAnsi="Times New Roman" w:cs="Times New Roman"/>
              </w:rPr>
              <w:fldChar w:fldCharType="end"/>
            </w:r>
          </w:p>
        </w:tc>
        <w:tc>
          <w:tcPr>
            <w:tcW w:w="2766" w:type="dxa"/>
            <w:tcBorders>
              <w:top w:val="nil"/>
              <w:left w:val="nil"/>
              <w:bottom w:val="nil"/>
              <w:right w:val="nil"/>
            </w:tcBorders>
            <w:vAlign w:val="center"/>
          </w:tcPr>
          <w:p w14:paraId="5F85AD44" w14:textId="6D9B48D0"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520F002D" w14:textId="77777777" w:rsidTr="00252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21AA1D2C" w14:textId="77777777" w:rsidR="00446A71" w:rsidRPr="00AC53C0" w:rsidRDefault="00446A71" w:rsidP="00446A71">
            <w:pPr>
              <w:spacing w:beforeLines="25" w:before="78" w:afterLines="25" w:after="78"/>
              <w:jc w:val="center"/>
              <w:rPr>
                <w:rFonts w:ascii="Times New Roman" w:hAnsi="Times New Roman" w:cs="Times New Roman"/>
              </w:rPr>
            </w:pPr>
            <w:proofErr w:type="spellStart"/>
            <w:r w:rsidRPr="00AC53C0">
              <w:rPr>
                <w:rFonts w:ascii="Times New Roman" w:hAnsi="Times New Roman" w:cs="Times New Roman"/>
              </w:rPr>
              <w:t>Prothymosin</w:t>
            </w:r>
            <w:proofErr w:type="spellEnd"/>
            <w:r w:rsidRPr="00AC53C0">
              <w:rPr>
                <w:rFonts w:ascii="Times New Roman" w:hAnsi="Times New Roman" w:cs="Times New Roman"/>
              </w:rPr>
              <w:t xml:space="preserve"> α</w:t>
            </w:r>
          </w:p>
        </w:tc>
        <w:tc>
          <w:tcPr>
            <w:tcW w:w="2765" w:type="dxa"/>
            <w:vAlign w:val="center"/>
          </w:tcPr>
          <w:p w14:paraId="162DD403" w14:textId="7DD8B5ED"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37.8</w:t>
            </w:r>
            <w:r w:rsidR="00183C39">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{"citationID":"5sdrmFRl","properties":{"formattedCitation":"\\super 24\\nosupersub{}","plainCitation":"24","noteIndex":0},"citationItems":[{"id":206,"uris":["http://zotero.org/users/14054239/items/KFFY9LVE"],"itemData":{"id":206,"type":"article-journal","abstract":"Prothymosin α has previously been shown to be unfolded at neutral pH, thus belonging to a growing family of “natively unfolded” proteins. The structural properties and conformational stability of recombinant human prothymosin α were characterized at neutral and acidic pH by gel filtration, SAXS, circular dichroism, ANS fluorescence, 1H NMR, and resistance to urea-induced unfolding. Interestingly, prothymosin α underwent a cooperative transition from the unfolded state into a partially folded conformation on lowering the pH. This conformation of prothymosin α is a compact denatured state, with structural properties different from those of the molten globule. The formation of α-helical structure by the glutamic acid-rich elements of the protein accompanied by the partial hydrophobic collapse is expected at lower pH due to the neutralization of the negatively charged residues. It is possible that such conformational changes may be associated with the protein function.","container-title":"Biochemistry","DOI":"10.1021/bi990752+","ISSN":"0006-2960","issue":"45","journalAbbreviation":"Biochemistry","language":"en","note":"publisher: American Chemical Society","page":"15009-15016","source":"ACS Publications","title":"Natively Unfolded Human Prothymosin α Adopts Partially Folded Collapsed Conformation at Acidic pH","volume":"38","author":[{"family":"Uversky","given":"Vladimir N."},{"family":"Gillespie","given":"Joel R."},{"family":"Millett","given":"Ian S."},{"family":"Khodyakova","given":"Anna V."},{"family":"Vasiliev","given":"Anatoly M."},{"family":"Chernovskaya","given":"Tatyana V."},{"family":"Vasilenko","given":"Raisa N."},{"family":"Kozlovskaya","given":"Galina D."},{"family":"Dolgikh","given":"Dmitry A."},{"family":"Fink","given":"Anthony L."},{"family":"Doniach","given":"Sebastian"},{"family":"Abramov","given":"Vyacheslav M."}],"issued":{"date-parts":[["1999",11,1]]}}}],"schema":"https://github.com/citation-style-language/schema/raw/master/csl-citation.json"} </w:instrText>
            </w:r>
            <w:r w:rsidR="00183C39">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24</w:t>
            </w:r>
            <w:r w:rsidR="00183C39">
              <w:rPr>
                <w:rFonts w:ascii="Times New Roman" w:hAnsi="Times New Roman" w:cs="Times New Roman"/>
              </w:rPr>
              <w:fldChar w:fldCharType="end"/>
            </w:r>
          </w:p>
        </w:tc>
        <w:tc>
          <w:tcPr>
            <w:tcW w:w="2766" w:type="dxa"/>
            <w:vAlign w:val="center"/>
          </w:tcPr>
          <w:p w14:paraId="772B4550" w14:textId="794544ED"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1D0A770C"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2486B0C4"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p53 (1-93)</w:t>
            </w:r>
            <w:r>
              <w:rPr>
                <w:rFonts w:ascii="Times New Roman" w:hAnsi="Times New Roman" w:cs="Times New Roman" w:hint="eastAsia"/>
              </w:rPr>
              <w:t xml:space="preserve"> </w:t>
            </w:r>
            <w:r w:rsidRPr="00AC53C0">
              <w:rPr>
                <w:rFonts w:ascii="Times New Roman" w:hAnsi="Times New Roman" w:cs="Times New Roman" w:hint="eastAsia"/>
                <w:b/>
                <w:bCs/>
              </w:rPr>
              <w:t>[p53]</w:t>
            </w:r>
          </w:p>
        </w:tc>
        <w:tc>
          <w:tcPr>
            <w:tcW w:w="2765" w:type="dxa"/>
            <w:vAlign w:val="center"/>
          </w:tcPr>
          <w:p w14:paraId="5E3810B0" w14:textId="5D29135A"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28.7</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{"citationID":"CPMSl4oR","properties":{"formattedCitation":"\\super 25\\nosupersub{}","plainCitation":"25","noteIndex":0},"citationItems":[{"id":212,"uris":["http://zotero.org/users/14054239/items/KBV4QTGS"],"itemData":{"id":212,"type":"article-journal","abstract":"Proteins with intrinsically disordered domains are implicated in a vast range of biological processes, especially in cell signaling and regulation. Having solved the quaternary structure of the folded domains in the tumor suppressor p53 by a multidisciplinary approach, we have now determined the average ensemble structure of the intrinsically disordered N-terminal transactivation domain (TAD) by using residual dipolar couplings (RDCs) from NMR spectroscopy and small-angle x-ray scattering (SAXS). Remarkably, not only were we able to measure RDCs of the isolated TAD, but we were also able to do so for the TAD in both the full-length tetrameric p53 protein and in its complex with a specific DNA response element. We determined the orientation of the TAD ensemble relative to the core domain, found that the TAD was stiffer in the proline-rich region (residues 64–92), which has a tendency to adopt a polyproline II (PPII) structure, and projected the TAD away from the core. We located the TAD in SAXS experiments on a complex between tetrameric p53 and four Taz2 domains that bind tightly to the TAD (residues 1–57) and acted as “reporters.” The p53-Taz2 complex was an extended cross-shaped structure. The quality of the SAXS data enabled us to model the disordered termini and the folded domains in the complex with DNA. The core domains enveloped the response element in the center of the molecule, with the Taz2-bound TADs projecting outward from the core.","container-title":"Proceedings of the National Academy of Sciences","DOI":"10.1073/pnas.0801353105","issue":"15","language":"en","note":"publisher: Proceedings of the National Academy of Sciences","page":"5762-5767","source":"pnas.org (Atypon)","title":"Structure of tumor suppressor p53 and its intrinsically disordered N-terminal transactivation domain","volume":"105","author":[{"family":"Wells","given":"Mark"},{"family":"Tidow","given":"Henning"},{"family":"Rutherford","given":"Trevor J."},{"family":"Markwick","given":"Phineus"},{"family":"Jensen","given":"Malene Ringkjobing"},{"family":"Mylonas","given":"Efstratios"},{"family":"Svergun","given":"Dmitri I."},{"family":"Blackledge","given":"Martin"},{"family":"Fersht","given":"Alan R."}],"issued":{"date-parts":[["2008",4,15]]}}}],"schema":"https://github.com/citation-style-language/schema/raw/master/csl-citation.json"}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25</w:t>
            </w:r>
            <w:r w:rsidR="00296CBE">
              <w:rPr>
                <w:rFonts w:ascii="Times New Roman" w:hAnsi="Times New Roman" w:cs="Times New Roman"/>
              </w:rPr>
              <w:fldChar w:fldCharType="end"/>
            </w:r>
          </w:p>
        </w:tc>
        <w:tc>
          <w:tcPr>
            <w:tcW w:w="2766" w:type="dxa"/>
            <w:vAlign w:val="center"/>
          </w:tcPr>
          <w:p w14:paraId="27E526B3" w14:textId="18D14F1A" w:rsidR="00446A71" w:rsidRPr="00AC53C0" w:rsidRDefault="00A93DA8" w:rsidP="00446A71">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C</m:t>
                  </m:r>
                  <m:ctrlPr>
                    <w:rPr>
                      <w:rFonts w:ascii="Cambria Math" w:hAnsi="Cambria Math" w:cs="Times New Roman" w:hint="eastAsia"/>
                      <w:i/>
                    </w:rPr>
                  </m:ctrlPr>
                </m:e>
                <m:sub>
                  <m:r>
                    <w:rPr>
                      <w:rFonts w:ascii="Cambria Math" w:hAnsi="Cambria Math" w:cs="Times New Roman" w:hint="eastAsia"/>
                    </w:rPr>
                    <m:t>α</m:t>
                  </m:r>
                </m:sub>
              </m:sSub>
            </m:oMath>
            <w:r w:rsidR="00446A71">
              <w:rPr>
                <w:rFonts w:ascii="Times New Roman" w:hAnsi="Times New Roman" w:cs="Times New Roman" w:hint="eastAsia"/>
              </w:rPr>
              <w:t xml:space="preserve"> chemical shifts</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{"citationID":"nAlMGaei","properties":{"formattedCitation":"\\super 25\\nosupersub{}","plainCitation":"25","noteIndex":0},"citationItems":[{"id":212,"uris":["http://zotero.org/users/14054239/items/KBV4QTGS"],"itemData":{"id":212,"type":"article-journal","abstract":"Proteins with intrinsically disordered domains are implicated in a vast range of biological processes, especially in cell signaling and regulation. Having solved the quaternary structure of the folded domains in the tumor suppressor p53 by a multidisciplinary approach, we have now determined the average ensemble structure of the intrinsically disordered N-terminal transactivation domain (TAD) by using residual dipolar couplings (RDCs) from NMR spectroscopy and small-angle x-ray scattering (SAXS). Remarkably, not only were we able to measure RDCs of the isolated TAD, but we were also able to do so for the TAD in both the full-length tetrameric p53 protein and in its complex with a specific DNA response element. We determined the orientation of the TAD ensemble relative to the core domain, found that the TAD was stiffer in the proline-rich region (residues 64–92), which has a tendency to adopt a polyproline II (PPII) structure, and projected the TAD away from the core. We located the TAD in SAXS experiments on a complex between tetrameric p53 and four Taz2 domains that bind tightly to the TAD (residues 1–57) and acted as “reporters.” The p53-Taz2 complex was an extended cross-shaped structure. The quality of the SAXS data enabled us to model the disordered termini and the folded domains in the complex with DNA. The core domains enveloped the response element in the center of the molecule, with the Taz2-bound TADs projecting outward from the core.","container-title":"Proceedings of the National Academy of Sciences","DOI":"10.1073/pnas.0801353105","issue":"15","language":"en","note":"publisher: Proceedings of the National Academy of Sciences","page":"5762-5767","source":"pnas.org (Atypon)","title":"Structure of tumor suppressor p53 and its intrinsically disordered N-terminal transactivation domain","volume":"105","author":[{"family":"Wells","given":"Mark"},{"family":"Tidow","given":"Henning"},{"family":"Rutherford","given":"Trevor J."},{"family":"Markwick","given":"Phineus"},{"family":"Jensen","given":"Malene Ringkjobing"},{"family":"Mylonas","given":"Efstratios"},{"family":"Svergun","given":"Dmitri I."},{"family":"Blackledge","given":"Martin"},{"family":"Fersht","given":"Alan R."}],"issued":{"date-parts":[["2008",4,15]]}}}],"schema":"https://github.com/citation-style-language/schema/raw/master/csl-citation.json"}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25</w:t>
            </w:r>
            <w:r w:rsidR="00296CBE">
              <w:rPr>
                <w:rFonts w:ascii="Times New Roman" w:hAnsi="Times New Roman" w:cs="Times New Roman"/>
              </w:rPr>
              <w:fldChar w:fldCharType="end"/>
            </w:r>
          </w:p>
        </w:tc>
      </w:tr>
      <w:tr w:rsidR="00446A71" w14:paraId="5607081F"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3585CEEB"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Human NCBD domain</w:t>
            </w:r>
            <w:r>
              <w:rPr>
                <w:rFonts w:ascii="Times New Roman" w:hAnsi="Times New Roman" w:cs="Times New Roman" w:hint="eastAsia"/>
              </w:rPr>
              <w:t xml:space="preserve"> </w:t>
            </w:r>
            <w:r w:rsidRPr="00AC53C0">
              <w:rPr>
                <w:rFonts w:ascii="Times New Roman" w:hAnsi="Times New Roman" w:cs="Times New Roman" w:hint="eastAsia"/>
                <w:b/>
                <w:bCs/>
              </w:rPr>
              <w:t>[NCBD]</w:t>
            </w:r>
          </w:p>
        </w:tc>
        <w:tc>
          <w:tcPr>
            <w:tcW w:w="2765" w:type="dxa"/>
            <w:vAlign w:val="center"/>
          </w:tcPr>
          <w:p w14:paraId="695FD2C1" w14:textId="1F917463"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33</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{"citationID":"OZ4wNpb6","properties":{"formattedCitation":"\\super 26\\nosupersub{}","plainCitation":"26","noteIndex":0},"citationItems":[{"id":208,"uris":["http://zotero.org/users/14054239/items/I39A5RAV"],"itemData":{"id":208,"type":"article-journal","abstract":"Intrinsically disordered proteins (IDPs) are important for health and disease, yet their lack of net structure precludes an understanding of their function using classical methods. Gas-phase techniques provide a promising alternative to access information on the structure and dynamics of IDPs, but the fidelity to which these methods reflect the solution conformations of these proteins has been difficult to ascertain. Here we use state of the art ensemble techniques to investigate the solution to gas-phase transfer of a range of different IDPs. We show that IDPs undergo a vast conformational space expansion in the absence of solvent to sample a conformational space 3–5 fold broader than in solution. Moreover, we show that this process is coupled to the electrospray ionization process, which brings about the generation of additional subpopulations for these proteins not observed in solution due to competing effects on protein charge and shape. Ensemble methods have permitted a new definition of the solution to gas-phase transfer of IDPs and provide a roadmap for future investigations into flexible systems by mass spectrometry.","container-title":"Journal of the American Chemical Society","DOI":"10.1021/jacs.5b06027","ISSN":"0002-7863","issue":"43","journalAbbreviation":"J. Am. Chem. Soc.","language":"en","note":"publisher: American Chemical Society","page":"13807-13817","source":"ACS Publications","title":"Ensemble Methods Enable a New Definition for the Solution to Gas-Phase Transfer of Intrinsically Disordered Proteins","volume":"137","author":[{"family":"Borysik","given":"Antoni J."},{"family":"Kovacs","given":"Denes"},{"family":"Guharoy","given":"Mainak"},{"family":"Tompa","given":"Peter"}],"issued":{"date-parts":[["2015",11,4]]}}}],"schema":"https://github.com/citation-style-language/schema/raw/master/csl-citation.json"}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26</w:t>
            </w:r>
            <w:r w:rsidR="00296CBE">
              <w:rPr>
                <w:rFonts w:ascii="Times New Roman" w:hAnsi="Times New Roman" w:cs="Times New Roman"/>
              </w:rPr>
              <w:fldChar w:fldCharType="end"/>
            </w:r>
          </w:p>
        </w:tc>
        <w:tc>
          <w:tcPr>
            <w:tcW w:w="2766" w:type="dxa"/>
            <w:vAlign w:val="center"/>
          </w:tcPr>
          <w:p w14:paraId="1C251799" w14:textId="7172318E"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47F9925A"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66CF684C"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 xml:space="preserve">Human </w:t>
            </w:r>
            <w:proofErr w:type="spellStart"/>
            <w:r w:rsidRPr="00AC53C0">
              <w:rPr>
                <w:rFonts w:ascii="Times New Roman" w:hAnsi="Times New Roman" w:cs="Times New Roman"/>
              </w:rPr>
              <w:t>Calpastatin</w:t>
            </w:r>
            <w:proofErr w:type="spellEnd"/>
            <w:r w:rsidRPr="00AC53C0">
              <w:rPr>
                <w:rFonts w:ascii="Times New Roman" w:hAnsi="Times New Roman" w:cs="Times New Roman"/>
              </w:rPr>
              <w:t xml:space="preserve"> (137-237)</w:t>
            </w:r>
            <w:r>
              <w:rPr>
                <w:rFonts w:ascii="Times New Roman" w:hAnsi="Times New Roman" w:cs="Times New Roman" w:hint="eastAsia"/>
              </w:rPr>
              <w:t xml:space="preserve"> </w:t>
            </w:r>
            <w:r w:rsidRPr="00AC53C0">
              <w:rPr>
                <w:rFonts w:ascii="Times New Roman" w:hAnsi="Times New Roman" w:cs="Times New Roman" w:hint="eastAsia"/>
                <w:b/>
                <w:bCs/>
              </w:rPr>
              <w:t>[</w:t>
            </w:r>
            <w:proofErr w:type="spellStart"/>
            <w:r w:rsidRPr="00AC53C0">
              <w:rPr>
                <w:rFonts w:ascii="Times New Roman" w:hAnsi="Times New Roman" w:cs="Times New Roman"/>
                <w:b/>
                <w:bCs/>
              </w:rPr>
              <w:t>Calpastatin</w:t>
            </w:r>
            <w:proofErr w:type="spellEnd"/>
            <w:r w:rsidRPr="00AC53C0">
              <w:rPr>
                <w:rFonts w:ascii="Times New Roman" w:hAnsi="Times New Roman" w:cs="Times New Roman" w:hint="eastAsia"/>
                <w:b/>
                <w:bCs/>
              </w:rPr>
              <w:t>]</w:t>
            </w:r>
          </w:p>
        </w:tc>
        <w:tc>
          <w:tcPr>
            <w:tcW w:w="2765" w:type="dxa"/>
            <w:vAlign w:val="center"/>
          </w:tcPr>
          <w:p w14:paraId="3DE1200C" w14:textId="62A9BCAF"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39</w:t>
            </w:r>
            <w:r w:rsidR="00296CBE">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{"citationID":"Vez1yIX6","properties":{"formattedCitation":"\\super 26\\nosupersub{}","plainCitation":"26","noteIndex":0},"citationItems":[{"id":208,"uris":["http://zotero.org/users/14054239/items/I39A5RAV"],"itemData":{"id":208,"type":"article-journal","abstract":"Intrinsically disordered proteins (IDPs) are important for health and disease, yet their lack of net structure precludes an understanding of their function using classical methods. Gas-phase techniques provide a promising alternative to access information on the structure and dynamics of IDPs, but the fidelity to which these methods reflect the solution conformations of these proteins has been difficult to ascertain. Here we use state of the art ensemble techniques to investigate the solution to gas-phase transfer of a range of different IDPs. We show that IDPs undergo a vast conformational space expansion in the absence of solvent to sample a conformational space 3–5 fold broader than in solution. Moreover, we show that this process is coupled to the electrospray ionization process, which brings about the generation of additional subpopulations for these proteins not observed in solution due to competing effects on protein charge and shape. Ensemble methods have permitted a new definition of the solution to gas-phase transfer of IDPs and provide a roadmap for future investigations into flexible systems by mass spectrometry.","container-title":"Journal of the American Chemical Society","DOI":"10.1021/jacs.5b06027","ISSN":"0002-7863","issue":"43","journalAbbreviation":"J. Am. Chem. Soc.","language":"en","note":"publisher: American Chemical Society","page":"13807-13817","source":"ACS Publications","title":"Ensemble Methods Enable a New Definition for the Solution to Gas-Phase Transfer of Intrinsically Disordered Proteins","volume":"137","author":[{"family":"Borysik","given":"Antoni J."},{"family":"Kovacs","given":"Denes"},{"family":"Guharoy","given":"Mainak"},{"family":"Tompa","given":"Peter"}],"issued":{"date-parts":[["2015",11,4]]}}}],"schema":"https://github.com/citation-style-language/schema/raw/master/csl-citation.json"} </w:instrText>
            </w:r>
            <w:r w:rsidR="00296CBE">
              <w:rPr>
                <w:rFonts w:ascii="Times New Roman" w:hAnsi="Times New Roman" w:cs="Times New Roman"/>
              </w:rPr>
              <w:fldChar w:fldCharType="separate"/>
            </w:r>
            <w:r w:rsidR="00C363DB" w:rsidRPr="00C363DB">
              <w:rPr>
                <w:rFonts w:ascii="Times New Roman" w:hAnsi="Times New Roman" w:cs="Times New Roman"/>
                <w:kern w:val="0"/>
                <w:szCs w:val="24"/>
                <w:vertAlign w:val="superscript"/>
              </w:rPr>
              <w:t>26</w:t>
            </w:r>
            <w:r w:rsidR="00296CBE">
              <w:rPr>
                <w:rFonts w:ascii="Times New Roman" w:hAnsi="Times New Roman" w:cs="Times New Roman"/>
              </w:rPr>
              <w:fldChar w:fldCharType="end"/>
            </w:r>
          </w:p>
        </w:tc>
        <w:tc>
          <w:tcPr>
            <w:tcW w:w="2766" w:type="dxa"/>
            <w:vAlign w:val="center"/>
          </w:tcPr>
          <w:p w14:paraId="0097508B" w14:textId="44E3FF5C"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19D4C095"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4C7066D4"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lastRenderedPageBreak/>
              <w:t>N-term NRG1 type III</w:t>
            </w:r>
            <w:r>
              <w:rPr>
                <w:rFonts w:ascii="Times New Roman" w:hAnsi="Times New Roman" w:cs="Times New Roman" w:hint="eastAsia"/>
              </w:rPr>
              <w:t xml:space="preserve"> </w:t>
            </w:r>
            <w:r w:rsidRPr="00AC53C0">
              <w:rPr>
                <w:rFonts w:ascii="Times New Roman" w:hAnsi="Times New Roman" w:cs="Times New Roman" w:hint="eastAsia"/>
                <w:b/>
                <w:bCs/>
              </w:rPr>
              <w:t>[NtermNRG1]</w:t>
            </w:r>
          </w:p>
        </w:tc>
        <w:tc>
          <w:tcPr>
            <w:tcW w:w="2765" w:type="dxa"/>
            <w:vAlign w:val="center"/>
          </w:tcPr>
          <w:p w14:paraId="0F25BA0C" w14:textId="64DCB58B"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26.8</w:t>
            </w:r>
            <w:r w:rsidR="00296CBE">
              <w:rPr>
                <w:rFonts w:ascii="Times New Roman" w:hAnsi="Times New Roman" w:cs="Times New Roman"/>
              </w:rPr>
              <w:fldChar w:fldCharType="begin"/>
            </w:r>
            <w:r w:rsidR="00296CBE">
              <w:rPr>
                <w:rFonts w:ascii="Times New Roman" w:hAnsi="Times New Roman" w:cs="Times New Roman"/>
              </w:rPr>
              <w:instrText xml:space="preserve"> ADDIN ZOTERO_ITEM CSL_CITATION {"citationID":"Gyr9AWMP","properties":{"formattedCitation":"\\super 27\\nosupersub{}","plainCitation":"27","noteIndex":0},"citationItems":[{"id":221,"uris":["http://zotero.org/users/14054239/items/YV2XVAX7"],"itemData":{"id":221,"type":"article-journal","abstract":"Axonally expressed neuregulin 1 (NRG1) type III is a transmembrane protein involved in various neurodevelopmental processes, including myelination and Schwann cell migration. NRG1 type III has one transmembrane domain and a C-terminal extracellular segment, which contains an epidermal growth factor homology domain. Little is known, however, about the intracellular N terminus of NRG1 type III, and the structure–function relationships of this cytoplasmic domain have remained uncharacterized. In the current study, we carried out the first structural and functional studies on the NRG1 type III cytoplasmic domain. Based on sequence analyses, the domain is predicted to be largely disordered, while a strictly conserved region close to the transmembrane segment may contain helical structure and bind metal ions. As shown by synchrotron radiation circular dichroism spectroscopy, the recombinant NRG1 type III cytoplasmic domain was disordered in solution, but it was able to fold partially into a helical structure, especially when both metals and membrane-mimicking compounds were present. NRG1 cytoplasmic tail binding to metals was further confirmed by calorimetry. These results suggest that the juxtamembrane segment of the NRG1 type III cytoplasmic domain may fold onto the membrane surface upon metal binding. Using synchrotron small-angle X-ray scattering, we further proved that the NRG1 cytoplasmic domain is intrinsically disordered, highly elongated, and behaves like a random polymer. Our work provides the first biochemical and biophysical data on the previously unexplored cytoplasmic domain of NRG1 type III, which will help elucidate the detailed structure–function relationships of this domain.","container-title":"Amino Acids","DOI":"10.1007/s00726-015-1998-x","ISSN":"1438-2199","issue":"8","journalAbbreviation":"Amino Acids","language":"en","page":"1567-1577","source":"Springer Link","title":"The N-terminal cytoplasmic domain of neuregulin 1 type III is intrinsically disordered","volume":"47","author":[{"family":"Chukhlieb","given":"Maryna"},{"family":"Raasakka","given":"Arne"},{"family":"Ruskamo","given":"Salla"},{"family":"Kursula","given":"Petri"}],"issued":{"date-parts":[["2015",8,1]]}}}],"schema":"https://github.com/citation-style-language/schema/raw/master/csl-citation.json"} </w:instrText>
            </w:r>
            <w:r w:rsidR="00296CBE">
              <w:rPr>
                <w:rFonts w:ascii="Times New Roman" w:hAnsi="Times New Roman" w:cs="Times New Roman"/>
              </w:rPr>
              <w:fldChar w:fldCharType="separate"/>
            </w:r>
            <w:r w:rsidR="00296CBE" w:rsidRPr="00296CBE">
              <w:rPr>
                <w:rFonts w:ascii="Times New Roman" w:hAnsi="Times New Roman" w:cs="Times New Roman"/>
                <w:kern w:val="0"/>
                <w:szCs w:val="24"/>
                <w:vertAlign w:val="superscript"/>
              </w:rPr>
              <w:t>27</w:t>
            </w:r>
            <w:r w:rsidR="00296CBE">
              <w:rPr>
                <w:rFonts w:ascii="Times New Roman" w:hAnsi="Times New Roman" w:cs="Times New Roman"/>
              </w:rPr>
              <w:fldChar w:fldCharType="end"/>
            </w:r>
          </w:p>
        </w:tc>
        <w:tc>
          <w:tcPr>
            <w:tcW w:w="2766" w:type="dxa"/>
            <w:vAlign w:val="center"/>
          </w:tcPr>
          <w:p w14:paraId="355F0878" w14:textId="79C8401D"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53A5D2E9"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vAlign w:val="center"/>
          </w:tcPr>
          <w:p w14:paraId="11ECD791" w14:textId="77777777" w:rsidR="00446A71"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N-term VS Virus phosphoprotein</w:t>
            </w:r>
            <w:r>
              <w:rPr>
                <w:rFonts w:ascii="Times New Roman" w:hAnsi="Times New Roman" w:cs="Times New Roman" w:hint="eastAsia"/>
              </w:rPr>
              <w:t xml:space="preserve"> </w:t>
            </w:r>
          </w:p>
          <w:p w14:paraId="46169B6F"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hint="eastAsia"/>
                <w:b/>
                <w:bCs/>
              </w:rPr>
              <w:t>[</w:t>
            </w:r>
            <w:proofErr w:type="spellStart"/>
            <w:r w:rsidRPr="00AC53C0">
              <w:rPr>
                <w:rFonts w:ascii="Times New Roman" w:hAnsi="Times New Roman" w:cs="Times New Roman" w:hint="eastAsia"/>
                <w:b/>
                <w:bCs/>
              </w:rPr>
              <w:t>NtermVS</w:t>
            </w:r>
            <w:proofErr w:type="spellEnd"/>
            <w:r w:rsidRPr="00AC53C0">
              <w:rPr>
                <w:rFonts w:ascii="Times New Roman" w:hAnsi="Times New Roman" w:cs="Times New Roman" w:hint="eastAsia"/>
                <w:b/>
                <w:bCs/>
              </w:rPr>
              <w:t>]</w:t>
            </w:r>
          </w:p>
        </w:tc>
        <w:tc>
          <w:tcPr>
            <w:tcW w:w="2765" w:type="dxa"/>
            <w:vAlign w:val="center"/>
          </w:tcPr>
          <w:p w14:paraId="6C55CF48" w14:textId="458AA60A" w:rsidR="00446A71" w:rsidRPr="00AC53C0"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26</w:t>
            </w:r>
            <w:r w:rsidR="00C363DB">
              <w:rPr>
                <w:rFonts w:ascii="Times New Roman" w:hAnsi="Times New Roman" w:cs="Times New Roman"/>
              </w:rPr>
              <w:fldChar w:fldCharType="begin"/>
            </w:r>
            <w:r w:rsidR="00C363DB">
              <w:rPr>
                <w:rFonts w:ascii="Times New Roman" w:hAnsi="Times New Roman" w:cs="Times New Roman"/>
              </w:rPr>
              <w:instrText xml:space="preserve"> ADDIN ZOTERO_ITEM CSL_CITATION {"citationID":"sYXYnzkx","properties":{"formattedCitation":"\\super 28\\nosupersub{}","plainCitation":"28","noteIndex":0},"citationItems":[{"id":228,"uris":["http://zotero.org/users/14054239/items/S9MCIMIE"],"itemData":{"id":228,"type":"article-journal","abstract":"The phosphoprotein (P) of vesicular stomatitis virus (VSV) interacts with nascent nucleoprotein (N), forming the N0–P complex that is indispensable for the correct encapsidation of newly synthesized viral RNA genome. In this complex, the N-terminal region (PNTR) of P prevents N from binding to cellular RNA and keeps it available for encapsidating viral RNA genomes. Here, using nuclear magnetic resonance (NMR) spectroscopy and small-angle X-ray scattering (SAXS), we show that an isolated peptide corresponding to the 60 first N-terminal residues of VSV P (P60) and encompassing PNTR has overall molecular dimensions and a dynamic behavior characteristic of a disordered protein but transiently populates conformers containing α-helices. The modeling of P60 as a conformational ensemble by the ensemble optimization method using SAXS data correctly reproduces the α-helical content detected by NMR spectroscopy and suggests the coexistence of subensembles of different compactness. The populations and overall dimensions of these subensembles are affected by the addition of stabilizing (1M trimethylamine-N-oxide) or destabilizing (6M guanidinium chloride) cosolvents. Our results are interpreted in the context of a scenario whereby VSV PNTR constitutes a molecular recognition element undergoing a disorder-to-order transition upon binding to its partner when forming the N0–P complex.","container-title":"Protein Science","DOI":"10.1002/pro.587","ISSN":"1469-896X","issue":"3","language":"en","license":"Copyright © 2011 The Protein Society","note":"_eprint: https://onlinelibrary.wiley.com/doi/pdf/10.1002/pro.587","page":"542-556","source":"Wiley Online Library","title":"The N0-binding region of the vesicular stomatitis virus phosphoprotein is globally disordered but contains transient α-helices","volume":"20","author":[{"family":"Leyrat","given":"Cédric"},{"family":"Jensen","given":"Malene Ringkjøbing"},{"family":"Ribeiro Jr.","given":"Euripedes A."},{"family":"Gérard","given":"Francine C. A."},{"family":"Ruigrok","given":"Rob W. H."},{"family":"Blackledge","given":"Martin"},{"family":"Jamin","given":"Marc"}],"issued":{"date-parts":[["2011"]]}}}],"schema":"https://github.com/citation-style-language/schema/raw/master/csl-citation.json"} </w:instrText>
            </w:r>
            <w:r w:rsidR="00C363DB">
              <w:rPr>
                <w:rFonts w:ascii="Times New Roman" w:hAnsi="Times New Roman" w:cs="Times New Roman"/>
              </w:rPr>
              <w:fldChar w:fldCharType="separate"/>
            </w:r>
            <w:r w:rsidR="00C363DB" w:rsidRPr="00C363DB">
              <w:rPr>
                <w:rFonts w:ascii="Times New Roman" w:hAnsi="Times New Roman" w:cs="Times New Roman"/>
                <w:kern w:val="0"/>
                <w:szCs w:val="24"/>
                <w:vertAlign w:val="superscript"/>
              </w:rPr>
              <w:t>28</w:t>
            </w:r>
            <w:r w:rsidR="00C363DB">
              <w:rPr>
                <w:rFonts w:ascii="Times New Roman" w:hAnsi="Times New Roman" w:cs="Times New Roman"/>
              </w:rPr>
              <w:fldChar w:fldCharType="end"/>
            </w:r>
          </w:p>
        </w:tc>
        <w:tc>
          <w:tcPr>
            <w:tcW w:w="2766" w:type="dxa"/>
            <w:vAlign w:val="center"/>
          </w:tcPr>
          <w:p w14:paraId="32FDF4D1" w14:textId="1250949F"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r w:rsidR="00446A71" w14:paraId="6E70379A" w14:textId="77777777" w:rsidTr="002475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65" w:type="dxa"/>
            <w:tcBorders>
              <w:bottom w:val="single" w:sz="8" w:space="0" w:color="auto"/>
            </w:tcBorders>
            <w:vAlign w:val="center"/>
          </w:tcPr>
          <w:p w14:paraId="1B991E72" w14:textId="77777777" w:rsidR="00446A71"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rPr>
              <w:t>E3 ubiquitin ligase RNF4 (32-82)</w:t>
            </w:r>
            <w:r>
              <w:rPr>
                <w:rFonts w:ascii="Times New Roman" w:hAnsi="Times New Roman" w:cs="Times New Roman" w:hint="eastAsia"/>
              </w:rPr>
              <w:t xml:space="preserve"> </w:t>
            </w:r>
          </w:p>
          <w:p w14:paraId="5C31C12C" w14:textId="77777777" w:rsidR="00446A71" w:rsidRPr="00AC53C0" w:rsidRDefault="00446A71" w:rsidP="00446A71">
            <w:pPr>
              <w:spacing w:beforeLines="25" w:before="78" w:afterLines="25" w:after="78"/>
              <w:jc w:val="center"/>
              <w:rPr>
                <w:rFonts w:ascii="Times New Roman" w:hAnsi="Times New Roman" w:cs="Times New Roman"/>
              </w:rPr>
            </w:pPr>
            <w:r w:rsidRPr="00AC53C0">
              <w:rPr>
                <w:rFonts w:ascii="Times New Roman" w:hAnsi="Times New Roman" w:cs="Times New Roman" w:hint="eastAsia"/>
                <w:b/>
                <w:bCs/>
              </w:rPr>
              <w:t>[RNF4]</w:t>
            </w:r>
          </w:p>
        </w:tc>
        <w:tc>
          <w:tcPr>
            <w:tcW w:w="2765" w:type="dxa"/>
            <w:tcBorders>
              <w:bottom w:val="single" w:sz="8" w:space="0" w:color="auto"/>
            </w:tcBorders>
            <w:vAlign w:val="center"/>
          </w:tcPr>
          <w:p w14:paraId="7BCC92F1" w14:textId="78F73467" w:rsidR="00446A71" w:rsidRPr="002520CC" w:rsidRDefault="00446A71" w:rsidP="00446A71">
            <w:pPr>
              <w:spacing w:beforeLines="25" w:before="78" w:afterLines="25" w:after="78"/>
              <w:jc w:val="center"/>
              <w:rPr>
                <w:rFonts w:ascii="Times New Roman" w:hAnsi="Times New Roman" w:cs="Times New Roman"/>
              </w:rPr>
            </w:pPr>
            <w:r>
              <w:rPr>
                <w:rFonts w:ascii="Times New Roman" w:hAnsi="Times New Roman" w:cs="Times New Roman" w:hint="eastAsia"/>
              </w:rPr>
              <w:t>25.8</w:t>
            </w:r>
            <w:r w:rsidR="00C363DB">
              <w:rPr>
                <w:rFonts w:ascii="Times New Roman" w:hAnsi="Times New Roman" w:cs="Times New Roman"/>
              </w:rPr>
              <w:fldChar w:fldCharType="begin"/>
            </w:r>
            <w:r w:rsidR="006C6FD8">
              <w:rPr>
                <w:rFonts w:ascii="Times New Roman" w:hAnsi="Times New Roman" w:cs="Times New Roman"/>
              </w:rPr>
              <w:instrText xml:space="preserve"> ADDIN ZOTERO_ITEM CSL_CITATION {"citationID":"Abe59se1","properties":{"formattedCitation":"\\super 29\\nosupersub{}","plainCitation":"29","noteIndex":0},"citationItems":[{"id":230,"uris":["http://zotero.org/users/14054239/items/SH9ETGCB"],"itemData":{"id":230,"type":"article-journal","abstract":"The E3 ubiquitin ligase RNF4 (RING finger protein 4) contains four tandem SIM [SUMO (small ubiquitin-like modifier)-interaction motif] repeats for selective interaction with poly-SUMO-modified proteins, which it targets for degradation. We employed a multi-faceted approach to characterize the structure of the RNF4-SIMs domain and the tetra-SUMO2 chain to elucidate the interaction between them. In solution, the SIM domain was intrinsically disordered and the linkers of the tetra-SUMO2 were highly flexible. Individual SIMs of the RNF4-SIMs domains bind to SUMO2 in the groove between the β2-strand and the α1-helix parallel to the β2-strand. SIM2 and SIM3 bound to SUMO with a high affinity and together constituted the recognition module necessary for SUMO binding. SIM4 alone bound to SUMO with low affinity; however, its contribution to tetra-SUMO2 binding avidity is comparable with that of SIM3 when in the RNF4-SIMs domain. The SAXS data of the tetra-SUMO2–RNF4-SIMs domain complex indicate that it exists as an ordered structure. The HADDOCK model showed that the tandem RNF4-SIMs domain bound antiparallel to the tetra-SUMO2 chain orientation and wrapped around the SUMO protamers in a superhelical turn without imposing steric hindrance on either molecule.","container-title":"Biochemical Journal","DOI":"10.1042/BJ20140521","ISSN":"0264-6021","issue":"1","journalAbbreviation":"Biochemical Journal","language":"en","page":"53-65","source":"Silverchair","title":"Structural analysis of poly-SUMO chain recognition by the RNF4-SIMs domain","volume":"462","author":[{"family":"Kung","given":"Camy C.-H."},{"family":"Naik","given":"Mandar T."},{"family":"Wang","given":"Szu-Huan"},{"family":"Shih","given":"Hsiu-Ming"},{"family":"Chang","given":"Che-Chang"},{"family":"Lin","given":"Li-Ying"},{"family":"Chen","given":"Chia-Lin"},{"family":"Ma","given":"Che"},{"family":"Chang","given":"Chi-Fon"},{"family":"Huang","given":"Tai-Huang"}],"issued":{"date-parts":[["2014",7,24]]}}}],"schema":"https://github.com/citation-style-language/schema/raw/master/csl-citation.json"} </w:instrText>
            </w:r>
            <w:r w:rsidR="00C363DB">
              <w:rPr>
                <w:rFonts w:ascii="Times New Roman" w:hAnsi="Times New Roman" w:cs="Times New Roman"/>
              </w:rPr>
              <w:fldChar w:fldCharType="separate"/>
            </w:r>
            <w:r w:rsidR="00C363DB" w:rsidRPr="00C363DB">
              <w:rPr>
                <w:rFonts w:ascii="Times New Roman" w:hAnsi="Times New Roman" w:cs="Times New Roman"/>
                <w:kern w:val="0"/>
                <w:szCs w:val="24"/>
                <w:vertAlign w:val="superscript"/>
              </w:rPr>
              <w:t>29</w:t>
            </w:r>
            <w:r w:rsidR="00C363DB">
              <w:rPr>
                <w:rFonts w:ascii="Times New Roman" w:hAnsi="Times New Roman" w:cs="Times New Roman"/>
              </w:rPr>
              <w:fldChar w:fldCharType="end"/>
            </w:r>
          </w:p>
        </w:tc>
        <w:tc>
          <w:tcPr>
            <w:tcW w:w="2766" w:type="dxa"/>
            <w:tcBorders>
              <w:bottom w:val="single" w:sz="8" w:space="0" w:color="auto"/>
            </w:tcBorders>
            <w:vAlign w:val="center"/>
          </w:tcPr>
          <w:p w14:paraId="722E1F35" w14:textId="38624372" w:rsidR="00446A71" w:rsidRPr="00AC53C0" w:rsidRDefault="002B6770" w:rsidP="00446A71">
            <w:pPr>
              <w:spacing w:beforeLines="25" w:before="78" w:afterLines="25" w:after="78"/>
              <w:jc w:val="center"/>
              <w:rPr>
                <w:rFonts w:ascii="Times New Roman" w:hAnsi="Times New Roman" w:cs="Times New Roman"/>
              </w:rPr>
            </w:pPr>
            <w:r w:rsidRPr="002B6770">
              <w:rPr>
                <w:rFonts w:ascii="Times New Roman" w:hAnsi="Times New Roman" w:cs="Times New Roman"/>
              </w:rPr>
              <w:t>N/A</w:t>
            </w:r>
          </w:p>
        </w:tc>
      </w:tr>
    </w:tbl>
    <w:p w14:paraId="5AB4E994" w14:textId="750F57F5" w:rsidR="00F326F5" w:rsidRDefault="00F326F5"/>
    <w:p w14:paraId="68AE4D42" w14:textId="77777777" w:rsidR="00F326F5" w:rsidRDefault="00F326F5">
      <w:pPr>
        <w:widowControl/>
        <w:jc w:val="left"/>
      </w:pPr>
      <w:r>
        <w:br w:type="page"/>
      </w:r>
    </w:p>
    <w:p w14:paraId="255B88FF" w14:textId="43A35842" w:rsidR="00F326F5" w:rsidRPr="00F326F5" w:rsidRDefault="00F326F5" w:rsidP="00F326F5">
      <w:pPr>
        <w:spacing w:line="360" w:lineRule="auto"/>
        <w:rPr>
          <w:rFonts w:ascii="Times New Roman" w:hAnsi="Times New Roman" w:cs="Times New Roman"/>
          <w:sz w:val="24"/>
          <w:szCs w:val="28"/>
        </w:rPr>
      </w:pPr>
      <w:r w:rsidRPr="00F326F5">
        <w:rPr>
          <w:rFonts w:ascii="Times New Roman" w:hAnsi="Times New Roman" w:cs="Times New Roman" w:hint="eastAsia"/>
          <w:b/>
          <w:bCs/>
          <w:sz w:val="24"/>
          <w:szCs w:val="28"/>
        </w:rPr>
        <w:lastRenderedPageBreak/>
        <w:t>Table S2</w:t>
      </w:r>
      <w:r>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Performance of all 8 versions of </w:t>
      </w:r>
      <w:proofErr w:type="spellStart"/>
      <w:r>
        <w:rPr>
          <w:rFonts w:ascii="Times New Roman" w:hAnsi="Times New Roman" w:cs="Times New Roman" w:hint="eastAsia"/>
          <w:sz w:val="24"/>
          <w:szCs w:val="28"/>
        </w:rPr>
        <w:t>AlphaFlow</w:t>
      </w:r>
      <w:proofErr w:type="spellEnd"/>
      <w:r>
        <w:rPr>
          <w:rFonts w:ascii="Times New Roman" w:hAnsi="Times New Roman" w:cs="Times New Roman" w:hint="eastAsia"/>
          <w:sz w:val="24"/>
          <w:szCs w:val="28"/>
        </w:rPr>
        <w:t>.</w:t>
      </w:r>
    </w:p>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1887"/>
        <w:gridCol w:w="1887"/>
        <w:gridCol w:w="1887"/>
      </w:tblGrid>
      <w:tr w:rsidR="005916BF" w:rsidRPr="008462C2" w14:paraId="51DDBEB6" w14:textId="77777777" w:rsidTr="005916BF">
        <w:trPr>
          <w:jc w:val="center"/>
        </w:trPr>
        <w:tc>
          <w:tcPr>
            <w:tcW w:w="1592" w:type="pct"/>
            <w:tcBorders>
              <w:top w:val="single" w:sz="8" w:space="0" w:color="auto"/>
              <w:bottom w:val="single" w:sz="8" w:space="0" w:color="auto"/>
            </w:tcBorders>
            <w:vAlign w:val="center"/>
          </w:tcPr>
          <w:p w14:paraId="495C4429" w14:textId="77777777" w:rsidR="005916BF" w:rsidRPr="008462C2" w:rsidRDefault="005916BF" w:rsidP="00F326F5">
            <w:pPr>
              <w:spacing w:beforeLines="25" w:before="78" w:afterLines="25" w:after="78"/>
              <w:jc w:val="center"/>
              <w:rPr>
                <w:rFonts w:ascii="Times New Roman" w:hAnsi="Times New Roman" w:cs="Times New Roman"/>
                <w:b/>
                <w:bCs/>
                <w:sz w:val="24"/>
                <w:szCs w:val="28"/>
              </w:rPr>
            </w:pPr>
            <w:r w:rsidRPr="008462C2">
              <w:rPr>
                <w:rFonts w:ascii="Times New Roman" w:hAnsi="Times New Roman" w:cs="Times New Roman" w:hint="eastAsia"/>
                <w:b/>
                <w:bCs/>
                <w:sz w:val="24"/>
                <w:szCs w:val="28"/>
              </w:rPr>
              <w:t>Methods</w:t>
            </w:r>
          </w:p>
        </w:tc>
        <w:tc>
          <w:tcPr>
            <w:tcW w:w="1136" w:type="pct"/>
            <w:tcBorders>
              <w:top w:val="single" w:sz="8" w:space="0" w:color="auto"/>
              <w:bottom w:val="single" w:sz="8" w:space="0" w:color="auto"/>
            </w:tcBorders>
            <w:vAlign w:val="center"/>
          </w:tcPr>
          <w:p w14:paraId="73AFC5C3" w14:textId="77777777" w:rsidR="005916BF" w:rsidRPr="008462C2" w:rsidRDefault="005916BF" w:rsidP="00F326F5">
            <w:pPr>
              <w:spacing w:beforeLines="25" w:before="78" w:afterLines="25" w:after="78"/>
              <w:jc w:val="center"/>
              <w:rPr>
                <w:rFonts w:ascii="Times New Roman" w:hAnsi="Times New Roman" w:cs="Times New Roman"/>
                <w:b/>
                <w:bCs/>
                <w:sz w:val="24"/>
                <w:szCs w:val="28"/>
              </w:rPr>
            </w:pPr>
            <w:r w:rsidRPr="008462C2">
              <w:rPr>
                <w:rFonts w:ascii="Times New Roman" w:hAnsi="Times New Roman" w:cs="Times New Roman"/>
                <w:b/>
                <w:bCs/>
                <w:sz w:val="24"/>
                <w:szCs w:val="28"/>
              </w:rPr>
              <w:t>Validity</w:t>
            </w:r>
            <w:r w:rsidRPr="008462C2">
              <w:rPr>
                <w:rFonts w:ascii="Times New Roman" w:hAnsi="Times New Roman" w:cs="Times New Roman" w:hint="eastAsia"/>
                <w:b/>
                <w:bCs/>
                <w:sz w:val="24"/>
                <w:szCs w:val="28"/>
              </w:rPr>
              <w:t xml:space="preserve"> (</w:t>
            </w:r>
            <w:r w:rsidRPr="008462C2">
              <w:rPr>
                <w:rFonts w:ascii="Times New Roman" w:hAnsi="Times New Roman" w:cs="Times New Roman"/>
                <w:b/>
                <w:bCs/>
                <w:sz w:val="24"/>
                <w:szCs w:val="28"/>
              </w:rPr>
              <w:t>↑</w:t>
            </w:r>
            <w:r w:rsidRPr="008462C2">
              <w:rPr>
                <w:rFonts w:ascii="Times New Roman" w:hAnsi="Times New Roman" w:cs="Times New Roman" w:hint="eastAsia"/>
                <w:b/>
                <w:bCs/>
                <w:sz w:val="24"/>
                <w:szCs w:val="28"/>
              </w:rPr>
              <w:t>)</w:t>
            </w:r>
          </w:p>
        </w:tc>
        <w:tc>
          <w:tcPr>
            <w:tcW w:w="2272" w:type="pct"/>
            <w:gridSpan w:val="2"/>
            <w:tcBorders>
              <w:top w:val="single" w:sz="8" w:space="0" w:color="auto"/>
              <w:bottom w:val="single" w:sz="8" w:space="0" w:color="auto"/>
            </w:tcBorders>
            <w:vAlign w:val="center"/>
          </w:tcPr>
          <w:p w14:paraId="4F1ED781" w14:textId="399BABDD" w:rsidR="005916BF" w:rsidRPr="008462C2" w:rsidRDefault="005916BF" w:rsidP="00F326F5">
            <w:pPr>
              <w:spacing w:beforeLines="25" w:before="78" w:afterLines="25" w:after="78"/>
              <w:jc w:val="center"/>
              <w:rPr>
                <w:rFonts w:ascii="Times New Roman" w:hAnsi="Times New Roman" w:cs="Times New Roman"/>
                <w:b/>
                <w:bCs/>
                <w:sz w:val="24"/>
                <w:szCs w:val="28"/>
              </w:rPr>
            </w:pPr>
            <w:r w:rsidRPr="008462C2">
              <w:rPr>
                <w:rFonts w:ascii="Times New Roman" w:hAnsi="Times New Roman" w:cs="Times New Roman"/>
                <w:b/>
                <w:bCs/>
                <w:sz w:val="24"/>
                <w:szCs w:val="28"/>
              </w:rPr>
              <w:t>Fidelity</w:t>
            </w:r>
          </w:p>
        </w:tc>
      </w:tr>
      <w:tr w:rsidR="005916BF" w:rsidRPr="008462C2" w14:paraId="01E0CD50" w14:textId="77777777" w:rsidTr="005916BF">
        <w:trPr>
          <w:jc w:val="center"/>
        </w:trPr>
        <w:tc>
          <w:tcPr>
            <w:tcW w:w="1592" w:type="pct"/>
            <w:tcBorders>
              <w:top w:val="single" w:sz="8" w:space="0" w:color="auto"/>
            </w:tcBorders>
            <w:vAlign w:val="center"/>
          </w:tcPr>
          <w:p w14:paraId="42EA2CC6" w14:textId="77777777" w:rsidR="005916BF" w:rsidRPr="00580049" w:rsidRDefault="005916BF" w:rsidP="00F326F5">
            <w:pPr>
              <w:spacing w:beforeLines="25" w:before="78" w:afterLines="25" w:after="78"/>
              <w:jc w:val="center"/>
              <w:rPr>
                <w:rFonts w:ascii="Times New Roman" w:hAnsi="Times New Roman" w:cs="Times New Roman"/>
              </w:rPr>
            </w:pPr>
          </w:p>
        </w:tc>
        <w:tc>
          <w:tcPr>
            <w:tcW w:w="1136" w:type="pct"/>
            <w:tcBorders>
              <w:top w:val="single" w:sz="8" w:space="0" w:color="auto"/>
            </w:tcBorders>
            <w:vAlign w:val="center"/>
          </w:tcPr>
          <w:p w14:paraId="2CC48DE9" w14:textId="77777777" w:rsidR="005916BF" w:rsidRPr="00580049" w:rsidRDefault="005916BF" w:rsidP="00F326F5">
            <w:pPr>
              <w:spacing w:beforeLines="25" w:before="78" w:afterLines="25" w:after="78"/>
              <w:jc w:val="center"/>
              <w:rPr>
                <w:rFonts w:ascii="Times New Roman" w:hAnsi="Times New Roman" w:cs="Times New Roman"/>
              </w:rPr>
            </w:pPr>
          </w:p>
        </w:tc>
        <w:bookmarkStart w:id="4" w:name="_Hlk165296222"/>
        <w:tc>
          <w:tcPr>
            <w:tcW w:w="1136" w:type="pct"/>
            <w:tcBorders>
              <w:top w:val="single" w:sz="8" w:space="0" w:color="auto"/>
              <w:bottom w:val="single" w:sz="8" w:space="0" w:color="auto"/>
            </w:tcBorders>
            <w:vAlign w:val="center"/>
          </w:tcPr>
          <w:p w14:paraId="0B84DF4A" w14:textId="3863CB80" w:rsidR="005916BF" w:rsidRPr="00580049" w:rsidRDefault="00A93DA8" w:rsidP="00F326F5">
            <w:pPr>
              <w:spacing w:beforeLines="25" w:before="78" w:afterLines="25" w:after="78"/>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hint="eastAsia"/>
                      </w:rPr>
                      <m:t>Rg</m:t>
                    </m:r>
                  </m:sub>
                </m:sSub>
              </m:oMath>
            </m:oMathPara>
            <w:bookmarkEnd w:id="4"/>
          </w:p>
        </w:tc>
        <w:tc>
          <w:tcPr>
            <w:tcW w:w="1136" w:type="pct"/>
            <w:tcBorders>
              <w:top w:val="single" w:sz="8" w:space="0" w:color="auto"/>
              <w:bottom w:val="single" w:sz="8" w:space="0" w:color="auto"/>
            </w:tcBorders>
            <w:vAlign w:val="center"/>
          </w:tcPr>
          <w:p w14:paraId="0376E3D7" w14:textId="1B8B6FCB" w:rsidR="005916BF" w:rsidRPr="00580049" w:rsidRDefault="00A93DA8" w:rsidP="00F326F5">
            <w:pPr>
              <w:spacing w:beforeLines="25" w:before="78" w:afterLines="25" w:after="78"/>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hint="eastAsia"/>
                    </w:rPr>
                    <m:t>MAE</m:t>
                  </m:r>
                </m:e>
                <m:sub>
                  <m:r>
                    <m:rPr>
                      <m:sty m:val="p"/>
                    </m:rP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α</m:t>
                      </m:r>
                    </m:sub>
                  </m:sSub>
                </m:sub>
              </m:sSub>
            </m:oMath>
            <w:r w:rsidR="005916BF">
              <w:rPr>
                <w:rFonts w:ascii="Times New Roman" w:hAnsi="Times New Roman" w:cs="Times New Roman" w:hint="eastAsia"/>
                <w:sz w:val="24"/>
                <w:szCs w:val="28"/>
              </w:rPr>
              <w:t xml:space="preserve"> </w:t>
            </w:r>
            <w:r w:rsidR="005916BF" w:rsidRPr="00D26917">
              <w:rPr>
                <w:rFonts w:ascii="Times New Roman" w:hAnsi="Times New Roman" w:cs="Times New Roman" w:hint="eastAsia"/>
                <w:sz w:val="24"/>
                <w:szCs w:val="28"/>
              </w:rPr>
              <w:t>(</w:t>
            </w:r>
            <w:r w:rsidR="005916BF" w:rsidRPr="009277DE">
              <w:rPr>
                <w:rFonts w:ascii="Times New Roman" w:hAnsi="Times New Roman" w:cs="Times New Roman"/>
                <w:sz w:val="24"/>
                <w:szCs w:val="28"/>
              </w:rPr>
              <w:t>↓</w:t>
            </w:r>
            <w:r w:rsidR="005916BF" w:rsidRPr="00D26917">
              <w:rPr>
                <w:rFonts w:ascii="Times New Roman" w:hAnsi="Times New Roman" w:cs="Times New Roman" w:hint="eastAsia"/>
                <w:sz w:val="24"/>
                <w:szCs w:val="28"/>
              </w:rPr>
              <w:t>)</w:t>
            </w:r>
          </w:p>
        </w:tc>
      </w:tr>
      <w:tr w:rsidR="005916BF" w:rsidRPr="008462C2" w14:paraId="67012A74" w14:textId="77777777" w:rsidTr="005916BF">
        <w:trPr>
          <w:jc w:val="center"/>
        </w:trPr>
        <w:tc>
          <w:tcPr>
            <w:tcW w:w="1592" w:type="pct"/>
            <w:vAlign w:val="center"/>
          </w:tcPr>
          <w:p w14:paraId="28311B3B" w14:textId="0AD6C47D"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AF-PDB-base</w:t>
            </w:r>
          </w:p>
        </w:tc>
        <w:tc>
          <w:tcPr>
            <w:tcW w:w="1136" w:type="pct"/>
            <w:vAlign w:val="center"/>
          </w:tcPr>
          <w:p w14:paraId="7EEE7480" w14:textId="72CB79AC" w:rsidR="005916BF" w:rsidRPr="0073234B" w:rsidRDefault="0073234B" w:rsidP="00F326F5">
            <w:pPr>
              <w:spacing w:beforeLines="25" w:before="78" w:afterLines="25" w:after="78"/>
              <w:jc w:val="center"/>
              <w:rPr>
                <w:rFonts w:ascii="Times New Roman" w:hAnsi="Times New Roman" w:cs="Times New Roman"/>
                <w:b/>
                <w:bCs/>
              </w:rPr>
            </w:pPr>
            <w:r w:rsidRPr="0073234B">
              <w:rPr>
                <w:rFonts w:ascii="Times New Roman" w:hAnsi="Times New Roman" w:cs="Times New Roman" w:hint="eastAsia"/>
                <w:b/>
                <w:bCs/>
              </w:rPr>
              <w:t>0.97</w:t>
            </w:r>
          </w:p>
        </w:tc>
        <w:tc>
          <w:tcPr>
            <w:tcW w:w="1136" w:type="pct"/>
            <w:tcBorders>
              <w:top w:val="single" w:sz="8" w:space="0" w:color="auto"/>
            </w:tcBorders>
            <w:vAlign w:val="center"/>
          </w:tcPr>
          <w:p w14:paraId="1CF85567" w14:textId="71706F40" w:rsidR="005916BF" w:rsidRPr="005538C3" w:rsidRDefault="005916BF" w:rsidP="00F326F5">
            <w:pPr>
              <w:spacing w:beforeLines="25" w:before="78" w:afterLines="25" w:after="78"/>
              <w:jc w:val="center"/>
              <w:rPr>
                <w:rFonts w:ascii="Times New Roman" w:hAnsi="Times New Roman" w:cs="Times New Roman"/>
                <w:b/>
                <w:bCs/>
              </w:rPr>
            </w:pPr>
            <m:oMathPara>
              <m:oMath>
                <m:r>
                  <m:rPr>
                    <m:sty m:val="bi"/>
                  </m:rPr>
                  <w:rPr>
                    <w:rFonts w:ascii="Cambria Math" w:hAnsi="Cambria Math" w:cs="Times New Roman"/>
                  </w:rPr>
                  <m:t>-0.24</m:t>
                </m:r>
              </m:oMath>
            </m:oMathPara>
          </w:p>
        </w:tc>
        <w:tc>
          <w:tcPr>
            <w:tcW w:w="1136" w:type="pct"/>
            <w:tcBorders>
              <w:top w:val="single" w:sz="4" w:space="0" w:color="auto"/>
            </w:tcBorders>
            <w:vAlign w:val="center"/>
          </w:tcPr>
          <w:p w14:paraId="7DF1107A" w14:textId="684F34D3" w:rsidR="005916BF" w:rsidRPr="0073234B" w:rsidRDefault="00FB0165" w:rsidP="00F326F5">
            <w:pPr>
              <w:spacing w:beforeLines="25" w:before="78" w:afterLines="25" w:after="78"/>
              <w:jc w:val="center"/>
              <w:rPr>
                <w:rFonts w:ascii="Times New Roman" w:hAnsi="Times New Roman" w:cs="Times New Roman"/>
                <w:b/>
                <w:bCs/>
              </w:rPr>
            </w:pPr>
            <w:r w:rsidRPr="0073234B">
              <w:rPr>
                <w:rFonts w:ascii="Times New Roman" w:hAnsi="Times New Roman" w:cs="Times New Roman" w:hint="eastAsia"/>
                <w:b/>
                <w:bCs/>
              </w:rPr>
              <w:t>0.54</w:t>
            </w:r>
          </w:p>
        </w:tc>
      </w:tr>
      <w:tr w:rsidR="005916BF" w:rsidRPr="008462C2" w14:paraId="06A4BDCB" w14:textId="77777777" w:rsidTr="005916BF">
        <w:trPr>
          <w:jc w:val="center"/>
        </w:trPr>
        <w:tc>
          <w:tcPr>
            <w:tcW w:w="1592" w:type="pct"/>
            <w:vAlign w:val="center"/>
          </w:tcPr>
          <w:p w14:paraId="32C698E1" w14:textId="4CF1EE14"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AF-PDB-distilled</w:t>
            </w:r>
          </w:p>
        </w:tc>
        <w:tc>
          <w:tcPr>
            <w:tcW w:w="1136" w:type="pct"/>
            <w:vAlign w:val="center"/>
          </w:tcPr>
          <w:p w14:paraId="07E3C96E" w14:textId="24C731AB"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0.91</w:t>
            </w:r>
          </w:p>
        </w:tc>
        <w:tc>
          <w:tcPr>
            <w:tcW w:w="1136" w:type="pct"/>
            <w:vAlign w:val="center"/>
          </w:tcPr>
          <w:p w14:paraId="48B344B2" w14:textId="3E6568C1" w:rsidR="005916BF" w:rsidRPr="00580049" w:rsidRDefault="005916BF" w:rsidP="00F326F5">
            <w:pPr>
              <w:spacing w:beforeLines="25" w:before="78" w:afterLines="25" w:after="78"/>
              <w:jc w:val="center"/>
              <w:rPr>
                <w:rFonts w:ascii="Times New Roman" w:hAnsi="Times New Roman" w:cs="Times New Roman"/>
              </w:rPr>
            </w:pPr>
            <m:oMathPara>
              <m:oMath>
                <m:r>
                  <w:rPr>
                    <w:rFonts w:ascii="Cambria Math" w:hAnsi="Cambria Math" w:cs="Times New Roman"/>
                  </w:rPr>
                  <m:t>-0.33</m:t>
                </m:r>
              </m:oMath>
            </m:oMathPara>
          </w:p>
        </w:tc>
        <w:tc>
          <w:tcPr>
            <w:tcW w:w="1136" w:type="pct"/>
            <w:vAlign w:val="center"/>
          </w:tcPr>
          <w:p w14:paraId="205F424C" w14:textId="5E016924"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0.78</w:t>
            </w:r>
          </w:p>
        </w:tc>
      </w:tr>
      <w:tr w:rsidR="005916BF" w:rsidRPr="008462C2" w14:paraId="543D018C" w14:textId="77777777" w:rsidTr="005916BF">
        <w:trPr>
          <w:jc w:val="center"/>
        </w:trPr>
        <w:tc>
          <w:tcPr>
            <w:tcW w:w="1592" w:type="pct"/>
            <w:vAlign w:val="center"/>
          </w:tcPr>
          <w:p w14:paraId="7911BD35" w14:textId="36F0FC73"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AF-MD-base</w:t>
            </w:r>
          </w:p>
        </w:tc>
        <w:tc>
          <w:tcPr>
            <w:tcW w:w="1136" w:type="pct"/>
            <w:vAlign w:val="center"/>
          </w:tcPr>
          <w:p w14:paraId="389482E3" w14:textId="75DF14D9"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0.94</w:t>
            </w:r>
          </w:p>
        </w:tc>
        <w:tc>
          <w:tcPr>
            <w:tcW w:w="1136" w:type="pct"/>
            <w:vAlign w:val="center"/>
          </w:tcPr>
          <w:p w14:paraId="346E16F5" w14:textId="26ABC71D" w:rsidR="005916BF" w:rsidRPr="00580049" w:rsidRDefault="005916BF" w:rsidP="00F326F5">
            <w:pPr>
              <w:spacing w:beforeLines="25" w:before="78" w:afterLines="25" w:after="78"/>
              <w:jc w:val="center"/>
              <w:rPr>
                <w:rFonts w:ascii="Times New Roman" w:hAnsi="Times New Roman" w:cs="Times New Roman"/>
              </w:rPr>
            </w:pPr>
            <m:oMathPara>
              <m:oMath>
                <m:r>
                  <w:rPr>
                    <w:rFonts w:ascii="Cambria Math" w:hAnsi="Cambria Math" w:cs="Times New Roman"/>
                  </w:rPr>
                  <m:t>-0.32</m:t>
                </m:r>
              </m:oMath>
            </m:oMathPara>
          </w:p>
        </w:tc>
        <w:tc>
          <w:tcPr>
            <w:tcW w:w="1136" w:type="pct"/>
            <w:vAlign w:val="center"/>
          </w:tcPr>
          <w:p w14:paraId="7E737C55" w14:textId="3EA7B2C2" w:rsidR="005916BF" w:rsidRPr="0073234B" w:rsidRDefault="00FB0165" w:rsidP="00F326F5">
            <w:pPr>
              <w:spacing w:beforeLines="25" w:before="78" w:afterLines="25" w:after="78"/>
              <w:jc w:val="center"/>
              <w:rPr>
                <w:rFonts w:ascii="Times New Roman" w:hAnsi="Times New Roman" w:cs="Times New Roman"/>
                <w:b/>
                <w:bCs/>
              </w:rPr>
            </w:pPr>
            <w:r w:rsidRPr="0073234B">
              <w:rPr>
                <w:rFonts w:ascii="Times New Roman" w:hAnsi="Times New Roman" w:cs="Times New Roman" w:hint="eastAsia"/>
                <w:b/>
                <w:bCs/>
              </w:rPr>
              <w:t>0.54</w:t>
            </w:r>
          </w:p>
        </w:tc>
      </w:tr>
      <w:tr w:rsidR="005916BF" w:rsidRPr="008462C2" w14:paraId="3FC8E25C" w14:textId="77777777" w:rsidTr="005916BF">
        <w:trPr>
          <w:jc w:val="center"/>
        </w:trPr>
        <w:tc>
          <w:tcPr>
            <w:tcW w:w="1592" w:type="pct"/>
            <w:vAlign w:val="center"/>
          </w:tcPr>
          <w:p w14:paraId="4371439B" w14:textId="428AFA56"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AF-MD-distilled</w:t>
            </w:r>
          </w:p>
        </w:tc>
        <w:tc>
          <w:tcPr>
            <w:tcW w:w="1136" w:type="pct"/>
            <w:vAlign w:val="center"/>
          </w:tcPr>
          <w:p w14:paraId="6B3B72CA" w14:textId="53263157"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0.91</w:t>
            </w:r>
          </w:p>
        </w:tc>
        <w:tc>
          <w:tcPr>
            <w:tcW w:w="1136" w:type="pct"/>
            <w:vAlign w:val="center"/>
          </w:tcPr>
          <w:p w14:paraId="62AF9549" w14:textId="743CA330" w:rsidR="005916BF" w:rsidRPr="00580049" w:rsidRDefault="005916BF" w:rsidP="00F326F5">
            <w:pPr>
              <w:spacing w:beforeLines="25" w:before="78" w:afterLines="25" w:after="78"/>
              <w:jc w:val="center"/>
              <w:rPr>
                <w:rFonts w:ascii="Times New Roman" w:hAnsi="Times New Roman" w:cs="Times New Roman"/>
              </w:rPr>
            </w:pPr>
            <m:oMathPara>
              <m:oMath>
                <m:r>
                  <w:rPr>
                    <w:rFonts w:ascii="Cambria Math" w:hAnsi="Cambria Math" w:cs="Times New Roman"/>
                  </w:rPr>
                  <m:t>-0.44</m:t>
                </m:r>
              </m:oMath>
            </m:oMathPara>
          </w:p>
        </w:tc>
        <w:tc>
          <w:tcPr>
            <w:tcW w:w="1136" w:type="pct"/>
            <w:vAlign w:val="center"/>
          </w:tcPr>
          <w:p w14:paraId="04FEEC90" w14:textId="1D08BD5D"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0.66</w:t>
            </w:r>
          </w:p>
        </w:tc>
      </w:tr>
      <w:tr w:rsidR="005916BF" w:rsidRPr="008462C2" w14:paraId="25BCC60D" w14:textId="77777777" w:rsidTr="005916BF">
        <w:trPr>
          <w:jc w:val="center"/>
        </w:trPr>
        <w:tc>
          <w:tcPr>
            <w:tcW w:w="1592" w:type="pct"/>
            <w:vAlign w:val="center"/>
          </w:tcPr>
          <w:p w14:paraId="18A0B7A5" w14:textId="76B11A58"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ESM-PDB-base</w:t>
            </w:r>
          </w:p>
        </w:tc>
        <w:tc>
          <w:tcPr>
            <w:tcW w:w="1136" w:type="pct"/>
            <w:vAlign w:val="center"/>
          </w:tcPr>
          <w:p w14:paraId="68B1EEB5" w14:textId="67D0E14F"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0.94</w:t>
            </w:r>
          </w:p>
        </w:tc>
        <w:tc>
          <w:tcPr>
            <w:tcW w:w="1136" w:type="pct"/>
            <w:vAlign w:val="center"/>
          </w:tcPr>
          <w:p w14:paraId="0D1F97AF" w14:textId="7217ECAA" w:rsidR="005916BF" w:rsidRPr="00580049" w:rsidRDefault="00410C16" w:rsidP="00F326F5">
            <w:pPr>
              <w:spacing w:beforeLines="25" w:before="78" w:afterLines="25" w:after="78"/>
              <w:jc w:val="center"/>
              <w:rPr>
                <w:rFonts w:ascii="Times New Roman" w:hAnsi="Times New Roman" w:cs="Times New Roman"/>
              </w:rPr>
            </w:pPr>
            <m:oMathPara>
              <m:oMath>
                <m:r>
                  <m:rPr>
                    <m:sty m:val="bi"/>
                  </m:rPr>
                  <w:rPr>
                    <w:rFonts w:ascii="Cambria Math" w:hAnsi="Cambria Math" w:cs="Times New Roman"/>
                  </w:rPr>
                  <m:t>-0.24</m:t>
                </m:r>
              </m:oMath>
            </m:oMathPara>
          </w:p>
        </w:tc>
        <w:tc>
          <w:tcPr>
            <w:tcW w:w="1136" w:type="pct"/>
            <w:vAlign w:val="center"/>
          </w:tcPr>
          <w:p w14:paraId="100AC6B4" w14:textId="204FCD32"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0.64</w:t>
            </w:r>
          </w:p>
        </w:tc>
      </w:tr>
      <w:tr w:rsidR="005916BF" w:rsidRPr="008462C2" w14:paraId="271314FD" w14:textId="77777777" w:rsidTr="005916BF">
        <w:trPr>
          <w:jc w:val="center"/>
        </w:trPr>
        <w:tc>
          <w:tcPr>
            <w:tcW w:w="1592" w:type="pct"/>
            <w:vAlign w:val="center"/>
          </w:tcPr>
          <w:p w14:paraId="68CCF677" w14:textId="415BAD59"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ESM-PDB-distilled</w:t>
            </w:r>
          </w:p>
        </w:tc>
        <w:tc>
          <w:tcPr>
            <w:tcW w:w="1136" w:type="pct"/>
            <w:vAlign w:val="center"/>
          </w:tcPr>
          <w:p w14:paraId="1A182353" w14:textId="091E35DD"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0.89</w:t>
            </w:r>
          </w:p>
        </w:tc>
        <w:tc>
          <w:tcPr>
            <w:tcW w:w="1136" w:type="pct"/>
            <w:vAlign w:val="center"/>
          </w:tcPr>
          <w:p w14:paraId="2B0FF6CD" w14:textId="587C886F" w:rsidR="005916BF" w:rsidRDefault="00410C16" w:rsidP="00F326F5">
            <w:pPr>
              <w:spacing w:beforeLines="25" w:before="78" w:afterLines="25" w:after="78"/>
              <w:jc w:val="center"/>
              <w:rPr>
                <w:rFonts w:ascii="Times New Roman" w:eastAsia="等线" w:hAnsi="Times New Roman" w:cs="Times New Roman"/>
              </w:rPr>
            </w:pPr>
            <m:oMathPara>
              <m:oMath>
                <m:r>
                  <w:rPr>
                    <w:rFonts w:ascii="Cambria Math" w:hAnsi="Cambria Math" w:cs="Times New Roman"/>
                  </w:rPr>
                  <m:t>-0.33</m:t>
                </m:r>
              </m:oMath>
            </m:oMathPara>
          </w:p>
        </w:tc>
        <w:tc>
          <w:tcPr>
            <w:tcW w:w="1136" w:type="pct"/>
            <w:vAlign w:val="center"/>
          </w:tcPr>
          <w:p w14:paraId="1E7BF389" w14:textId="34A92586"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0.77</w:t>
            </w:r>
          </w:p>
        </w:tc>
      </w:tr>
      <w:tr w:rsidR="005916BF" w:rsidRPr="008462C2" w14:paraId="65A1FB93" w14:textId="77777777" w:rsidTr="005916BF">
        <w:trPr>
          <w:jc w:val="center"/>
        </w:trPr>
        <w:tc>
          <w:tcPr>
            <w:tcW w:w="1592" w:type="pct"/>
            <w:vAlign w:val="center"/>
          </w:tcPr>
          <w:p w14:paraId="002B000C" w14:textId="250026BF"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ESM-MD-base</w:t>
            </w:r>
          </w:p>
        </w:tc>
        <w:tc>
          <w:tcPr>
            <w:tcW w:w="1136" w:type="pct"/>
            <w:vAlign w:val="center"/>
          </w:tcPr>
          <w:p w14:paraId="0CAD842F" w14:textId="7A75B680"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0.96</w:t>
            </w:r>
          </w:p>
        </w:tc>
        <w:tc>
          <w:tcPr>
            <w:tcW w:w="1136" w:type="pct"/>
            <w:vAlign w:val="center"/>
          </w:tcPr>
          <w:p w14:paraId="77B4BEE9" w14:textId="5589FE0C" w:rsidR="005916BF" w:rsidRDefault="00410C16" w:rsidP="00F326F5">
            <w:pPr>
              <w:spacing w:beforeLines="25" w:before="78" w:afterLines="25" w:after="78"/>
              <w:jc w:val="center"/>
              <w:rPr>
                <w:rFonts w:ascii="Times New Roman" w:eastAsia="等线" w:hAnsi="Times New Roman" w:cs="Times New Roman"/>
              </w:rPr>
            </w:pPr>
            <m:oMathPara>
              <m:oMath>
                <m:r>
                  <w:rPr>
                    <w:rFonts w:ascii="Cambria Math" w:hAnsi="Cambria Math" w:cs="Times New Roman"/>
                  </w:rPr>
                  <m:t>-0.35</m:t>
                </m:r>
              </m:oMath>
            </m:oMathPara>
          </w:p>
        </w:tc>
        <w:tc>
          <w:tcPr>
            <w:tcW w:w="1136" w:type="pct"/>
            <w:vAlign w:val="center"/>
          </w:tcPr>
          <w:p w14:paraId="6C0CF5EE" w14:textId="55F25B14"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0.62</w:t>
            </w:r>
          </w:p>
        </w:tc>
      </w:tr>
      <w:tr w:rsidR="005916BF" w:rsidRPr="008462C2" w14:paraId="337C9A7A" w14:textId="77777777" w:rsidTr="005916BF">
        <w:trPr>
          <w:jc w:val="center"/>
        </w:trPr>
        <w:tc>
          <w:tcPr>
            <w:tcW w:w="1592" w:type="pct"/>
            <w:tcBorders>
              <w:bottom w:val="single" w:sz="8" w:space="0" w:color="auto"/>
            </w:tcBorders>
            <w:vAlign w:val="center"/>
          </w:tcPr>
          <w:p w14:paraId="7F764ECD" w14:textId="74D1EEF3" w:rsidR="005916BF" w:rsidRPr="00580049" w:rsidRDefault="005916BF" w:rsidP="00F326F5">
            <w:pPr>
              <w:spacing w:beforeLines="25" w:before="78" w:afterLines="25" w:after="78"/>
              <w:jc w:val="center"/>
              <w:rPr>
                <w:rFonts w:ascii="Times New Roman" w:hAnsi="Times New Roman" w:cs="Times New Roman"/>
              </w:rPr>
            </w:pPr>
            <w:r>
              <w:rPr>
                <w:rFonts w:ascii="Times New Roman" w:hAnsi="Times New Roman" w:cs="Times New Roman" w:hint="eastAsia"/>
              </w:rPr>
              <w:t>ESM-MD-distilled</w:t>
            </w:r>
          </w:p>
        </w:tc>
        <w:tc>
          <w:tcPr>
            <w:tcW w:w="1136" w:type="pct"/>
            <w:tcBorders>
              <w:bottom w:val="single" w:sz="8" w:space="0" w:color="auto"/>
            </w:tcBorders>
            <w:vAlign w:val="center"/>
          </w:tcPr>
          <w:p w14:paraId="78BA19B0" w14:textId="4F43E3B7" w:rsidR="005916BF" w:rsidRPr="00580049" w:rsidRDefault="0073234B"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0.90</w:t>
            </w:r>
          </w:p>
        </w:tc>
        <w:tc>
          <w:tcPr>
            <w:tcW w:w="1136" w:type="pct"/>
            <w:tcBorders>
              <w:bottom w:val="single" w:sz="8" w:space="0" w:color="auto"/>
            </w:tcBorders>
            <w:vAlign w:val="center"/>
          </w:tcPr>
          <w:p w14:paraId="167861A9" w14:textId="1E6E6A5D" w:rsidR="005916BF" w:rsidRDefault="005916BF" w:rsidP="00F326F5">
            <w:pPr>
              <w:spacing w:beforeLines="25" w:before="78" w:afterLines="25" w:after="78"/>
              <w:jc w:val="center"/>
              <w:rPr>
                <w:rFonts w:ascii="Times New Roman" w:eastAsia="等线" w:hAnsi="Times New Roman" w:cs="Times New Roman"/>
              </w:rPr>
            </w:pPr>
            <m:oMathPara>
              <m:oMath>
                <m:r>
                  <w:rPr>
                    <w:rFonts w:ascii="Cambria Math" w:hAnsi="Cambria Math" w:cs="Times New Roman"/>
                  </w:rPr>
                  <m:t>-0.47</m:t>
                </m:r>
              </m:oMath>
            </m:oMathPara>
          </w:p>
        </w:tc>
        <w:tc>
          <w:tcPr>
            <w:tcW w:w="1136" w:type="pct"/>
            <w:tcBorders>
              <w:bottom w:val="single" w:sz="8" w:space="0" w:color="auto"/>
            </w:tcBorders>
            <w:vAlign w:val="center"/>
          </w:tcPr>
          <w:p w14:paraId="23475974" w14:textId="2CB43CFC" w:rsidR="005916BF" w:rsidRPr="00580049" w:rsidRDefault="00FB0165" w:rsidP="00F326F5">
            <w:pPr>
              <w:spacing w:beforeLines="25" w:before="78" w:afterLines="25" w:after="78"/>
              <w:jc w:val="center"/>
              <w:rPr>
                <w:rFonts w:ascii="Times New Roman" w:hAnsi="Times New Roman" w:cs="Times New Roman"/>
              </w:rPr>
            </w:pPr>
            <w:r>
              <w:rPr>
                <w:rFonts w:ascii="Times New Roman" w:hAnsi="Times New Roman" w:cs="Times New Roman" w:hint="eastAsia"/>
              </w:rPr>
              <w:t>0.68</w:t>
            </w:r>
          </w:p>
        </w:tc>
      </w:tr>
    </w:tbl>
    <w:p w14:paraId="5D0E11CE" w14:textId="77777777" w:rsidR="00F326F5" w:rsidRPr="00F326F5" w:rsidRDefault="00F326F5" w:rsidP="00F326F5">
      <w:pPr>
        <w:spacing w:line="360" w:lineRule="auto"/>
        <w:rPr>
          <w:rFonts w:ascii="Times New Roman" w:hAnsi="Times New Roman" w:cs="Times New Roman"/>
          <w:sz w:val="24"/>
          <w:szCs w:val="28"/>
        </w:rPr>
      </w:pPr>
    </w:p>
    <w:p w14:paraId="03887144" w14:textId="77777777" w:rsidR="00AD2B55" w:rsidRDefault="00AD2B55">
      <w:pPr>
        <w:widowControl/>
        <w:jc w:val="left"/>
      </w:pPr>
      <w:r>
        <w:br w:type="page"/>
      </w:r>
    </w:p>
    <w:p w14:paraId="6EE7D943" w14:textId="679B6152" w:rsidR="002520CC" w:rsidRDefault="00AD2B55" w:rsidP="00AD2B55">
      <w:pPr>
        <w:jc w:val="center"/>
      </w:pPr>
      <w:r w:rsidRPr="00AD2B55">
        <w:rPr>
          <w:noProof/>
        </w:rPr>
        <w:lastRenderedPageBreak/>
        <w:drawing>
          <wp:inline distT="0" distB="0" distL="0" distR="0" wp14:anchorId="66368639" wp14:editId="7A09E00D">
            <wp:extent cx="5274310" cy="2929890"/>
            <wp:effectExtent l="0" t="0" r="2540" b="3810"/>
            <wp:docPr id="1395291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29890"/>
                    </a:xfrm>
                    <a:prstGeom prst="rect">
                      <a:avLst/>
                    </a:prstGeom>
                    <a:noFill/>
                    <a:ln>
                      <a:noFill/>
                    </a:ln>
                  </pic:spPr>
                </pic:pic>
              </a:graphicData>
            </a:graphic>
          </wp:inline>
        </w:drawing>
      </w:r>
    </w:p>
    <w:p w14:paraId="2ACA7CFC" w14:textId="1D20A6B2" w:rsidR="00AD2B55" w:rsidRDefault="00AD2B55" w:rsidP="00416BB7">
      <w:pPr>
        <w:spacing w:line="360" w:lineRule="auto"/>
        <w:rPr>
          <w:rFonts w:ascii="Times New Roman" w:hAnsi="Times New Roman" w:cs="Times New Roman"/>
        </w:rPr>
      </w:pPr>
      <w:r w:rsidRPr="00416BB7">
        <w:rPr>
          <w:rFonts w:ascii="Times New Roman" w:hAnsi="Times New Roman" w:cs="Times New Roman"/>
          <w:b/>
          <w:bCs/>
          <w:sz w:val="24"/>
          <w:szCs w:val="28"/>
        </w:rPr>
        <w:t xml:space="preserve">Figure S1. </w:t>
      </w:r>
      <w:r w:rsidRPr="00416BB7">
        <w:rPr>
          <w:rFonts w:ascii="Times New Roman" w:hAnsi="Times New Roman" w:cs="Times New Roman" w:hint="eastAsia"/>
          <w:sz w:val="24"/>
          <w:szCs w:val="28"/>
        </w:rPr>
        <w:t>The bond lengths and angles of IDPFold generated conformations.</w:t>
      </w:r>
    </w:p>
    <w:p w14:paraId="356BEC0E" w14:textId="084B98C0" w:rsidR="00AD2B55" w:rsidRDefault="00AD2B55">
      <w:pPr>
        <w:widowControl/>
        <w:jc w:val="left"/>
        <w:rPr>
          <w:rFonts w:ascii="Times New Roman" w:hAnsi="Times New Roman" w:cs="Times New Roman"/>
        </w:rPr>
      </w:pPr>
      <w:r>
        <w:rPr>
          <w:rFonts w:ascii="Times New Roman" w:hAnsi="Times New Roman" w:cs="Times New Roman"/>
        </w:rPr>
        <w:br w:type="page"/>
      </w:r>
    </w:p>
    <w:p w14:paraId="572FB20D" w14:textId="684677A9" w:rsidR="00AD2B55" w:rsidRDefault="00AD2B55" w:rsidP="00AD2B55">
      <w:pPr>
        <w:rPr>
          <w:rFonts w:ascii="Times New Roman" w:hAnsi="Times New Roman" w:cs="Times New Roman"/>
        </w:rPr>
      </w:pPr>
      <w:r>
        <w:rPr>
          <w:noProof/>
        </w:rPr>
        <w:lastRenderedPageBreak/>
        <w:drawing>
          <wp:inline distT="0" distB="0" distL="0" distR="0" wp14:anchorId="774FC44D" wp14:editId="07023076">
            <wp:extent cx="5274259" cy="2219946"/>
            <wp:effectExtent l="0" t="0" r="3175" b="9525"/>
            <wp:docPr id="251523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580" b="44272"/>
                    <a:stretch/>
                  </pic:blipFill>
                  <pic:spPr bwMode="auto">
                    <a:xfrm>
                      <a:off x="0" y="0"/>
                      <a:ext cx="5274310" cy="2219967"/>
                    </a:xfrm>
                    <a:prstGeom prst="rect">
                      <a:avLst/>
                    </a:prstGeom>
                    <a:noFill/>
                    <a:ln>
                      <a:noFill/>
                    </a:ln>
                    <a:extLst>
                      <a:ext uri="{53640926-AAD7-44D8-BBD7-CCE9431645EC}">
                        <a14:shadowObscured xmlns:a14="http://schemas.microsoft.com/office/drawing/2010/main"/>
                      </a:ext>
                    </a:extLst>
                  </pic:spPr>
                </pic:pic>
              </a:graphicData>
            </a:graphic>
          </wp:inline>
        </w:drawing>
      </w:r>
    </w:p>
    <w:p w14:paraId="196B1236" w14:textId="14471BCC" w:rsidR="00AD2B55" w:rsidRPr="00416BB7" w:rsidRDefault="00AD2B55" w:rsidP="00AD2B55">
      <w:pPr>
        <w:rPr>
          <w:rFonts w:ascii="Times New Roman" w:hAnsi="Times New Roman" w:cs="Times New Roman"/>
          <w:sz w:val="24"/>
          <w:szCs w:val="28"/>
        </w:rPr>
      </w:pPr>
      <w:r w:rsidRPr="00416BB7">
        <w:rPr>
          <w:rFonts w:ascii="Times New Roman" w:hAnsi="Times New Roman" w:cs="Times New Roman" w:hint="eastAsia"/>
          <w:b/>
          <w:bCs/>
          <w:sz w:val="24"/>
          <w:szCs w:val="28"/>
        </w:rPr>
        <w:t xml:space="preserve">Figure S2. </w:t>
      </w:r>
      <w:r w:rsidRPr="00416BB7">
        <w:rPr>
          <w:rFonts w:ascii="Times New Roman" w:hAnsi="Times New Roman" w:cs="Times New Roman" w:hint="eastAsia"/>
          <w:sz w:val="24"/>
          <w:szCs w:val="28"/>
        </w:rPr>
        <w:t xml:space="preserve">The </w:t>
      </w:r>
      <w:r w:rsidRPr="00416BB7">
        <w:rPr>
          <w:rFonts w:ascii="Times New Roman" w:hAnsi="Times New Roman" w:cs="Times New Roman"/>
          <w:sz w:val="24"/>
          <w:szCs w:val="28"/>
        </w:rPr>
        <w:t>Ramachandran</w:t>
      </w:r>
      <w:r w:rsidRPr="00416BB7">
        <w:rPr>
          <w:rFonts w:ascii="Times New Roman" w:hAnsi="Times New Roman" w:cs="Times New Roman" w:hint="eastAsia"/>
          <w:sz w:val="24"/>
          <w:szCs w:val="28"/>
        </w:rPr>
        <w:t xml:space="preserve"> plots of pretrained and fine-tuned IDPFold.</w:t>
      </w:r>
    </w:p>
    <w:p w14:paraId="134CED57" w14:textId="77777777" w:rsidR="00416BB7" w:rsidRDefault="00C363DB">
      <w:pPr>
        <w:widowControl/>
        <w:jc w:val="left"/>
        <w:rPr>
          <w:rFonts w:ascii="Times New Roman" w:hAnsi="Times New Roman" w:cs="Times New Roman"/>
        </w:rPr>
      </w:pPr>
      <w:r>
        <w:rPr>
          <w:rFonts w:ascii="Times New Roman" w:hAnsi="Times New Roman" w:cs="Times New Roman"/>
        </w:rPr>
        <w:br w:type="page"/>
      </w:r>
    </w:p>
    <w:p w14:paraId="09A60303" w14:textId="328A66C1" w:rsidR="00416BB7" w:rsidRPr="00416BB7" w:rsidRDefault="00416BB7" w:rsidP="00416BB7">
      <w:pPr>
        <w:widowControl/>
        <w:rPr>
          <w:rFonts w:ascii="Times New Roman" w:hAnsi="Times New Roman" w:cs="Times New Roman"/>
        </w:rPr>
      </w:pPr>
      <w:r>
        <w:rPr>
          <w:noProof/>
        </w:rPr>
        <w:lastRenderedPageBreak/>
        <w:drawing>
          <wp:inline distT="0" distB="0" distL="0" distR="0" wp14:anchorId="1495D51F" wp14:editId="14C24107">
            <wp:extent cx="5274310" cy="2825750"/>
            <wp:effectExtent l="0" t="0" r="2540" b="0"/>
            <wp:docPr id="1425529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257" b="20654"/>
                    <a:stretch/>
                  </pic:blipFill>
                  <pic:spPr bwMode="auto">
                    <a:xfrm>
                      <a:off x="0" y="0"/>
                      <a:ext cx="5274310" cy="2825750"/>
                    </a:xfrm>
                    <a:prstGeom prst="rect">
                      <a:avLst/>
                    </a:prstGeom>
                    <a:noFill/>
                    <a:ln>
                      <a:noFill/>
                    </a:ln>
                    <a:extLst>
                      <a:ext uri="{53640926-AAD7-44D8-BBD7-CCE9431645EC}">
                        <a14:shadowObscured xmlns:a14="http://schemas.microsoft.com/office/drawing/2010/main"/>
                      </a:ext>
                    </a:extLst>
                  </pic:spPr>
                </pic:pic>
              </a:graphicData>
            </a:graphic>
          </wp:inline>
        </w:drawing>
      </w:r>
    </w:p>
    <w:p w14:paraId="45449C84" w14:textId="59400A32" w:rsidR="00416BB7" w:rsidRPr="00416BB7" w:rsidRDefault="00416BB7" w:rsidP="00416BB7">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 xml:space="preserve">Figure S3. </w:t>
      </w:r>
      <w:r w:rsidR="0056265C">
        <w:rPr>
          <w:rFonts w:ascii="Times New Roman" w:hAnsi="Times New Roman" w:cs="Times New Roman"/>
          <w:sz w:val="24"/>
          <w:szCs w:val="28"/>
        </w:rPr>
        <w:t>Differences</w:t>
      </w:r>
      <w:r w:rsidRPr="00416BB7">
        <w:rPr>
          <w:rFonts w:ascii="Times New Roman" w:hAnsi="Times New Roman" w:cs="Times New Roman" w:hint="eastAsia"/>
          <w:sz w:val="24"/>
          <w:szCs w:val="28"/>
        </w:rPr>
        <w:t xml:space="preserve"> between generated conformational ensembles and experimental observations. (A) Average </w:t>
      </w:r>
      <w:proofErr w:type="spellStart"/>
      <w:r w:rsidRPr="00416BB7">
        <w:rPr>
          <w:rFonts w:ascii="Times New Roman" w:hAnsi="Times New Roman" w:cs="Times New Roman" w:hint="eastAsia"/>
          <w:sz w:val="24"/>
          <w:szCs w:val="28"/>
        </w:rPr>
        <w:t>Rg</w:t>
      </w:r>
      <w:proofErr w:type="spellEnd"/>
      <w:r w:rsidRPr="00416BB7">
        <w:rPr>
          <w:rFonts w:ascii="Times New Roman" w:hAnsi="Times New Roman" w:cs="Times New Roman" w:hint="eastAsia"/>
          <w:sz w:val="24"/>
          <w:szCs w:val="28"/>
        </w:rPr>
        <w:t xml:space="preserve"> errors and their standard deviation on all 27 IDPs. (B) Mean average error </w:t>
      </w:r>
      <w:r w:rsidRPr="00416BB7">
        <w:rPr>
          <w:rFonts w:ascii="Times New Roman" w:hAnsi="Times New Roman" w:cs="Times New Roman"/>
          <w:sz w:val="24"/>
          <w:szCs w:val="28"/>
        </w:rPr>
        <w:t>on</w:t>
      </w:r>
      <w:r w:rsidRPr="00416BB7">
        <w:rPr>
          <w:rFonts w:ascii="Times New Roman" w:hAnsi="Times New Roman" w:cs="Times New Roman" w:hint="eastAsia"/>
          <w:sz w:val="24"/>
          <w:szCs w:val="28"/>
        </w:rPr>
        <w:t xml:space="preserve"> </w:t>
      </w:r>
      <w:r w:rsidRPr="00416BB7">
        <w:rPr>
          <w:rFonts w:ascii="Times New Roman" w:hAnsi="Times New Roman" w:cs="Times New Roman"/>
          <w:sz w:val="24"/>
          <w:szCs w:val="28"/>
        </w:rPr>
        <w:t>ensemble average</w:t>
      </w:r>
      <w:r w:rsidRPr="00416BB7">
        <w:rPr>
          <w:rFonts w:ascii="Times New Roman" w:hAnsi="Times New Roman" w:cs="Times New Roman" w:hint="eastAsia"/>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m:rPr>
                <m:sty m:val="p"/>
              </m:rPr>
              <w:rPr>
                <w:rFonts w:ascii="Cambria Math" w:hAnsi="Cambria Math" w:cs="Times New Roman"/>
                <w:sz w:val="24"/>
                <w:szCs w:val="28"/>
              </w:rPr>
              <m:t>α</m:t>
            </m:r>
          </m:sub>
        </m:sSub>
      </m:oMath>
      <w:r w:rsidRPr="00416BB7">
        <w:rPr>
          <w:rFonts w:ascii="Times New Roman" w:hAnsi="Times New Roman" w:cs="Times New Roman"/>
          <w:sz w:val="24"/>
          <w:szCs w:val="28"/>
        </w:rPr>
        <w:t xml:space="preserve"> chemical shift</w:t>
      </w:r>
      <w:r>
        <w:rPr>
          <w:rFonts w:ascii="Times New Roman" w:hAnsi="Times New Roman" w:cs="Times New Roman" w:hint="eastAsia"/>
          <w:sz w:val="24"/>
          <w:szCs w:val="28"/>
        </w:rPr>
        <w:t xml:space="preserve"> on all 10 IDPs.</w:t>
      </w:r>
    </w:p>
    <w:p w14:paraId="38F1E88C" w14:textId="77777777" w:rsidR="000540CC" w:rsidRDefault="00416BB7">
      <w:pPr>
        <w:widowControl/>
        <w:jc w:val="left"/>
        <w:rPr>
          <w:rFonts w:ascii="Times New Roman" w:hAnsi="Times New Roman" w:cs="Times New Roman"/>
        </w:rPr>
      </w:pPr>
      <w:r>
        <w:rPr>
          <w:rFonts w:ascii="Times New Roman" w:hAnsi="Times New Roman" w:cs="Times New Roman"/>
        </w:rPr>
        <w:br w:type="page"/>
      </w:r>
    </w:p>
    <w:p w14:paraId="635D0279" w14:textId="7787488D" w:rsidR="000540CC" w:rsidRDefault="00F45461">
      <w:pPr>
        <w:widowControl/>
        <w:jc w:val="left"/>
        <w:rPr>
          <w:rFonts w:ascii="Times New Roman" w:hAnsi="Times New Roman" w:cs="Times New Roman"/>
        </w:rPr>
      </w:pPr>
      <w:r>
        <w:rPr>
          <w:noProof/>
        </w:rPr>
        <w:lastRenderedPageBreak/>
        <w:drawing>
          <wp:inline distT="0" distB="0" distL="0" distR="0" wp14:anchorId="7B6271AD" wp14:editId="0AC16D00">
            <wp:extent cx="5274310" cy="5650865"/>
            <wp:effectExtent l="0" t="0" r="2540" b="6985"/>
            <wp:docPr id="15641224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650865"/>
                    </a:xfrm>
                    <a:prstGeom prst="rect">
                      <a:avLst/>
                    </a:prstGeom>
                    <a:noFill/>
                    <a:ln>
                      <a:noFill/>
                    </a:ln>
                  </pic:spPr>
                </pic:pic>
              </a:graphicData>
            </a:graphic>
          </wp:inline>
        </w:drawing>
      </w:r>
    </w:p>
    <w:p w14:paraId="449BBE61" w14:textId="49AD0443" w:rsidR="000540CC" w:rsidRPr="00416BB7" w:rsidRDefault="000540CC" w:rsidP="000540CC">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4</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proofErr w:type="spellStart"/>
      <w:r w:rsidRPr="005916BF">
        <w:rPr>
          <w:rFonts w:ascii="Times New Roman" w:hAnsi="Times New Roman" w:cs="Times New Roman" w:hint="eastAsia"/>
          <w:b/>
          <w:bCs/>
          <w:sz w:val="24"/>
          <w:szCs w:val="28"/>
          <w:u w:val="single"/>
        </w:rPr>
        <w:t>IDPFold</w:t>
      </w:r>
      <w:proofErr w:type="spellEnd"/>
      <w:r>
        <w:rPr>
          <w:rFonts w:ascii="Times New Roman" w:hAnsi="Times New Roman" w:cs="Times New Roman" w:hint="eastAsia"/>
          <w:sz w:val="24"/>
          <w:szCs w:val="28"/>
        </w:rPr>
        <w:t xml:space="preserve"> generated conformation ensembles (colored) and MD trajectories (black dashed) on 27 IDP systems.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3C2C1967" w14:textId="0D895569" w:rsidR="000540CC" w:rsidRDefault="000540CC">
      <w:pPr>
        <w:widowControl/>
        <w:jc w:val="left"/>
        <w:rPr>
          <w:rFonts w:ascii="Times New Roman" w:hAnsi="Times New Roman" w:cs="Times New Roman"/>
        </w:rPr>
      </w:pPr>
      <w:r>
        <w:rPr>
          <w:rFonts w:ascii="Times New Roman" w:hAnsi="Times New Roman" w:cs="Times New Roman"/>
        </w:rPr>
        <w:br w:type="page"/>
      </w:r>
    </w:p>
    <w:p w14:paraId="689E532A" w14:textId="10C977CF" w:rsidR="000540CC" w:rsidRDefault="00F45461">
      <w:pPr>
        <w:widowControl/>
        <w:jc w:val="left"/>
        <w:rPr>
          <w:rFonts w:ascii="Times New Roman" w:hAnsi="Times New Roman" w:cs="Times New Roman"/>
        </w:rPr>
      </w:pPr>
      <w:r>
        <w:rPr>
          <w:noProof/>
        </w:rPr>
        <w:lastRenderedPageBreak/>
        <w:drawing>
          <wp:inline distT="0" distB="0" distL="0" distR="0" wp14:anchorId="3D4A718C" wp14:editId="09472E21">
            <wp:extent cx="5274310" cy="7671435"/>
            <wp:effectExtent l="0" t="0" r="2540" b="5715"/>
            <wp:docPr id="404299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671435"/>
                    </a:xfrm>
                    <a:prstGeom prst="rect">
                      <a:avLst/>
                    </a:prstGeom>
                    <a:noFill/>
                    <a:ln>
                      <a:noFill/>
                    </a:ln>
                  </pic:spPr>
                </pic:pic>
              </a:graphicData>
            </a:graphic>
          </wp:inline>
        </w:drawing>
      </w:r>
    </w:p>
    <w:p w14:paraId="42A24CFF" w14:textId="6F3CC6ED" w:rsidR="000540CC" w:rsidRPr="00106264" w:rsidRDefault="000540CC" w:rsidP="00106264">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5</w:t>
      </w:r>
      <w:r w:rsidRPr="00416BB7">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Ensemble average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α</m:t>
            </m:r>
          </m:sub>
        </m:sSub>
      </m:oMath>
      <w:r>
        <w:rPr>
          <w:rFonts w:ascii="Times New Roman" w:hAnsi="Times New Roman" w:cs="Times New Roman" w:hint="eastAsia"/>
          <w:sz w:val="24"/>
          <w:szCs w:val="28"/>
        </w:rPr>
        <w:t xml:space="preserve"> chemical shifts of </w:t>
      </w:r>
      <w:r w:rsidRPr="005916BF">
        <w:rPr>
          <w:rFonts w:ascii="Times New Roman" w:hAnsi="Times New Roman" w:cs="Times New Roman" w:hint="eastAsia"/>
          <w:b/>
          <w:bCs/>
          <w:sz w:val="24"/>
          <w:szCs w:val="28"/>
          <w:u w:val="single"/>
        </w:rPr>
        <w:t>IDPFold</w:t>
      </w:r>
      <w:r>
        <w:rPr>
          <w:rFonts w:ascii="Times New Roman" w:hAnsi="Times New Roman" w:cs="Times New Roman" w:hint="eastAsia"/>
          <w:sz w:val="24"/>
          <w:szCs w:val="28"/>
        </w:rPr>
        <w:t xml:space="preserve"> generated conformation ensembles (colored) and MD trajectories (black dashed) on 27 IDP systems. Experimental values are plotted as black solid lines.</w:t>
      </w:r>
    </w:p>
    <w:p w14:paraId="382FCC28" w14:textId="2D7420E6" w:rsidR="00DA7371" w:rsidRDefault="007E6F91">
      <w:pPr>
        <w:widowControl/>
        <w:jc w:val="left"/>
        <w:rPr>
          <w:rFonts w:ascii="Times New Roman" w:hAnsi="Times New Roman" w:cs="Times New Roman"/>
        </w:rPr>
      </w:pPr>
      <w:r w:rsidRPr="007E6F91">
        <w:rPr>
          <w:rFonts w:ascii="Times New Roman" w:hAnsi="Times New Roman" w:cs="Times New Roman"/>
          <w:noProof/>
        </w:rPr>
        <w:lastRenderedPageBreak/>
        <w:drawing>
          <wp:inline distT="0" distB="0" distL="0" distR="0" wp14:anchorId="313748C2" wp14:editId="685EFA1C">
            <wp:extent cx="5274310" cy="5650865"/>
            <wp:effectExtent l="0" t="0" r="2540" b="6985"/>
            <wp:docPr id="1154568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650865"/>
                    </a:xfrm>
                    <a:prstGeom prst="rect">
                      <a:avLst/>
                    </a:prstGeom>
                    <a:noFill/>
                    <a:ln>
                      <a:noFill/>
                    </a:ln>
                  </pic:spPr>
                </pic:pic>
              </a:graphicData>
            </a:graphic>
          </wp:inline>
        </w:drawing>
      </w:r>
    </w:p>
    <w:p w14:paraId="07C0849D" w14:textId="6BA25292"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6</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r w:rsidRPr="005916BF">
        <w:rPr>
          <w:rFonts w:ascii="Times New Roman" w:hAnsi="Times New Roman" w:cs="Times New Roman" w:hint="eastAsia"/>
          <w:b/>
          <w:bCs/>
          <w:sz w:val="24"/>
          <w:szCs w:val="28"/>
          <w:u w:val="single"/>
        </w:rPr>
        <w:t>AF-cluster</w:t>
      </w:r>
      <w:r>
        <w:rPr>
          <w:rFonts w:ascii="Times New Roman" w:hAnsi="Times New Roman" w:cs="Times New Roman" w:hint="eastAsia"/>
          <w:sz w:val="24"/>
          <w:szCs w:val="28"/>
        </w:rPr>
        <w:t xml:space="preserve"> generated conformation ensembles (colored) on 27 IDP systems.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5971434F" w14:textId="524C6829" w:rsidR="005916BF" w:rsidRDefault="005916BF">
      <w:pPr>
        <w:widowControl/>
        <w:jc w:val="left"/>
        <w:rPr>
          <w:rFonts w:ascii="Times New Roman" w:hAnsi="Times New Roman" w:cs="Times New Roman"/>
        </w:rPr>
      </w:pPr>
      <w:r>
        <w:rPr>
          <w:rFonts w:ascii="Times New Roman" w:hAnsi="Times New Roman" w:cs="Times New Roman"/>
        </w:rPr>
        <w:br w:type="page"/>
      </w:r>
    </w:p>
    <w:p w14:paraId="5844D86A" w14:textId="3C83BE98" w:rsidR="00DA7371" w:rsidRDefault="00FA306D">
      <w:pPr>
        <w:widowControl/>
        <w:jc w:val="left"/>
        <w:rPr>
          <w:rFonts w:ascii="Times New Roman" w:hAnsi="Times New Roman" w:cs="Times New Roman"/>
        </w:rPr>
      </w:pPr>
      <w:r w:rsidRPr="00FA306D">
        <w:rPr>
          <w:rFonts w:ascii="Times New Roman" w:hAnsi="Times New Roman" w:cs="Times New Roman"/>
          <w:noProof/>
        </w:rPr>
        <w:lastRenderedPageBreak/>
        <w:drawing>
          <wp:inline distT="0" distB="0" distL="0" distR="0" wp14:anchorId="7BC66A84" wp14:editId="536BEB0F">
            <wp:extent cx="5274310" cy="5650865"/>
            <wp:effectExtent l="0" t="0" r="2540" b="6985"/>
            <wp:docPr id="2988296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650865"/>
                    </a:xfrm>
                    <a:prstGeom prst="rect">
                      <a:avLst/>
                    </a:prstGeom>
                    <a:noFill/>
                    <a:ln>
                      <a:noFill/>
                    </a:ln>
                  </pic:spPr>
                </pic:pic>
              </a:graphicData>
            </a:graphic>
          </wp:inline>
        </w:drawing>
      </w:r>
    </w:p>
    <w:p w14:paraId="2507AF0C" w14:textId="7AD92BFA"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7</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proofErr w:type="spellStart"/>
      <w:r w:rsidRPr="005916BF">
        <w:rPr>
          <w:rFonts w:ascii="Times New Roman" w:hAnsi="Times New Roman" w:cs="Times New Roman" w:hint="eastAsia"/>
          <w:b/>
          <w:bCs/>
          <w:sz w:val="24"/>
          <w:szCs w:val="28"/>
          <w:u w:val="single"/>
        </w:rPr>
        <w:t>A</w:t>
      </w:r>
      <w:r>
        <w:rPr>
          <w:rFonts w:ascii="Times New Roman" w:hAnsi="Times New Roman" w:cs="Times New Roman" w:hint="eastAsia"/>
          <w:b/>
          <w:bCs/>
          <w:sz w:val="24"/>
          <w:szCs w:val="28"/>
          <w:u w:val="single"/>
        </w:rPr>
        <w:t>lphaFlow</w:t>
      </w:r>
      <w:proofErr w:type="spellEnd"/>
      <w:r w:rsidR="00106264">
        <w:rPr>
          <w:rFonts w:ascii="Times New Roman" w:hAnsi="Times New Roman" w:cs="Times New Roman" w:hint="eastAsia"/>
          <w:sz w:val="24"/>
          <w:szCs w:val="28"/>
        </w:rPr>
        <w:t xml:space="preserve"> (PDB-base</w:t>
      </w:r>
      <w:r w:rsidR="00106264" w:rsidRPr="00106264">
        <w:rPr>
          <w:rFonts w:ascii="Times New Roman" w:hAnsi="Times New Roman" w:cs="Times New Roman" w:hint="eastAsia"/>
          <w:sz w:val="24"/>
          <w:szCs w:val="28"/>
        </w:rPr>
        <w:t>)</w:t>
      </w:r>
      <w:r>
        <w:rPr>
          <w:rFonts w:ascii="Times New Roman" w:hAnsi="Times New Roman" w:cs="Times New Roman" w:hint="eastAsia"/>
          <w:sz w:val="24"/>
          <w:szCs w:val="28"/>
        </w:rPr>
        <w:t xml:space="preserve"> generated conformation ensembles (colored) on 27 IDP systems.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4E36BD44" w14:textId="360205F5" w:rsidR="005916BF" w:rsidRDefault="005916BF">
      <w:pPr>
        <w:widowControl/>
        <w:jc w:val="left"/>
        <w:rPr>
          <w:rFonts w:ascii="Times New Roman" w:hAnsi="Times New Roman" w:cs="Times New Roman"/>
        </w:rPr>
      </w:pPr>
      <w:r>
        <w:rPr>
          <w:rFonts w:ascii="Times New Roman" w:hAnsi="Times New Roman" w:cs="Times New Roman"/>
        </w:rPr>
        <w:br w:type="page"/>
      </w:r>
    </w:p>
    <w:p w14:paraId="06AB491F" w14:textId="1653D8DE" w:rsidR="005916BF" w:rsidRDefault="00261B3F">
      <w:pPr>
        <w:widowControl/>
        <w:jc w:val="left"/>
        <w:rPr>
          <w:rFonts w:ascii="Times New Roman" w:hAnsi="Times New Roman" w:cs="Times New Roman"/>
        </w:rPr>
      </w:pPr>
      <w:r w:rsidRPr="00261B3F">
        <w:rPr>
          <w:rFonts w:ascii="Times New Roman" w:hAnsi="Times New Roman" w:cs="Times New Roman"/>
          <w:noProof/>
        </w:rPr>
        <w:lastRenderedPageBreak/>
        <w:drawing>
          <wp:inline distT="0" distB="0" distL="0" distR="0" wp14:anchorId="2A3851A4" wp14:editId="5AFBF894">
            <wp:extent cx="5274310" cy="5650865"/>
            <wp:effectExtent l="0" t="0" r="2540" b="6985"/>
            <wp:docPr id="3686276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650865"/>
                    </a:xfrm>
                    <a:prstGeom prst="rect">
                      <a:avLst/>
                    </a:prstGeom>
                    <a:noFill/>
                    <a:ln>
                      <a:noFill/>
                    </a:ln>
                  </pic:spPr>
                </pic:pic>
              </a:graphicData>
            </a:graphic>
          </wp:inline>
        </w:drawing>
      </w:r>
    </w:p>
    <w:p w14:paraId="609F81FB" w14:textId="547F5260"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8</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proofErr w:type="spellStart"/>
      <w:r>
        <w:rPr>
          <w:rFonts w:ascii="Times New Roman" w:hAnsi="Times New Roman" w:cs="Times New Roman" w:hint="eastAsia"/>
          <w:b/>
          <w:bCs/>
          <w:sz w:val="24"/>
          <w:szCs w:val="28"/>
          <w:u w:val="single"/>
        </w:rPr>
        <w:t>idpGAN</w:t>
      </w:r>
      <w:proofErr w:type="spellEnd"/>
      <w:r>
        <w:rPr>
          <w:rFonts w:ascii="Times New Roman" w:hAnsi="Times New Roman" w:cs="Times New Roman" w:hint="eastAsia"/>
          <w:sz w:val="24"/>
          <w:szCs w:val="28"/>
        </w:rPr>
        <w:t xml:space="preserve"> generated conformation ensembles (colored) on 27 IDP systems.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2B04578D" w14:textId="3388169A" w:rsidR="005916BF" w:rsidRDefault="005916BF">
      <w:pPr>
        <w:widowControl/>
        <w:jc w:val="left"/>
        <w:rPr>
          <w:rFonts w:ascii="Times New Roman" w:hAnsi="Times New Roman" w:cs="Times New Roman"/>
        </w:rPr>
      </w:pPr>
      <w:r>
        <w:rPr>
          <w:rFonts w:ascii="Times New Roman" w:hAnsi="Times New Roman" w:cs="Times New Roman"/>
        </w:rPr>
        <w:br w:type="page"/>
      </w:r>
    </w:p>
    <w:p w14:paraId="06D7D0BD" w14:textId="42E09DA7" w:rsidR="005916BF" w:rsidRDefault="00261B3F">
      <w:pPr>
        <w:widowControl/>
        <w:jc w:val="left"/>
        <w:rPr>
          <w:rFonts w:ascii="Times New Roman" w:hAnsi="Times New Roman" w:cs="Times New Roman"/>
        </w:rPr>
      </w:pPr>
      <w:r w:rsidRPr="00261B3F">
        <w:rPr>
          <w:rFonts w:ascii="Times New Roman" w:hAnsi="Times New Roman" w:cs="Times New Roman"/>
          <w:noProof/>
        </w:rPr>
        <w:lastRenderedPageBreak/>
        <w:drawing>
          <wp:inline distT="0" distB="0" distL="0" distR="0" wp14:anchorId="1F6E924C" wp14:editId="6E01ED5D">
            <wp:extent cx="5274310" cy="5650865"/>
            <wp:effectExtent l="0" t="0" r="2540" b="6985"/>
            <wp:docPr id="4717417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650865"/>
                    </a:xfrm>
                    <a:prstGeom prst="rect">
                      <a:avLst/>
                    </a:prstGeom>
                    <a:noFill/>
                    <a:ln>
                      <a:noFill/>
                    </a:ln>
                  </pic:spPr>
                </pic:pic>
              </a:graphicData>
            </a:graphic>
          </wp:inline>
        </w:drawing>
      </w:r>
    </w:p>
    <w:p w14:paraId="44A7C554" w14:textId="78DA1DB5"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9</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proofErr w:type="spellStart"/>
      <w:r>
        <w:rPr>
          <w:rFonts w:ascii="Times New Roman" w:hAnsi="Times New Roman" w:cs="Times New Roman" w:hint="eastAsia"/>
          <w:b/>
          <w:bCs/>
          <w:sz w:val="24"/>
          <w:szCs w:val="28"/>
          <w:u w:val="single"/>
        </w:rPr>
        <w:t>idpSAM</w:t>
      </w:r>
      <w:proofErr w:type="spellEnd"/>
      <w:r>
        <w:rPr>
          <w:rFonts w:ascii="Times New Roman" w:hAnsi="Times New Roman" w:cs="Times New Roman" w:hint="eastAsia"/>
          <w:sz w:val="24"/>
          <w:szCs w:val="28"/>
        </w:rPr>
        <w:t xml:space="preserve"> generated conformation ensembles (colored) on 27 IDP systems.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751BC028" w14:textId="62B2903A" w:rsidR="005916BF" w:rsidRDefault="005916BF">
      <w:pPr>
        <w:widowControl/>
        <w:jc w:val="left"/>
        <w:rPr>
          <w:rFonts w:ascii="Times New Roman" w:hAnsi="Times New Roman" w:cs="Times New Roman"/>
        </w:rPr>
      </w:pPr>
      <w:r>
        <w:rPr>
          <w:rFonts w:ascii="Times New Roman" w:hAnsi="Times New Roman" w:cs="Times New Roman"/>
        </w:rPr>
        <w:br w:type="page"/>
      </w:r>
    </w:p>
    <w:p w14:paraId="7753FB6D" w14:textId="61589573" w:rsidR="005916BF" w:rsidRDefault="00261B3F">
      <w:pPr>
        <w:widowControl/>
        <w:jc w:val="left"/>
        <w:rPr>
          <w:rFonts w:ascii="Times New Roman" w:hAnsi="Times New Roman" w:cs="Times New Roman"/>
        </w:rPr>
      </w:pPr>
      <w:r w:rsidRPr="00261B3F">
        <w:rPr>
          <w:rFonts w:ascii="Times New Roman" w:hAnsi="Times New Roman" w:cs="Times New Roman"/>
          <w:noProof/>
        </w:rPr>
        <w:lastRenderedPageBreak/>
        <w:drawing>
          <wp:inline distT="0" distB="0" distL="0" distR="0" wp14:anchorId="732CA1DC" wp14:editId="4908B483">
            <wp:extent cx="5274310" cy="7671435"/>
            <wp:effectExtent l="0" t="0" r="2540" b="5715"/>
            <wp:docPr id="16774049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671435"/>
                    </a:xfrm>
                    <a:prstGeom prst="rect">
                      <a:avLst/>
                    </a:prstGeom>
                    <a:noFill/>
                    <a:ln>
                      <a:noFill/>
                    </a:ln>
                  </pic:spPr>
                </pic:pic>
              </a:graphicData>
            </a:graphic>
          </wp:inline>
        </w:drawing>
      </w:r>
    </w:p>
    <w:p w14:paraId="2260E020" w14:textId="4A59B708"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10</w:t>
      </w:r>
      <w:r w:rsidRPr="00416BB7">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Ensemble average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α</m:t>
            </m:r>
          </m:sub>
        </m:sSub>
      </m:oMath>
      <w:r>
        <w:rPr>
          <w:rFonts w:ascii="Times New Roman" w:hAnsi="Times New Roman" w:cs="Times New Roman" w:hint="eastAsia"/>
          <w:sz w:val="24"/>
          <w:szCs w:val="28"/>
        </w:rPr>
        <w:t xml:space="preserve"> chemical shifts of </w:t>
      </w:r>
      <w:r>
        <w:rPr>
          <w:rFonts w:ascii="Times New Roman" w:hAnsi="Times New Roman" w:cs="Times New Roman" w:hint="eastAsia"/>
          <w:b/>
          <w:bCs/>
          <w:sz w:val="24"/>
          <w:szCs w:val="28"/>
          <w:u w:val="single"/>
        </w:rPr>
        <w:t>AF-cluster</w:t>
      </w:r>
      <w:r>
        <w:rPr>
          <w:rFonts w:ascii="Times New Roman" w:hAnsi="Times New Roman" w:cs="Times New Roman" w:hint="eastAsia"/>
          <w:sz w:val="24"/>
          <w:szCs w:val="28"/>
        </w:rPr>
        <w:t xml:space="preserve"> generated conformation ensembles (colored) on 27 IDP systems. Experimental values are plotted as black solid lines.</w:t>
      </w:r>
    </w:p>
    <w:p w14:paraId="437FF75D" w14:textId="6ECF8E7C" w:rsidR="005916BF" w:rsidRDefault="005916BF">
      <w:pPr>
        <w:widowControl/>
        <w:jc w:val="left"/>
        <w:rPr>
          <w:rFonts w:ascii="Times New Roman" w:hAnsi="Times New Roman" w:cs="Times New Roman"/>
        </w:rPr>
      </w:pPr>
      <w:r>
        <w:rPr>
          <w:rFonts w:ascii="Times New Roman" w:hAnsi="Times New Roman" w:cs="Times New Roman"/>
        </w:rPr>
        <w:br w:type="page"/>
      </w:r>
    </w:p>
    <w:p w14:paraId="2B9A306C" w14:textId="609A0733" w:rsidR="005916BF" w:rsidRDefault="00FA306D">
      <w:pPr>
        <w:widowControl/>
        <w:jc w:val="left"/>
        <w:rPr>
          <w:rFonts w:ascii="Times New Roman" w:hAnsi="Times New Roman" w:cs="Times New Roman"/>
        </w:rPr>
      </w:pPr>
      <w:r w:rsidRPr="00FA306D">
        <w:rPr>
          <w:rFonts w:ascii="Times New Roman" w:hAnsi="Times New Roman" w:cs="Times New Roman"/>
          <w:noProof/>
        </w:rPr>
        <w:lastRenderedPageBreak/>
        <w:drawing>
          <wp:inline distT="0" distB="0" distL="0" distR="0" wp14:anchorId="52275938" wp14:editId="2FE08570">
            <wp:extent cx="5274310" cy="7671435"/>
            <wp:effectExtent l="0" t="0" r="2540" b="5715"/>
            <wp:docPr id="539315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671435"/>
                    </a:xfrm>
                    <a:prstGeom prst="rect">
                      <a:avLst/>
                    </a:prstGeom>
                    <a:noFill/>
                    <a:ln>
                      <a:noFill/>
                    </a:ln>
                  </pic:spPr>
                </pic:pic>
              </a:graphicData>
            </a:graphic>
          </wp:inline>
        </w:drawing>
      </w:r>
    </w:p>
    <w:p w14:paraId="5F4F3C05" w14:textId="230E1B5F"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11</w:t>
      </w:r>
      <w:r w:rsidRPr="00416BB7">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Ensemble average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α</m:t>
            </m:r>
          </m:sub>
        </m:sSub>
      </m:oMath>
      <w:r>
        <w:rPr>
          <w:rFonts w:ascii="Times New Roman" w:hAnsi="Times New Roman" w:cs="Times New Roman" w:hint="eastAsia"/>
          <w:sz w:val="24"/>
          <w:szCs w:val="28"/>
        </w:rPr>
        <w:t xml:space="preserve"> chemical shifts of </w:t>
      </w:r>
      <w:proofErr w:type="spellStart"/>
      <w:r>
        <w:rPr>
          <w:rFonts w:ascii="Times New Roman" w:hAnsi="Times New Roman" w:cs="Times New Roman" w:hint="eastAsia"/>
          <w:b/>
          <w:bCs/>
          <w:sz w:val="24"/>
          <w:szCs w:val="28"/>
          <w:u w:val="single"/>
        </w:rPr>
        <w:t>AlphaFlow</w:t>
      </w:r>
      <w:proofErr w:type="spellEnd"/>
      <w:r>
        <w:rPr>
          <w:rFonts w:ascii="Times New Roman" w:hAnsi="Times New Roman" w:cs="Times New Roman" w:hint="eastAsia"/>
          <w:sz w:val="24"/>
          <w:szCs w:val="28"/>
        </w:rPr>
        <w:t xml:space="preserve"> </w:t>
      </w:r>
      <w:r w:rsidR="00106264">
        <w:rPr>
          <w:rFonts w:ascii="Times New Roman" w:hAnsi="Times New Roman" w:cs="Times New Roman" w:hint="eastAsia"/>
          <w:sz w:val="24"/>
          <w:szCs w:val="28"/>
        </w:rPr>
        <w:t>(PDB-base</w:t>
      </w:r>
      <w:r w:rsidR="00106264" w:rsidRPr="00106264">
        <w:rPr>
          <w:rFonts w:ascii="Times New Roman" w:hAnsi="Times New Roman" w:cs="Times New Roman" w:hint="eastAsia"/>
          <w:sz w:val="24"/>
          <w:szCs w:val="28"/>
        </w:rPr>
        <w:t>)</w:t>
      </w:r>
      <w:r w:rsidR="00106264">
        <w:rPr>
          <w:rFonts w:ascii="Times New Roman" w:hAnsi="Times New Roman" w:cs="Times New Roman" w:hint="eastAsia"/>
          <w:sz w:val="24"/>
          <w:szCs w:val="28"/>
        </w:rPr>
        <w:t xml:space="preserve"> </w:t>
      </w:r>
      <w:r>
        <w:rPr>
          <w:rFonts w:ascii="Times New Roman" w:hAnsi="Times New Roman" w:cs="Times New Roman" w:hint="eastAsia"/>
          <w:sz w:val="24"/>
          <w:szCs w:val="28"/>
        </w:rPr>
        <w:t>generated conformation ensembles (colored) on 27 IDP systems. Experimental values are plotted as black solid lines.</w:t>
      </w:r>
    </w:p>
    <w:p w14:paraId="21894C95" w14:textId="49036260" w:rsidR="005916BF" w:rsidRDefault="005916BF">
      <w:pPr>
        <w:widowControl/>
        <w:jc w:val="left"/>
        <w:rPr>
          <w:rFonts w:ascii="Times New Roman" w:hAnsi="Times New Roman" w:cs="Times New Roman"/>
        </w:rPr>
      </w:pPr>
      <w:r>
        <w:rPr>
          <w:rFonts w:ascii="Times New Roman" w:hAnsi="Times New Roman" w:cs="Times New Roman"/>
        </w:rPr>
        <w:br w:type="page"/>
      </w:r>
    </w:p>
    <w:p w14:paraId="21E1C64F" w14:textId="67993C7B" w:rsidR="005916BF" w:rsidRDefault="00261B3F">
      <w:pPr>
        <w:widowControl/>
        <w:jc w:val="left"/>
        <w:rPr>
          <w:rFonts w:ascii="Times New Roman" w:hAnsi="Times New Roman" w:cs="Times New Roman"/>
        </w:rPr>
      </w:pPr>
      <w:r w:rsidRPr="00261B3F">
        <w:rPr>
          <w:rFonts w:ascii="Times New Roman" w:hAnsi="Times New Roman" w:cs="Times New Roman"/>
          <w:noProof/>
        </w:rPr>
        <w:lastRenderedPageBreak/>
        <w:drawing>
          <wp:inline distT="0" distB="0" distL="0" distR="0" wp14:anchorId="310CAC15" wp14:editId="684F65FE">
            <wp:extent cx="5274310" cy="7671435"/>
            <wp:effectExtent l="0" t="0" r="2540" b="5715"/>
            <wp:docPr id="7038846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671435"/>
                    </a:xfrm>
                    <a:prstGeom prst="rect">
                      <a:avLst/>
                    </a:prstGeom>
                    <a:noFill/>
                    <a:ln>
                      <a:noFill/>
                    </a:ln>
                  </pic:spPr>
                </pic:pic>
              </a:graphicData>
            </a:graphic>
          </wp:inline>
        </w:drawing>
      </w:r>
    </w:p>
    <w:p w14:paraId="29E1C8EC" w14:textId="45541028" w:rsidR="005916BF" w:rsidRPr="00416BB7"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12</w:t>
      </w:r>
      <w:r w:rsidRPr="00416BB7">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Ensemble average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α</m:t>
            </m:r>
          </m:sub>
        </m:sSub>
      </m:oMath>
      <w:r>
        <w:rPr>
          <w:rFonts w:ascii="Times New Roman" w:hAnsi="Times New Roman" w:cs="Times New Roman" w:hint="eastAsia"/>
          <w:sz w:val="24"/>
          <w:szCs w:val="28"/>
        </w:rPr>
        <w:t xml:space="preserve"> chemical shifts of </w:t>
      </w:r>
      <w:proofErr w:type="spellStart"/>
      <w:r>
        <w:rPr>
          <w:rFonts w:ascii="Times New Roman" w:hAnsi="Times New Roman" w:cs="Times New Roman" w:hint="eastAsia"/>
          <w:b/>
          <w:bCs/>
          <w:sz w:val="24"/>
          <w:szCs w:val="28"/>
          <w:u w:val="single"/>
        </w:rPr>
        <w:t>idpGAN</w:t>
      </w:r>
      <w:proofErr w:type="spellEnd"/>
      <w:r>
        <w:rPr>
          <w:rFonts w:ascii="Times New Roman" w:hAnsi="Times New Roman" w:cs="Times New Roman" w:hint="eastAsia"/>
          <w:sz w:val="24"/>
          <w:szCs w:val="28"/>
        </w:rPr>
        <w:t xml:space="preserve"> generated conformation ensembles (colored) on 27 IDP systems. Experimental values are plotted as black solid lines.</w:t>
      </w:r>
    </w:p>
    <w:p w14:paraId="1AF7A781" w14:textId="581CE76E" w:rsidR="005916BF" w:rsidRDefault="005916BF">
      <w:pPr>
        <w:widowControl/>
        <w:jc w:val="left"/>
        <w:rPr>
          <w:rFonts w:ascii="Times New Roman" w:hAnsi="Times New Roman" w:cs="Times New Roman"/>
        </w:rPr>
      </w:pPr>
      <w:r>
        <w:rPr>
          <w:rFonts w:ascii="Times New Roman" w:hAnsi="Times New Roman" w:cs="Times New Roman"/>
        </w:rPr>
        <w:br w:type="page"/>
      </w:r>
    </w:p>
    <w:p w14:paraId="67E73EDA" w14:textId="06845D71" w:rsidR="005916BF" w:rsidRDefault="00106264">
      <w:pPr>
        <w:widowControl/>
        <w:jc w:val="left"/>
        <w:rPr>
          <w:rFonts w:ascii="Times New Roman" w:hAnsi="Times New Roman" w:cs="Times New Roman"/>
        </w:rPr>
      </w:pPr>
      <w:r w:rsidRPr="00106264">
        <w:rPr>
          <w:rFonts w:ascii="Times New Roman" w:hAnsi="Times New Roman" w:cs="Times New Roman"/>
          <w:noProof/>
        </w:rPr>
        <w:lastRenderedPageBreak/>
        <w:drawing>
          <wp:inline distT="0" distB="0" distL="0" distR="0" wp14:anchorId="0C2DA8E7" wp14:editId="09A873E1">
            <wp:extent cx="5274310" cy="7671435"/>
            <wp:effectExtent l="0" t="0" r="2540" b="5715"/>
            <wp:docPr id="3061507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671435"/>
                    </a:xfrm>
                    <a:prstGeom prst="rect">
                      <a:avLst/>
                    </a:prstGeom>
                    <a:noFill/>
                    <a:ln>
                      <a:noFill/>
                    </a:ln>
                  </pic:spPr>
                </pic:pic>
              </a:graphicData>
            </a:graphic>
          </wp:inline>
        </w:drawing>
      </w:r>
    </w:p>
    <w:p w14:paraId="37888255" w14:textId="2E6C1850" w:rsidR="005916BF"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13</w:t>
      </w:r>
      <w:r w:rsidRPr="00416BB7">
        <w:rPr>
          <w:rFonts w:ascii="Times New Roman" w:hAnsi="Times New Roman" w:cs="Times New Roman" w:hint="eastAsia"/>
          <w:b/>
          <w:bCs/>
          <w:sz w:val="24"/>
          <w:szCs w:val="28"/>
        </w:rPr>
        <w:t xml:space="preserve">. </w:t>
      </w:r>
      <w:r>
        <w:rPr>
          <w:rFonts w:ascii="Times New Roman" w:hAnsi="Times New Roman" w:cs="Times New Roman" w:hint="eastAsia"/>
          <w:sz w:val="24"/>
          <w:szCs w:val="28"/>
        </w:rPr>
        <w:t xml:space="preserve">Ensemble average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α</m:t>
            </m:r>
          </m:sub>
        </m:sSub>
      </m:oMath>
      <w:r>
        <w:rPr>
          <w:rFonts w:ascii="Times New Roman" w:hAnsi="Times New Roman" w:cs="Times New Roman" w:hint="eastAsia"/>
          <w:sz w:val="24"/>
          <w:szCs w:val="28"/>
        </w:rPr>
        <w:t xml:space="preserve"> chemical shifts of </w:t>
      </w:r>
      <w:proofErr w:type="spellStart"/>
      <w:r>
        <w:rPr>
          <w:rFonts w:ascii="Times New Roman" w:hAnsi="Times New Roman" w:cs="Times New Roman" w:hint="eastAsia"/>
          <w:b/>
          <w:bCs/>
          <w:sz w:val="24"/>
          <w:szCs w:val="28"/>
          <w:u w:val="single"/>
        </w:rPr>
        <w:t>idpSAM</w:t>
      </w:r>
      <w:proofErr w:type="spellEnd"/>
      <w:r>
        <w:rPr>
          <w:rFonts w:ascii="Times New Roman" w:hAnsi="Times New Roman" w:cs="Times New Roman" w:hint="eastAsia"/>
          <w:sz w:val="24"/>
          <w:szCs w:val="28"/>
        </w:rPr>
        <w:t xml:space="preserve"> generated conformation ensembles (colored) on 27 IDP systems. Experimental values are plotted as black solid lines.</w:t>
      </w:r>
    </w:p>
    <w:p w14:paraId="4C0A05AC" w14:textId="07FB7B47" w:rsidR="005916BF" w:rsidRDefault="005916BF">
      <w:pPr>
        <w:widowControl/>
        <w:jc w:val="left"/>
        <w:rPr>
          <w:rFonts w:ascii="Times New Roman" w:hAnsi="Times New Roman" w:cs="Times New Roman"/>
        </w:rPr>
      </w:pPr>
      <w:r>
        <w:rPr>
          <w:rFonts w:ascii="Times New Roman" w:hAnsi="Times New Roman" w:cs="Times New Roman"/>
        </w:rPr>
        <w:br w:type="page"/>
      </w:r>
    </w:p>
    <w:p w14:paraId="55B5085E" w14:textId="069C43E2" w:rsidR="005916BF" w:rsidRDefault="00821F55">
      <w:pPr>
        <w:widowControl/>
        <w:jc w:val="left"/>
        <w:rPr>
          <w:rFonts w:ascii="Times New Roman" w:hAnsi="Times New Roman" w:cs="Times New Roman"/>
        </w:rPr>
      </w:pPr>
      <w:r w:rsidRPr="00821F55">
        <w:rPr>
          <w:rFonts w:ascii="Times New Roman" w:hAnsi="Times New Roman" w:cs="Times New Roman"/>
          <w:noProof/>
        </w:rPr>
        <w:lastRenderedPageBreak/>
        <w:drawing>
          <wp:inline distT="0" distB="0" distL="0" distR="0" wp14:anchorId="52DD48C9" wp14:editId="14A0AC63">
            <wp:extent cx="5274310" cy="6007100"/>
            <wp:effectExtent l="0" t="0" r="2540" b="0"/>
            <wp:docPr id="1397134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6007100"/>
                    </a:xfrm>
                    <a:prstGeom prst="rect">
                      <a:avLst/>
                    </a:prstGeom>
                    <a:noFill/>
                    <a:ln>
                      <a:noFill/>
                    </a:ln>
                  </pic:spPr>
                </pic:pic>
              </a:graphicData>
            </a:graphic>
          </wp:inline>
        </w:drawing>
      </w:r>
    </w:p>
    <w:p w14:paraId="5CC5FEFD" w14:textId="185832B2" w:rsidR="005916BF" w:rsidRDefault="005916BF" w:rsidP="005916BF">
      <w:pPr>
        <w:widowControl/>
        <w:spacing w:line="360" w:lineRule="auto"/>
        <w:rPr>
          <w:rFonts w:ascii="Times New Roman" w:hAnsi="Times New Roman" w:cs="Times New Roman"/>
          <w:sz w:val="24"/>
          <w:szCs w:val="28"/>
        </w:rPr>
      </w:pPr>
      <w:r w:rsidRPr="00416BB7">
        <w:rPr>
          <w:rFonts w:ascii="Times New Roman" w:hAnsi="Times New Roman" w:cs="Times New Roman" w:hint="eastAsia"/>
          <w:b/>
          <w:bCs/>
          <w:sz w:val="24"/>
          <w:szCs w:val="28"/>
        </w:rPr>
        <w:t>Figure S</w:t>
      </w:r>
      <w:r>
        <w:rPr>
          <w:rFonts w:ascii="Times New Roman" w:hAnsi="Times New Roman" w:cs="Times New Roman" w:hint="eastAsia"/>
          <w:b/>
          <w:bCs/>
          <w:sz w:val="24"/>
          <w:szCs w:val="28"/>
        </w:rPr>
        <w:t>14</w:t>
      </w:r>
      <w:r w:rsidRPr="00416BB7">
        <w:rPr>
          <w:rFonts w:ascii="Times New Roman" w:hAnsi="Times New Roman" w:cs="Times New Roman" w:hint="eastAsia"/>
          <w:b/>
          <w:bCs/>
          <w:sz w:val="24"/>
          <w:szCs w:val="28"/>
        </w:rPr>
        <w:t xml:space="preserve">.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distribution of </w:t>
      </w:r>
      <w:proofErr w:type="spellStart"/>
      <w:r w:rsidRPr="005916BF">
        <w:rPr>
          <w:rFonts w:ascii="Times New Roman" w:hAnsi="Times New Roman" w:cs="Times New Roman" w:hint="eastAsia"/>
          <w:b/>
          <w:bCs/>
          <w:sz w:val="24"/>
          <w:szCs w:val="28"/>
          <w:u w:val="single"/>
        </w:rPr>
        <w:t>IDPFold</w:t>
      </w:r>
      <w:proofErr w:type="spellEnd"/>
      <w:r>
        <w:rPr>
          <w:rFonts w:ascii="Times New Roman" w:hAnsi="Times New Roman" w:cs="Times New Roman" w:hint="eastAsia"/>
          <w:sz w:val="24"/>
          <w:szCs w:val="28"/>
        </w:rPr>
        <w:t xml:space="preserve"> generated conformation ensembles (colored) on 5</w:t>
      </w:r>
      <w:r w:rsidR="00821F55">
        <w:rPr>
          <w:rFonts w:ascii="Times New Roman" w:hAnsi="Times New Roman" w:cs="Times New Roman" w:hint="eastAsia"/>
          <w:sz w:val="24"/>
          <w:szCs w:val="28"/>
        </w:rPr>
        <w:t>8</w:t>
      </w:r>
      <w:r>
        <w:rPr>
          <w:rFonts w:ascii="Times New Roman" w:hAnsi="Times New Roman" w:cs="Times New Roman" w:hint="eastAsia"/>
          <w:sz w:val="24"/>
          <w:szCs w:val="28"/>
        </w:rPr>
        <w:t xml:space="preserve"> IDP systems from </w:t>
      </w:r>
      <w:proofErr w:type="spellStart"/>
      <w:r>
        <w:rPr>
          <w:rFonts w:ascii="Times New Roman" w:hAnsi="Times New Roman" w:cs="Times New Roman" w:hint="eastAsia"/>
          <w:sz w:val="24"/>
          <w:szCs w:val="28"/>
        </w:rPr>
        <w:t>IDRome</w:t>
      </w:r>
      <w:proofErr w:type="spellEnd"/>
      <w:r>
        <w:rPr>
          <w:rFonts w:ascii="Times New Roman" w:hAnsi="Times New Roman" w:cs="Times New Roman" w:hint="eastAsia"/>
          <w:sz w:val="24"/>
          <w:szCs w:val="28"/>
        </w:rPr>
        <w:t xml:space="preserve">. Experimental </w:t>
      </w:r>
      <w:proofErr w:type="spellStart"/>
      <w:r>
        <w:rPr>
          <w:rFonts w:ascii="Times New Roman" w:hAnsi="Times New Roman" w:cs="Times New Roman" w:hint="eastAsia"/>
          <w:sz w:val="24"/>
          <w:szCs w:val="28"/>
        </w:rPr>
        <w:t>Rg</w:t>
      </w:r>
      <w:proofErr w:type="spellEnd"/>
      <w:r>
        <w:rPr>
          <w:rFonts w:ascii="Times New Roman" w:hAnsi="Times New Roman" w:cs="Times New Roman" w:hint="eastAsia"/>
          <w:sz w:val="24"/>
          <w:szCs w:val="28"/>
        </w:rPr>
        <w:t xml:space="preserve"> values are plotted as black solid lines.</w:t>
      </w:r>
    </w:p>
    <w:p w14:paraId="5312B2D6" w14:textId="466B251C" w:rsidR="005916BF" w:rsidRDefault="005916B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177B85DB" w14:textId="2FC6315F" w:rsidR="005916BF" w:rsidRDefault="00471C75" w:rsidP="005916BF">
      <w:pPr>
        <w:widowControl/>
        <w:spacing w:line="360" w:lineRule="auto"/>
        <w:rPr>
          <w:rFonts w:ascii="Times New Roman" w:hAnsi="Times New Roman" w:cs="Times New Roman"/>
          <w:sz w:val="24"/>
          <w:szCs w:val="28"/>
        </w:rPr>
      </w:pPr>
      <w:r>
        <w:rPr>
          <w:noProof/>
        </w:rPr>
        <w:lastRenderedPageBreak/>
        <w:drawing>
          <wp:inline distT="0" distB="0" distL="0" distR="0" wp14:anchorId="7B8C9E2E" wp14:editId="764F4DE0">
            <wp:extent cx="5274179" cy="2510525"/>
            <wp:effectExtent l="0" t="0" r="3175" b="4445"/>
            <wp:docPr id="379134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822" b="41209"/>
                    <a:stretch/>
                  </pic:blipFill>
                  <pic:spPr bwMode="auto">
                    <a:xfrm>
                      <a:off x="0" y="0"/>
                      <a:ext cx="5274310" cy="2510587"/>
                    </a:xfrm>
                    <a:prstGeom prst="rect">
                      <a:avLst/>
                    </a:prstGeom>
                    <a:noFill/>
                    <a:ln>
                      <a:noFill/>
                    </a:ln>
                    <a:extLst>
                      <a:ext uri="{53640926-AAD7-44D8-BBD7-CCE9431645EC}">
                        <a14:shadowObscured xmlns:a14="http://schemas.microsoft.com/office/drawing/2010/main"/>
                      </a:ext>
                    </a:extLst>
                  </pic:spPr>
                </pic:pic>
              </a:graphicData>
            </a:graphic>
          </wp:inline>
        </w:drawing>
      </w:r>
    </w:p>
    <w:p w14:paraId="19C6BA55" w14:textId="54FA074A" w:rsidR="005916BF" w:rsidRPr="005916BF" w:rsidRDefault="005916BF" w:rsidP="005916BF">
      <w:pPr>
        <w:widowControl/>
        <w:spacing w:line="360" w:lineRule="auto"/>
        <w:rPr>
          <w:rFonts w:ascii="Times New Roman" w:hAnsi="Times New Roman" w:cs="Times New Roman"/>
          <w:sz w:val="24"/>
          <w:szCs w:val="28"/>
        </w:rPr>
      </w:pPr>
      <w:r w:rsidRPr="005916BF">
        <w:rPr>
          <w:rFonts w:ascii="Times New Roman" w:hAnsi="Times New Roman" w:cs="Times New Roman" w:hint="eastAsia"/>
          <w:b/>
          <w:bCs/>
          <w:sz w:val="24"/>
          <w:szCs w:val="28"/>
        </w:rPr>
        <w:t xml:space="preserve">Figure S15. </w:t>
      </w:r>
      <w:r w:rsidRPr="005916BF">
        <w:rPr>
          <w:rFonts w:ascii="Times New Roman" w:hAnsi="Times New Roman" w:cs="Times New Roman" w:hint="eastAsia"/>
          <w:sz w:val="24"/>
          <w:szCs w:val="28"/>
        </w:rPr>
        <w:t xml:space="preserve">IDPFold </w:t>
      </w:r>
      <w:r>
        <w:rPr>
          <w:rFonts w:ascii="Times New Roman" w:hAnsi="Times New Roman" w:cs="Times New Roman" w:hint="eastAsia"/>
          <w:sz w:val="24"/>
          <w:szCs w:val="28"/>
        </w:rPr>
        <w:t>generates a wide range of conformations for allosteric proteins.</w:t>
      </w:r>
      <w:r w:rsidR="00500730">
        <w:rPr>
          <w:rFonts w:ascii="Times New Roman" w:hAnsi="Times New Roman" w:cs="Times New Roman" w:hint="eastAsia"/>
          <w:sz w:val="24"/>
          <w:szCs w:val="28"/>
        </w:rPr>
        <w:t xml:space="preserve"> (A) IDPFold generated conformations mapped on L6-Y71-D38 distance plane. (B) Fine-tuned IDPFold generated conformation compared to X-ray structure</w:t>
      </w:r>
      <w:r w:rsidR="006C6FD8">
        <w:rPr>
          <w:rFonts w:ascii="Times New Roman" w:hAnsi="Times New Roman" w:cs="Times New Roman" w:hint="eastAsia"/>
          <w:sz w:val="24"/>
          <w:szCs w:val="28"/>
        </w:rPr>
        <w:t xml:space="preserve"> (PDB ID: 7f0w).</w:t>
      </w:r>
      <w:r w:rsidR="00500730">
        <w:rPr>
          <w:rFonts w:ascii="Times New Roman" w:hAnsi="Times New Roman" w:cs="Times New Roman" w:hint="eastAsia"/>
          <w:sz w:val="24"/>
          <w:szCs w:val="28"/>
        </w:rPr>
        <w:t xml:space="preserve"> (C) Pretrained IDPFold generated conformation compared to X-ray structure</w:t>
      </w:r>
      <w:r w:rsidR="006C6FD8">
        <w:rPr>
          <w:rFonts w:ascii="Times New Roman" w:hAnsi="Times New Roman" w:cs="Times New Roman" w:hint="eastAsia"/>
          <w:sz w:val="24"/>
          <w:szCs w:val="28"/>
        </w:rPr>
        <w:t xml:space="preserve"> (PDB ID: 4ldj)</w:t>
      </w:r>
      <w:r w:rsidR="006C6FD8">
        <w:rPr>
          <w:rFonts w:ascii="Times New Roman" w:hAnsi="Times New Roman" w:cs="Times New Roman"/>
          <w:sz w:val="24"/>
          <w:szCs w:val="28"/>
        </w:rPr>
        <w:fldChar w:fldCharType="begin"/>
      </w:r>
      <w:r w:rsidR="006C6FD8">
        <w:rPr>
          <w:rFonts w:ascii="Times New Roman" w:hAnsi="Times New Roman" w:cs="Times New Roman"/>
          <w:sz w:val="24"/>
          <w:szCs w:val="28"/>
        </w:rPr>
        <w:instrText xml:space="preserve"> ADDIN ZOTERO_ITEM CSL_CITATION {"citationID":"q7EXbRPU","properties":{"formattedCitation":"\\super 30\\nosupersub{}","plainCitation":"30","noteIndex":0},"citationItems":[{"id":361,"uris":["http://zotero.org/users/14054239/items/YY78VL5L"],"itemData":{"id":361,"type":"article-journal","abstract":"SML-8-73-1 (SML) is the first example, to our knowledge, of a GTP-competitive inhibitor of V-Ki-ras2 Kirsten rat sarcoma viral oncogene homolog (K-Ras). A high-resolution structure of K-Ras G12C bound to SML shows K-Ras in an inactive conformation. In situ proteomic-based chemical profiling of SML demonstrates that SML is highly selective for K-Ras G12C over other small GTPases. A novel chemosensor-based assay allows measurement of covalent reaction rates between K-Ras G12C and SML and enables characterization of this reaction in the context of millimolar concentrations of GTP and GDP, well in exccss of what is found in living cells. These results demonstrate that even in the presence of high concentrations of GTP and GDP, SML is able to exchange into the GN site., Directly targeting oncogenic V-Ki-ras2 Kirsten rat sarcoma viral oncogene homolog (K-Ras) with small-molecule inhibitors has historically been considered prohibitively challenging. Recent reports of compounds that bind directly to the K-Ras G12C mutant suggest avenues to overcome key obstacles that stand in the way of developing such compounds. We aim to target the guanine nucleotide (GN)-binding pocket because the natural contents of this pocket dictate the signaling state of K-Ras. Here, we characterize the irreversible inhibitor SML-8-73-1 (SML), which targets the GN-binding pocket of K-Ras G12C. We report a high-resolution X-ray crystal structure of G12C K-Ras bound to SML, revealing that the compound binds in a manner similar to GDP, forming a covalent linkage with Cys-12. The resulting conformation renders K-Ras in the open, inactive conformation, which is not predicted to associate productively with or activate downstream effectors. Conservation analysis of the Ras family GN-binding pocket reveals variability in the side chains surrounding the active site and adjacent regions, especially in the switch I region. This variability may enable building specificity into new iterations of Ras and other GTPase inhibitors. High-resolution in situ chemical proteomic profiling of SML confirms that SML effectively discriminates between K-Ras G12C and other cellular GTP-binding proteins. A biochemical assay provides additional evidence that SML is able to compete with millimolar concentrations of GTP and GDP for the GN-binding site.","container-title":"Proceedings of the National Academy of Sciences of the United States of America","DOI":"10.1073/pnas.1404639111","ISSN":"0027-8424","issue":"24","journalAbbreviation":"Proc Natl Acad Sci U S A","note":"PMID: 24889603\nPMCID: PMC4066474","page":"8895-8900","source":"PubMed Central","title":"In situ selectivity profiling and crystal structure of SML-8-73-1, an active site inhibitor of oncogenic K-Ras G12C","volume":"111","author":[{"family":"Hunter","given":"John C."},{"family":"Gurbani","given":"Deepak"},{"family":"Ficarro","given":"Scott B."},{"family":"Carrasco","given":"Martin A."},{"family":"Lim","given":"Sang Min"},{"family":"Choi","given":"Hwan Geun"},{"family":"Xie","given":"Ting"},{"family":"Marto","given":"Jarrod A."},{"family":"Chen","given":"Zhe"},{"family":"Gray","given":"Nathanael S."},{"family":"Westover","given":"Kenneth D."}],"issued":{"date-parts":[["2014",6,17]]}}}],"schema":"https://github.com/citation-style-language/schema/raw/master/csl-citation.json"} </w:instrText>
      </w:r>
      <w:r w:rsidR="006C6FD8">
        <w:rPr>
          <w:rFonts w:ascii="Times New Roman" w:hAnsi="Times New Roman" w:cs="Times New Roman"/>
          <w:sz w:val="24"/>
          <w:szCs w:val="28"/>
        </w:rPr>
        <w:fldChar w:fldCharType="separate"/>
      </w:r>
      <w:r w:rsidR="006C6FD8" w:rsidRPr="006C6FD8">
        <w:rPr>
          <w:rFonts w:ascii="Times New Roman" w:hAnsi="Times New Roman" w:cs="Times New Roman"/>
          <w:kern w:val="0"/>
          <w:sz w:val="24"/>
          <w:szCs w:val="24"/>
          <w:vertAlign w:val="superscript"/>
        </w:rPr>
        <w:t>30</w:t>
      </w:r>
      <w:r w:rsidR="006C6FD8">
        <w:rPr>
          <w:rFonts w:ascii="Times New Roman" w:hAnsi="Times New Roman" w:cs="Times New Roman"/>
          <w:sz w:val="24"/>
          <w:szCs w:val="28"/>
        </w:rPr>
        <w:fldChar w:fldCharType="end"/>
      </w:r>
      <w:r w:rsidR="00500730">
        <w:rPr>
          <w:rFonts w:ascii="Times New Roman" w:hAnsi="Times New Roman" w:cs="Times New Roman" w:hint="eastAsia"/>
          <w:sz w:val="24"/>
          <w:szCs w:val="28"/>
        </w:rPr>
        <w:t>.</w:t>
      </w:r>
    </w:p>
    <w:p w14:paraId="352ED482" w14:textId="10428C00" w:rsidR="00C363DB" w:rsidRPr="00500730" w:rsidRDefault="000540CC">
      <w:pPr>
        <w:widowControl/>
        <w:jc w:val="left"/>
        <w:rPr>
          <w:rFonts w:ascii="Times New Roman" w:hAnsi="Times New Roman" w:cs="Times New Roman"/>
        </w:rPr>
      </w:pPr>
      <w:r>
        <w:rPr>
          <w:rFonts w:ascii="Times New Roman" w:hAnsi="Times New Roman" w:cs="Times New Roman"/>
        </w:rPr>
        <w:br w:type="page"/>
      </w:r>
    </w:p>
    <w:p w14:paraId="58ED7A12" w14:textId="53AB20C6" w:rsidR="00C363DB" w:rsidRDefault="00C363DB" w:rsidP="00B35271">
      <w:pPr>
        <w:pStyle w:val="3"/>
        <w:rPr>
          <w:rFonts w:ascii="Times New Roman" w:hAnsi="Times New Roman" w:cs="Times New Roman"/>
        </w:rPr>
      </w:pPr>
      <w:r w:rsidRPr="00C363DB">
        <w:rPr>
          <w:rFonts w:ascii="Times New Roman" w:hAnsi="Times New Roman" w:cs="Times New Roman" w:hint="eastAsia"/>
        </w:rPr>
        <w:lastRenderedPageBreak/>
        <w:t>Reference</w:t>
      </w:r>
      <w:r w:rsidR="00710222">
        <w:rPr>
          <w:rFonts w:ascii="Times New Roman" w:hAnsi="Times New Roman" w:cs="Times New Roman" w:hint="eastAsia"/>
        </w:rPr>
        <w:t>s</w:t>
      </w:r>
    </w:p>
    <w:p w14:paraId="7C117C22" w14:textId="77777777" w:rsidR="006C6FD8" w:rsidRPr="007E7D73" w:rsidRDefault="00C363DB" w:rsidP="00D51830">
      <w:pPr>
        <w:pStyle w:val="a8"/>
        <w:spacing w:line="240" w:lineRule="auto"/>
        <w:rPr>
          <w:rFonts w:ascii="Times New Roman" w:hAnsi="Times New Roman" w:cs="Times New Roman"/>
        </w:rPr>
      </w:pPr>
      <w:r w:rsidRPr="007E7D73">
        <w:rPr>
          <w:rFonts w:ascii="Times New Roman" w:hAnsi="Times New Roman" w:cs="Times New Roman"/>
        </w:rPr>
        <w:fldChar w:fldCharType="begin"/>
      </w:r>
      <w:r w:rsidRPr="007E7D73">
        <w:rPr>
          <w:rFonts w:ascii="Times New Roman" w:hAnsi="Times New Roman" w:cs="Times New Roman"/>
        </w:rPr>
        <w:instrText xml:space="preserve"> ADDIN ZOTERO_BIBL {"uncited":[],"omitted":[],"custom":[]} CSL_BIBLIOGRAPHY </w:instrText>
      </w:r>
      <w:r w:rsidRPr="007E7D73">
        <w:rPr>
          <w:rFonts w:ascii="Times New Roman" w:hAnsi="Times New Roman" w:cs="Times New Roman"/>
        </w:rPr>
        <w:fldChar w:fldCharType="separate"/>
      </w:r>
      <w:r w:rsidR="006C6FD8" w:rsidRPr="007E7D73">
        <w:rPr>
          <w:rFonts w:ascii="Times New Roman" w:hAnsi="Times New Roman" w:cs="Times New Roman"/>
        </w:rPr>
        <w:t>1.</w:t>
      </w:r>
      <w:r w:rsidR="006C6FD8" w:rsidRPr="007E7D73">
        <w:rPr>
          <w:rFonts w:ascii="Times New Roman" w:hAnsi="Times New Roman" w:cs="Times New Roman"/>
        </w:rPr>
        <w:tab/>
        <w:t xml:space="preserve">Mittag, T. </w:t>
      </w:r>
      <w:r w:rsidR="006C6FD8" w:rsidRPr="007E7D73">
        <w:rPr>
          <w:rFonts w:ascii="Times New Roman" w:hAnsi="Times New Roman" w:cs="Times New Roman"/>
          <w:i/>
          <w:iCs/>
        </w:rPr>
        <w:t>et al.</w:t>
      </w:r>
      <w:r w:rsidR="006C6FD8" w:rsidRPr="007E7D73">
        <w:rPr>
          <w:rFonts w:ascii="Times New Roman" w:hAnsi="Times New Roman" w:cs="Times New Roman"/>
        </w:rPr>
        <w:t xml:space="preserve"> Structure/Function Implications in a Dynamic Complex of the Intrinsically Disordered Sic1 with the Cdc4 Subunit of an SCF Ubiquitin Ligase. </w:t>
      </w:r>
      <w:r w:rsidR="006C6FD8" w:rsidRPr="007E7D73">
        <w:rPr>
          <w:rFonts w:ascii="Times New Roman" w:hAnsi="Times New Roman" w:cs="Times New Roman"/>
          <w:i/>
          <w:iCs/>
        </w:rPr>
        <w:t>Structure</w:t>
      </w:r>
      <w:r w:rsidR="006C6FD8" w:rsidRPr="007E7D73">
        <w:rPr>
          <w:rFonts w:ascii="Times New Roman" w:hAnsi="Times New Roman" w:cs="Times New Roman"/>
        </w:rPr>
        <w:t xml:space="preserve"> </w:t>
      </w:r>
      <w:r w:rsidR="006C6FD8" w:rsidRPr="007E7D73">
        <w:rPr>
          <w:rFonts w:ascii="Times New Roman" w:hAnsi="Times New Roman" w:cs="Times New Roman"/>
          <w:b/>
          <w:bCs/>
        </w:rPr>
        <w:t>18</w:t>
      </w:r>
      <w:r w:rsidR="006C6FD8" w:rsidRPr="007E7D73">
        <w:rPr>
          <w:rFonts w:ascii="Times New Roman" w:hAnsi="Times New Roman" w:cs="Times New Roman"/>
        </w:rPr>
        <w:t>, 494–506 (2010).</w:t>
      </w:r>
    </w:p>
    <w:p w14:paraId="45D416FE"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w:t>
      </w:r>
      <w:r w:rsidRPr="007E7D73">
        <w:rPr>
          <w:rFonts w:ascii="Times New Roman" w:hAnsi="Times New Roman" w:cs="Times New Roman"/>
        </w:rPr>
        <w:tab/>
        <w:t xml:space="preserve">Granata, D. </w:t>
      </w:r>
      <w:r w:rsidRPr="007E7D73">
        <w:rPr>
          <w:rFonts w:ascii="Times New Roman" w:hAnsi="Times New Roman" w:cs="Times New Roman"/>
          <w:i/>
          <w:iCs/>
        </w:rPr>
        <w:t>et al.</w:t>
      </w:r>
      <w:r w:rsidRPr="007E7D73">
        <w:rPr>
          <w:rFonts w:ascii="Times New Roman" w:hAnsi="Times New Roman" w:cs="Times New Roman"/>
        </w:rPr>
        <w:t xml:space="preserve"> The inverted free energy landscape of an intrinsically disordered peptide by simulations and experiments. </w:t>
      </w:r>
      <w:r w:rsidRPr="007E7D73">
        <w:rPr>
          <w:rFonts w:ascii="Times New Roman" w:hAnsi="Times New Roman" w:cs="Times New Roman"/>
          <w:i/>
          <w:iCs/>
        </w:rPr>
        <w:t>Sci. Rep.</w:t>
      </w:r>
      <w:r w:rsidRPr="007E7D73">
        <w:rPr>
          <w:rFonts w:ascii="Times New Roman" w:hAnsi="Times New Roman" w:cs="Times New Roman"/>
        </w:rPr>
        <w:t xml:space="preserve"> </w:t>
      </w:r>
      <w:r w:rsidRPr="007E7D73">
        <w:rPr>
          <w:rFonts w:ascii="Times New Roman" w:hAnsi="Times New Roman" w:cs="Times New Roman"/>
          <w:b/>
          <w:bCs/>
        </w:rPr>
        <w:t>5</w:t>
      </w:r>
      <w:r w:rsidRPr="007E7D73">
        <w:rPr>
          <w:rFonts w:ascii="Times New Roman" w:hAnsi="Times New Roman" w:cs="Times New Roman"/>
        </w:rPr>
        <w:t>, 15449 (2015).</w:t>
      </w:r>
    </w:p>
    <w:p w14:paraId="7482E4D0"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3.</w:t>
      </w:r>
      <w:r w:rsidRPr="007E7D73">
        <w:rPr>
          <w:rFonts w:ascii="Times New Roman" w:hAnsi="Times New Roman" w:cs="Times New Roman"/>
        </w:rPr>
        <w:tab/>
        <w:t xml:space="preserve">Hou, L. </w:t>
      </w:r>
      <w:r w:rsidRPr="007E7D73">
        <w:rPr>
          <w:rFonts w:ascii="Times New Roman" w:hAnsi="Times New Roman" w:cs="Times New Roman"/>
          <w:i/>
          <w:iCs/>
        </w:rPr>
        <w:t>et al.</w:t>
      </w:r>
      <w:r w:rsidRPr="007E7D73">
        <w:rPr>
          <w:rFonts w:ascii="Times New Roman" w:hAnsi="Times New Roman" w:cs="Times New Roman"/>
        </w:rPr>
        <w:t xml:space="preserve"> Solution NMR Studies of the Aβ(1</w:t>
      </w:r>
      <w:r w:rsidRPr="007E7D73">
        <w:rPr>
          <w:rFonts w:ascii="Times New Roman" w:eastAsia="微软雅黑" w:hAnsi="Times New Roman" w:cs="Times New Roman"/>
        </w:rPr>
        <w:t>−</w:t>
      </w:r>
      <w:r w:rsidRPr="007E7D73">
        <w:rPr>
          <w:rFonts w:ascii="Times New Roman" w:hAnsi="Times New Roman" w:cs="Times New Roman"/>
        </w:rPr>
        <w:t>40) and A</w:t>
      </w:r>
      <w:r w:rsidRPr="007E7D73">
        <w:rPr>
          <w:rFonts w:ascii="Times New Roman" w:eastAsia="等线" w:hAnsi="Times New Roman" w:cs="Times New Roman"/>
        </w:rPr>
        <w:t>β</w:t>
      </w:r>
      <w:r w:rsidRPr="007E7D73">
        <w:rPr>
          <w:rFonts w:ascii="Times New Roman" w:hAnsi="Times New Roman" w:cs="Times New Roman"/>
        </w:rPr>
        <w:t>(1</w:t>
      </w:r>
      <w:r w:rsidRPr="007E7D73">
        <w:rPr>
          <w:rFonts w:ascii="Times New Roman" w:eastAsia="微软雅黑" w:hAnsi="Times New Roman" w:cs="Times New Roman"/>
        </w:rPr>
        <w:t>−</w:t>
      </w:r>
      <w:r w:rsidRPr="007E7D73">
        <w:rPr>
          <w:rFonts w:ascii="Times New Roman" w:hAnsi="Times New Roman" w:cs="Times New Roman"/>
        </w:rPr>
        <w:t xml:space="preserve">42) Peptides Establish that the Met35 Oxidation State Affects the Mechanism of Amyloid Formation. </w:t>
      </w:r>
      <w:r w:rsidRPr="007E7D73">
        <w:rPr>
          <w:rFonts w:ascii="Times New Roman" w:hAnsi="Times New Roman" w:cs="Times New Roman"/>
          <w:i/>
          <w:iCs/>
        </w:rPr>
        <w:t>J. Am. Chem. Soc.</w:t>
      </w:r>
      <w:r w:rsidRPr="007E7D73">
        <w:rPr>
          <w:rFonts w:ascii="Times New Roman" w:hAnsi="Times New Roman" w:cs="Times New Roman"/>
        </w:rPr>
        <w:t xml:space="preserve"> </w:t>
      </w:r>
      <w:r w:rsidRPr="007E7D73">
        <w:rPr>
          <w:rFonts w:ascii="Times New Roman" w:hAnsi="Times New Roman" w:cs="Times New Roman"/>
          <w:b/>
          <w:bCs/>
        </w:rPr>
        <w:t>126</w:t>
      </w:r>
      <w:r w:rsidRPr="007E7D73">
        <w:rPr>
          <w:rFonts w:ascii="Times New Roman" w:hAnsi="Times New Roman" w:cs="Times New Roman"/>
        </w:rPr>
        <w:t>, 1992–2005 (2004).</w:t>
      </w:r>
    </w:p>
    <w:p w14:paraId="5C90F7E5"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4.</w:t>
      </w:r>
      <w:r w:rsidRPr="007E7D73">
        <w:rPr>
          <w:rFonts w:ascii="Times New Roman" w:hAnsi="Times New Roman" w:cs="Times New Roman"/>
        </w:rPr>
        <w:tab/>
        <w:t xml:space="preserve">Ball, K. A. </w:t>
      </w:r>
      <w:r w:rsidRPr="007E7D73">
        <w:rPr>
          <w:rFonts w:ascii="Times New Roman" w:hAnsi="Times New Roman" w:cs="Times New Roman"/>
          <w:i/>
          <w:iCs/>
        </w:rPr>
        <w:t>et al.</w:t>
      </w:r>
      <w:r w:rsidRPr="007E7D73">
        <w:rPr>
          <w:rFonts w:ascii="Times New Roman" w:hAnsi="Times New Roman" w:cs="Times New Roman"/>
        </w:rPr>
        <w:t xml:space="preserve"> Homogeneous and Heterogeneous Tertiary Structure Ensembles of Amyloid-β Peptides. </w:t>
      </w:r>
      <w:r w:rsidRPr="007E7D73">
        <w:rPr>
          <w:rFonts w:ascii="Times New Roman" w:hAnsi="Times New Roman" w:cs="Times New Roman"/>
          <w:i/>
          <w:iCs/>
        </w:rPr>
        <w:t>Biochemistry</w:t>
      </w:r>
      <w:r w:rsidRPr="007E7D73">
        <w:rPr>
          <w:rFonts w:ascii="Times New Roman" w:hAnsi="Times New Roman" w:cs="Times New Roman"/>
        </w:rPr>
        <w:t xml:space="preserve"> </w:t>
      </w:r>
      <w:r w:rsidRPr="007E7D73">
        <w:rPr>
          <w:rFonts w:ascii="Times New Roman" w:hAnsi="Times New Roman" w:cs="Times New Roman"/>
          <w:b/>
          <w:bCs/>
        </w:rPr>
        <w:t>50</w:t>
      </w:r>
      <w:r w:rsidRPr="007E7D73">
        <w:rPr>
          <w:rFonts w:ascii="Times New Roman" w:hAnsi="Times New Roman" w:cs="Times New Roman"/>
        </w:rPr>
        <w:t>, 7612–7628 (2011).</w:t>
      </w:r>
    </w:p>
    <w:p w14:paraId="4083019B"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5.</w:t>
      </w:r>
      <w:r w:rsidRPr="007E7D73">
        <w:rPr>
          <w:rFonts w:ascii="Times New Roman" w:hAnsi="Times New Roman" w:cs="Times New Roman"/>
        </w:rPr>
        <w:tab/>
        <w:t xml:space="preserve">Rauscher, S. </w:t>
      </w:r>
      <w:r w:rsidRPr="007E7D73">
        <w:rPr>
          <w:rFonts w:ascii="Times New Roman" w:hAnsi="Times New Roman" w:cs="Times New Roman"/>
          <w:i/>
          <w:iCs/>
        </w:rPr>
        <w:t>et al.</w:t>
      </w:r>
      <w:r w:rsidRPr="007E7D73">
        <w:rPr>
          <w:rFonts w:ascii="Times New Roman" w:hAnsi="Times New Roman" w:cs="Times New Roman"/>
        </w:rPr>
        <w:t xml:space="preserve"> Structural Ensembles of Intrinsically Disordered Proteins Depend Strongly on Force Field: A Comparison to Experiment. </w:t>
      </w:r>
      <w:r w:rsidRPr="007E7D73">
        <w:rPr>
          <w:rFonts w:ascii="Times New Roman" w:hAnsi="Times New Roman" w:cs="Times New Roman"/>
          <w:i/>
          <w:iCs/>
        </w:rPr>
        <w:t>J. Chem. Theory Comput.</w:t>
      </w:r>
      <w:r w:rsidRPr="007E7D73">
        <w:rPr>
          <w:rFonts w:ascii="Times New Roman" w:hAnsi="Times New Roman" w:cs="Times New Roman"/>
        </w:rPr>
        <w:t xml:space="preserve"> </w:t>
      </w:r>
      <w:r w:rsidRPr="007E7D73">
        <w:rPr>
          <w:rFonts w:ascii="Times New Roman" w:hAnsi="Times New Roman" w:cs="Times New Roman"/>
          <w:b/>
          <w:bCs/>
        </w:rPr>
        <w:t>11</w:t>
      </w:r>
      <w:r w:rsidRPr="007E7D73">
        <w:rPr>
          <w:rFonts w:ascii="Times New Roman" w:hAnsi="Times New Roman" w:cs="Times New Roman"/>
        </w:rPr>
        <w:t>, 5513–5524 (2015).</w:t>
      </w:r>
    </w:p>
    <w:p w14:paraId="7CE162FC"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6.</w:t>
      </w:r>
      <w:r w:rsidRPr="007E7D73">
        <w:rPr>
          <w:rFonts w:ascii="Times New Roman" w:hAnsi="Times New Roman" w:cs="Times New Roman"/>
        </w:rPr>
        <w:tab/>
        <w:t xml:space="preserve">Xiang, S. </w:t>
      </w:r>
      <w:r w:rsidRPr="007E7D73">
        <w:rPr>
          <w:rFonts w:ascii="Times New Roman" w:hAnsi="Times New Roman" w:cs="Times New Roman"/>
          <w:i/>
          <w:iCs/>
        </w:rPr>
        <w:t>et al.</w:t>
      </w:r>
      <w:r w:rsidRPr="007E7D73">
        <w:rPr>
          <w:rFonts w:ascii="Times New Roman" w:hAnsi="Times New Roman" w:cs="Times New Roman"/>
        </w:rPr>
        <w:t xml:space="preserve"> Phosphorylation Drives a Dynamic Switch in Serine/Arginine-Rich Proteins. </w:t>
      </w:r>
      <w:r w:rsidRPr="007E7D73">
        <w:rPr>
          <w:rFonts w:ascii="Times New Roman" w:hAnsi="Times New Roman" w:cs="Times New Roman"/>
          <w:i/>
          <w:iCs/>
        </w:rPr>
        <w:t>Structure</w:t>
      </w:r>
      <w:r w:rsidRPr="007E7D73">
        <w:rPr>
          <w:rFonts w:ascii="Times New Roman" w:hAnsi="Times New Roman" w:cs="Times New Roman"/>
        </w:rPr>
        <w:t xml:space="preserve"> </w:t>
      </w:r>
      <w:r w:rsidRPr="007E7D73">
        <w:rPr>
          <w:rFonts w:ascii="Times New Roman" w:hAnsi="Times New Roman" w:cs="Times New Roman"/>
          <w:b/>
          <w:bCs/>
        </w:rPr>
        <w:t>21</w:t>
      </w:r>
      <w:r w:rsidRPr="007E7D73">
        <w:rPr>
          <w:rFonts w:ascii="Times New Roman" w:hAnsi="Times New Roman" w:cs="Times New Roman"/>
        </w:rPr>
        <w:t>, 2162–2174 (2013).</w:t>
      </w:r>
    </w:p>
    <w:p w14:paraId="6D9F48EB"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7.</w:t>
      </w:r>
      <w:r w:rsidRPr="007E7D73">
        <w:rPr>
          <w:rFonts w:ascii="Times New Roman" w:hAnsi="Times New Roman" w:cs="Times New Roman"/>
        </w:rPr>
        <w:tab/>
        <w:t xml:space="preserve">Cragnell, C., Durand, D., Cabane, B. &amp; Skepö, M. Coarse-grained modeling of the intrinsically disordered protein Histatin 5 in solution: Monte Carlo simulations in combination with SAXS. </w:t>
      </w:r>
      <w:r w:rsidRPr="007E7D73">
        <w:rPr>
          <w:rFonts w:ascii="Times New Roman" w:hAnsi="Times New Roman" w:cs="Times New Roman"/>
          <w:i/>
          <w:iCs/>
        </w:rPr>
        <w:t>Proteins Struct. Funct. Bioinforma.</w:t>
      </w:r>
      <w:r w:rsidRPr="007E7D73">
        <w:rPr>
          <w:rFonts w:ascii="Times New Roman" w:hAnsi="Times New Roman" w:cs="Times New Roman"/>
        </w:rPr>
        <w:t xml:space="preserve"> </w:t>
      </w:r>
      <w:r w:rsidRPr="007E7D73">
        <w:rPr>
          <w:rFonts w:ascii="Times New Roman" w:hAnsi="Times New Roman" w:cs="Times New Roman"/>
          <w:b/>
          <w:bCs/>
        </w:rPr>
        <w:t>84</w:t>
      </w:r>
      <w:r w:rsidRPr="007E7D73">
        <w:rPr>
          <w:rFonts w:ascii="Times New Roman" w:hAnsi="Times New Roman" w:cs="Times New Roman"/>
        </w:rPr>
        <w:t>, 777–791 (2016).</w:t>
      </w:r>
    </w:p>
    <w:p w14:paraId="12BD4474"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8.</w:t>
      </w:r>
      <w:r w:rsidRPr="007E7D73">
        <w:rPr>
          <w:rFonts w:ascii="Times New Roman" w:hAnsi="Times New Roman" w:cs="Times New Roman"/>
        </w:rPr>
        <w:tab/>
        <w:t xml:space="preserve">De Biasio, A. </w:t>
      </w:r>
      <w:r w:rsidRPr="007E7D73">
        <w:rPr>
          <w:rFonts w:ascii="Times New Roman" w:hAnsi="Times New Roman" w:cs="Times New Roman"/>
          <w:i/>
          <w:iCs/>
        </w:rPr>
        <w:t>et al.</w:t>
      </w:r>
      <w:r w:rsidRPr="007E7D73">
        <w:rPr>
          <w:rFonts w:ascii="Times New Roman" w:hAnsi="Times New Roman" w:cs="Times New Roman"/>
        </w:rPr>
        <w:t xml:space="preserve"> p15PAF Is an Intrinsically Disordered Protein with Nonrandom Structural Preferences at Sites of Interaction with Other Proteins. </w:t>
      </w:r>
      <w:r w:rsidRPr="007E7D73">
        <w:rPr>
          <w:rFonts w:ascii="Times New Roman" w:hAnsi="Times New Roman" w:cs="Times New Roman"/>
          <w:i/>
          <w:iCs/>
        </w:rPr>
        <w:t>Biophys. J.</w:t>
      </w:r>
      <w:r w:rsidRPr="007E7D73">
        <w:rPr>
          <w:rFonts w:ascii="Times New Roman" w:hAnsi="Times New Roman" w:cs="Times New Roman"/>
        </w:rPr>
        <w:t xml:space="preserve"> </w:t>
      </w:r>
      <w:r w:rsidRPr="007E7D73">
        <w:rPr>
          <w:rFonts w:ascii="Times New Roman" w:hAnsi="Times New Roman" w:cs="Times New Roman"/>
          <w:b/>
          <w:bCs/>
        </w:rPr>
        <w:t>106</w:t>
      </w:r>
      <w:r w:rsidRPr="007E7D73">
        <w:rPr>
          <w:rFonts w:ascii="Times New Roman" w:hAnsi="Times New Roman" w:cs="Times New Roman"/>
        </w:rPr>
        <w:t>, 865–874 (2014).</w:t>
      </w:r>
    </w:p>
    <w:p w14:paraId="01F7CAF8"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9.</w:t>
      </w:r>
      <w:r w:rsidRPr="007E7D73">
        <w:rPr>
          <w:rFonts w:ascii="Times New Roman" w:hAnsi="Times New Roman" w:cs="Times New Roman"/>
        </w:rPr>
        <w:tab/>
        <w:t xml:space="preserve">Alborghetti, M. R. </w:t>
      </w:r>
      <w:r w:rsidRPr="007E7D73">
        <w:rPr>
          <w:rFonts w:ascii="Times New Roman" w:hAnsi="Times New Roman" w:cs="Times New Roman"/>
          <w:i/>
          <w:iCs/>
        </w:rPr>
        <w:t>et al.</w:t>
      </w:r>
      <w:r w:rsidRPr="007E7D73">
        <w:rPr>
          <w:rFonts w:ascii="Times New Roman" w:hAnsi="Times New Roman" w:cs="Times New Roman"/>
        </w:rPr>
        <w:t xml:space="preserve"> Human FEZ1 Protein Forms a Disulfide Bond Mediated Dimer: Implications for Cargo Transport. </w:t>
      </w:r>
      <w:r w:rsidRPr="007E7D73">
        <w:rPr>
          <w:rFonts w:ascii="Times New Roman" w:hAnsi="Times New Roman" w:cs="Times New Roman"/>
          <w:i/>
          <w:iCs/>
        </w:rPr>
        <w:t>J. Proteome Res.</w:t>
      </w:r>
      <w:r w:rsidRPr="007E7D73">
        <w:rPr>
          <w:rFonts w:ascii="Times New Roman" w:hAnsi="Times New Roman" w:cs="Times New Roman"/>
        </w:rPr>
        <w:t xml:space="preserve"> </w:t>
      </w:r>
      <w:r w:rsidRPr="007E7D73">
        <w:rPr>
          <w:rFonts w:ascii="Times New Roman" w:hAnsi="Times New Roman" w:cs="Times New Roman"/>
          <w:b/>
          <w:bCs/>
        </w:rPr>
        <w:t>9</w:t>
      </w:r>
      <w:r w:rsidRPr="007E7D73">
        <w:rPr>
          <w:rFonts w:ascii="Times New Roman" w:hAnsi="Times New Roman" w:cs="Times New Roman"/>
        </w:rPr>
        <w:t>, 4595–4603 (2010).</w:t>
      </w:r>
    </w:p>
    <w:p w14:paraId="1A3241BF"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10.</w:t>
      </w:r>
      <w:r w:rsidRPr="007E7D73">
        <w:rPr>
          <w:rFonts w:ascii="Times New Roman" w:hAnsi="Times New Roman" w:cs="Times New Roman"/>
        </w:rPr>
        <w:tab/>
        <w:t xml:space="preserve">Foucault, M. </w:t>
      </w:r>
      <w:r w:rsidRPr="007E7D73">
        <w:rPr>
          <w:rFonts w:ascii="Times New Roman" w:hAnsi="Times New Roman" w:cs="Times New Roman"/>
          <w:i/>
          <w:iCs/>
        </w:rPr>
        <w:t>et al.</w:t>
      </w:r>
      <w:r w:rsidRPr="007E7D73">
        <w:rPr>
          <w:rFonts w:ascii="Times New Roman" w:hAnsi="Times New Roman" w:cs="Times New Roman"/>
        </w:rPr>
        <w:t xml:space="preserve"> UV and X-ray structural studies of a 101-residue long Tat protein from a HIV-1 primary isolate and of its mutated, detoxified, vaccine candidate. </w:t>
      </w:r>
      <w:r w:rsidRPr="007E7D73">
        <w:rPr>
          <w:rFonts w:ascii="Times New Roman" w:hAnsi="Times New Roman" w:cs="Times New Roman"/>
          <w:i/>
          <w:iCs/>
        </w:rPr>
        <w:t>Proteins Struct. Funct. Bioinforma.</w:t>
      </w:r>
      <w:r w:rsidRPr="007E7D73">
        <w:rPr>
          <w:rFonts w:ascii="Times New Roman" w:hAnsi="Times New Roman" w:cs="Times New Roman"/>
        </w:rPr>
        <w:t xml:space="preserve"> </w:t>
      </w:r>
      <w:r w:rsidRPr="007E7D73">
        <w:rPr>
          <w:rFonts w:ascii="Times New Roman" w:hAnsi="Times New Roman" w:cs="Times New Roman"/>
          <w:b/>
          <w:bCs/>
        </w:rPr>
        <w:t>78</w:t>
      </w:r>
      <w:r w:rsidRPr="007E7D73">
        <w:rPr>
          <w:rFonts w:ascii="Times New Roman" w:hAnsi="Times New Roman" w:cs="Times New Roman"/>
        </w:rPr>
        <w:t>, 1441–1456 (2010).</w:t>
      </w:r>
    </w:p>
    <w:p w14:paraId="1510F1F7"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11.</w:t>
      </w:r>
      <w:r w:rsidRPr="007E7D73">
        <w:rPr>
          <w:rFonts w:ascii="Times New Roman" w:hAnsi="Times New Roman" w:cs="Times New Roman"/>
        </w:rPr>
        <w:tab/>
        <w:t xml:space="preserve">Hofmann, H. </w:t>
      </w:r>
      <w:r w:rsidRPr="007E7D73">
        <w:rPr>
          <w:rFonts w:ascii="Times New Roman" w:hAnsi="Times New Roman" w:cs="Times New Roman"/>
          <w:i/>
          <w:iCs/>
        </w:rPr>
        <w:t>et al.</w:t>
      </w:r>
      <w:r w:rsidRPr="007E7D73">
        <w:rPr>
          <w:rFonts w:ascii="Times New Roman" w:hAnsi="Times New Roman" w:cs="Times New Roman"/>
        </w:rPr>
        <w:t xml:space="preserve"> Polymer scaling laws of unfolded and intrinsically disordered proteins quantified with single-molecule spectroscopy. </w:t>
      </w:r>
      <w:r w:rsidRPr="007E7D73">
        <w:rPr>
          <w:rFonts w:ascii="Times New Roman" w:hAnsi="Times New Roman" w:cs="Times New Roman"/>
          <w:i/>
          <w:iCs/>
        </w:rPr>
        <w:t>Proc. Natl. Acad. Sci.</w:t>
      </w:r>
      <w:r w:rsidRPr="007E7D73">
        <w:rPr>
          <w:rFonts w:ascii="Times New Roman" w:hAnsi="Times New Roman" w:cs="Times New Roman"/>
        </w:rPr>
        <w:t xml:space="preserve"> </w:t>
      </w:r>
      <w:r w:rsidRPr="007E7D73">
        <w:rPr>
          <w:rFonts w:ascii="Times New Roman" w:hAnsi="Times New Roman" w:cs="Times New Roman"/>
          <w:b/>
          <w:bCs/>
        </w:rPr>
        <w:t>109</w:t>
      </w:r>
      <w:r w:rsidRPr="007E7D73">
        <w:rPr>
          <w:rFonts w:ascii="Times New Roman" w:hAnsi="Times New Roman" w:cs="Times New Roman"/>
        </w:rPr>
        <w:t>, 16155–16160 (2012).</w:t>
      </w:r>
    </w:p>
    <w:p w14:paraId="461F5657"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12.</w:t>
      </w:r>
      <w:r w:rsidRPr="007E7D73">
        <w:rPr>
          <w:rFonts w:ascii="Times New Roman" w:hAnsi="Times New Roman" w:cs="Times New Roman"/>
        </w:rPr>
        <w:tab/>
        <w:t xml:space="preserve">Moncoq, K. </w:t>
      </w:r>
      <w:r w:rsidRPr="007E7D73">
        <w:rPr>
          <w:rFonts w:ascii="Times New Roman" w:hAnsi="Times New Roman" w:cs="Times New Roman"/>
          <w:i/>
          <w:iCs/>
        </w:rPr>
        <w:t>et al.</w:t>
      </w:r>
      <w:r w:rsidRPr="007E7D73">
        <w:rPr>
          <w:rFonts w:ascii="Times New Roman" w:hAnsi="Times New Roman" w:cs="Times New Roman"/>
        </w:rPr>
        <w:t xml:space="preserve"> SAXS Study of the PIR Domain from the Grb14 Molecular Adaptor: A Natively Unfolded Protein with a Transient Structure Primer? </w:t>
      </w:r>
      <w:r w:rsidRPr="007E7D73">
        <w:rPr>
          <w:rFonts w:ascii="Times New Roman" w:hAnsi="Times New Roman" w:cs="Times New Roman"/>
          <w:i/>
          <w:iCs/>
        </w:rPr>
        <w:t>Biophys. J.</w:t>
      </w:r>
      <w:r w:rsidRPr="007E7D73">
        <w:rPr>
          <w:rFonts w:ascii="Times New Roman" w:hAnsi="Times New Roman" w:cs="Times New Roman"/>
        </w:rPr>
        <w:t xml:space="preserve"> </w:t>
      </w:r>
      <w:r w:rsidRPr="007E7D73">
        <w:rPr>
          <w:rFonts w:ascii="Times New Roman" w:hAnsi="Times New Roman" w:cs="Times New Roman"/>
          <w:b/>
          <w:bCs/>
        </w:rPr>
        <w:t>87</w:t>
      </w:r>
      <w:r w:rsidRPr="007E7D73">
        <w:rPr>
          <w:rFonts w:ascii="Times New Roman" w:hAnsi="Times New Roman" w:cs="Times New Roman"/>
        </w:rPr>
        <w:t>, 4056–4064 (2004).</w:t>
      </w:r>
    </w:p>
    <w:p w14:paraId="3B4017A1"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13.</w:t>
      </w:r>
      <w:r w:rsidRPr="007E7D73">
        <w:rPr>
          <w:rFonts w:ascii="Times New Roman" w:hAnsi="Times New Roman" w:cs="Times New Roman"/>
        </w:rPr>
        <w:tab/>
        <w:t xml:space="preserve">Boze, H. </w:t>
      </w:r>
      <w:r w:rsidRPr="007E7D73">
        <w:rPr>
          <w:rFonts w:ascii="Times New Roman" w:hAnsi="Times New Roman" w:cs="Times New Roman"/>
          <w:i/>
          <w:iCs/>
        </w:rPr>
        <w:t>et al.</w:t>
      </w:r>
      <w:r w:rsidRPr="007E7D73">
        <w:rPr>
          <w:rFonts w:ascii="Times New Roman" w:hAnsi="Times New Roman" w:cs="Times New Roman"/>
        </w:rPr>
        <w:t xml:space="preserve"> Proline-Rich Salivary Proteins Have Extended Conformations. </w:t>
      </w:r>
      <w:r w:rsidRPr="007E7D73">
        <w:rPr>
          <w:rFonts w:ascii="Times New Roman" w:hAnsi="Times New Roman" w:cs="Times New Roman"/>
          <w:i/>
          <w:iCs/>
        </w:rPr>
        <w:t>Biophys. J.</w:t>
      </w:r>
      <w:r w:rsidRPr="007E7D73">
        <w:rPr>
          <w:rFonts w:ascii="Times New Roman" w:hAnsi="Times New Roman" w:cs="Times New Roman"/>
        </w:rPr>
        <w:t xml:space="preserve"> </w:t>
      </w:r>
      <w:r w:rsidRPr="007E7D73">
        <w:rPr>
          <w:rFonts w:ascii="Times New Roman" w:hAnsi="Times New Roman" w:cs="Times New Roman"/>
          <w:b/>
          <w:bCs/>
        </w:rPr>
        <w:t>99</w:t>
      </w:r>
      <w:r w:rsidRPr="007E7D73">
        <w:rPr>
          <w:rFonts w:ascii="Times New Roman" w:hAnsi="Times New Roman" w:cs="Times New Roman"/>
        </w:rPr>
        <w:t>, 656–665 (2010).</w:t>
      </w:r>
    </w:p>
    <w:p w14:paraId="24D75508"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14.</w:t>
      </w:r>
      <w:r w:rsidRPr="007E7D73">
        <w:rPr>
          <w:rFonts w:ascii="Times New Roman" w:hAnsi="Times New Roman" w:cs="Times New Roman"/>
        </w:rPr>
        <w:tab/>
        <w:t xml:space="preserve">Sterckx, Y. G. J. </w:t>
      </w:r>
      <w:r w:rsidRPr="007E7D73">
        <w:rPr>
          <w:rFonts w:ascii="Times New Roman" w:hAnsi="Times New Roman" w:cs="Times New Roman"/>
          <w:i/>
          <w:iCs/>
        </w:rPr>
        <w:t>et al.</w:t>
      </w:r>
      <w:r w:rsidRPr="007E7D73">
        <w:rPr>
          <w:rFonts w:ascii="Times New Roman" w:hAnsi="Times New Roman" w:cs="Times New Roman"/>
        </w:rPr>
        <w:t xml:space="preserve"> Small-Angle X-Ray Scattering- and Nuclear Magnetic Resonance-Derived Conformational Ensemble of the Highly Flexible Antitoxin PaaA2. </w:t>
      </w:r>
      <w:r w:rsidRPr="007E7D73">
        <w:rPr>
          <w:rFonts w:ascii="Times New Roman" w:hAnsi="Times New Roman" w:cs="Times New Roman"/>
          <w:i/>
          <w:iCs/>
        </w:rPr>
        <w:t>Structure</w:t>
      </w:r>
      <w:r w:rsidRPr="007E7D73">
        <w:rPr>
          <w:rFonts w:ascii="Times New Roman" w:hAnsi="Times New Roman" w:cs="Times New Roman"/>
        </w:rPr>
        <w:t xml:space="preserve"> </w:t>
      </w:r>
      <w:r w:rsidRPr="007E7D73">
        <w:rPr>
          <w:rFonts w:ascii="Times New Roman" w:hAnsi="Times New Roman" w:cs="Times New Roman"/>
          <w:b/>
          <w:bCs/>
        </w:rPr>
        <w:t>22</w:t>
      </w:r>
      <w:r w:rsidRPr="007E7D73">
        <w:rPr>
          <w:rFonts w:ascii="Times New Roman" w:hAnsi="Times New Roman" w:cs="Times New Roman"/>
        </w:rPr>
        <w:t>, 854–865 (2014).</w:t>
      </w:r>
    </w:p>
    <w:p w14:paraId="73E5C9B4"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15.</w:t>
      </w:r>
      <w:r w:rsidRPr="007E7D73">
        <w:rPr>
          <w:rFonts w:ascii="Times New Roman" w:hAnsi="Times New Roman" w:cs="Times New Roman"/>
        </w:rPr>
        <w:tab/>
        <w:t xml:space="preserve">Kjaergaard, M. </w:t>
      </w:r>
      <w:r w:rsidRPr="007E7D73">
        <w:rPr>
          <w:rFonts w:ascii="Times New Roman" w:hAnsi="Times New Roman" w:cs="Times New Roman"/>
          <w:i/>
          <w:iCs/>
        </w:rPr>
        <w:t>et al.</w:t>
      </w:r>
      <w:r w:rsidRPr="007E7D73">
        <w:rPr>
          <w:rFonts w:ascii="Times New Roman" w:hAnsi="Times New Roman" w:cs="Times New Roman"/>
        </w:rPr>
        <w:t xml:space="preserve"> Temperature-dependent structural changes in intrinsically disordered proteins: Formation of α‒helices or loss of polyproline II? </w:t>
      </w:r>
      <w:r w:rsidRPr="007E7D73">
        <w:rPr>
          <w:rFonts w:ascii="Times New Roman" w:hAnsi="Times New Roman" w:cs="Times New Roman"/>
          <w:i/>
          <w:iCs/>
        </w:rPr>
        <w:t>Protein Sci.</w:t>
      </w:r>
      <w:r w:rsidRPr="007E7D73">
        <w:rPr>
          <w:rFonts w:ascii="Times New Roman" w:hAnsi="Times New Roman" w:cs="Times New Roman"/>
        </w:rPr>
        <w:t xml:space="preserve"> </w:t>
      </w:r>
      <w:r w:rsidRPr="007E7D73">
        <w:rPr>
          <w:rFonts w:ascii="Times New Roman" w:hAnsi="Times New Roman" w:cs="Times New Roman"/>
          <w:b/>
          <w:bCs/>
        </w:rPr>
        <w:t>19</w:t>
      </w:r>
      <w:r w:rsidRPr="007E7D73">
        <w:rPr>
          <w:rFonts w:ascii="Times New Roman" w:hAnsi="Times New Roman" w:cs="Times New Roman"/>
        </w:rPr>
        <w:t>, 1555–1564 (2010).</w:t>
      </w:r>
    </w:p>
    <w:p w14:paraId="5177E843"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16.</w:t>
      </w:r>
      <w:r w:rsidRPr="007E7D73">
        <w:rPr>
          <w:rFonts w:ascii="Times New Roman" w:hAnsi="Times New Roman" w:cs="Times New Roman"/>
        </w:rPr>
        <w:tab/>
        <w:t xml:space="preserve">Iešmantavičius, V. </w:t>
      </w:r>
      <w:r w:rsidRPr="007E7D73">
        <w:rPr>
          <w:rFonts w:ascii="Times New Roman" w:hAnsi="Times New Roman" w:cs="Times New Roman"/>
          <w:i/>
          <w:iCs/>
        </w:rPr>
        <w:t>et al.</w:t>
      </w:r>
      <w:r w:rsidRPr="007E7D73">
        <w:rPr>
          <w:rFonts w:ascii="Times New Roman" w:hAnsi="Times New Roman" w:cs="Times New Roman"/>
        </w:rPr>
        <w:t xml:space="preserve"> Modulation of the Intrinsic Helix Propensity of an Intrinsically Disordered Protein Reveals Long-Range Helix–Helix Interactions. </w:t>
      </w:r>
      <w:r w:rsidRPr="007E7D73">
        <w:rPr>
          <w:rFonts w:ascii="Times New Roman" w:hAnsi="Times New Roman" w:cs="Times New Roman"/>
          <w:i/>
          <w:iCs/>
        </w:rPr>
        <w:t>J. Am. Chem. Soc.</w:t>
      </w:r>
      <w:r w:rsidRPr="007E7D73">
        <w:rPr>
          <w:rFonts w:ascii="Times New Roman" w:hAnsi="Times New Roman" w:cs="Times New Roman"/>
        </w:rPr>
        <w:t xml:space="preserve"> </w:t>
      </w:r>
      <w:r w:rsidRPr="007E7D73">
        <w:rPr>
          <w:rFonts w:ascii="Times New Roman" w:hAnsi="Times New Roman" w:cs="Times New Roman"/>
          <w:b/>
          <w:bCs/>
        </w:rPr>
        <w:t>135</w:t>
      </w:r>
      <w:r w:rsidRPr="007E7D73">
        <w:rPr>
          <w:rFonts w:ascii="Times New Roman" w:hAnsi="Times New Roman" w:cs="Times New Roman"/>
        </w:rPr>
        <w:t>, 10155–10163 (2013).</w:t>
      </w:r>
    </w:p>
    <w:p w14:paraId="00164582"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17.</w:t>
      </w:r>
      <w:r w:rsidRPr="007E7D73">
        <w:rPr>
          <w:rFonts w:ascii="Times New Roman" w:hAnsi="Times New Roman" w:cs="Times New Roman"/>
        </w:rPr>
        <w:tab/>
        <w:t xml:space="preserve">Choy, W.-Y. </w:t>
      </w:r>
      <w:r w:rsidRPr="007E7D73">
        <w:rPr>
          <w:rFonts w:ascii="Times New Roman" w:hAnsi="Times New Roman" w:cs="Times New Roman"/>
          <w:i/>
          <w:iCs/>
        </w:rPr>
        <w:t>et al.</w:t>
      </w:r>
      <w:r w:rsidRPr="007E7D73">
        <w:rPr>
          <w:rFonts w:ascii="Times New Roman" w:hAnsi="Times New Roman" w:cs="Times New Roman"/>
        </w:rPr>
        <w:t xml:space="preserve"> Distribution of molecular size within an unfolded state ensemble using small-angle X-ray scattering and pulse field gradient NMR techniques1. </w:t>
      </w:r>
      <w:r w:rsidRPr="007E7D73">
        <w:rPr>
          <w:rFonts w:ascii="Times New Roman" w:hAnsi="Times New Roman" w:cs="Times New Roman"/>
          <w:i/>
          <w:iCs/>
        </w:rPr>
        <w:t>J. Mol. Biol.</w:t>
      </w:r>
      <w:r w:rsidRPr="007E7D73">
        <w:rPr>
          <w:rFonts w:ascii="Times New Roman" w:hAnsi="Times New Roman" w:cs="Times New Roman"/>
        </w:rPr>
        <w:t xml:space="preserve"> </w:t>
      </w:r>
      <w:r w:rsidRPr="007E7D73">
        <w:rPr>
          <w:rFonts w:ascii="Times New Roman" w:hAnsi="Times New Roman" w:cs="Times New Roman"/>
          <w:b/>
          <w:bCs/>
        </w:rPr>
        <w:t>316</w:t>
      </w:r>
      <w:r w:rsidRPr="007E7D73">
        <w:rPr>
          <w:rFonts w:ascii="Times New Roman" w:hAnsi="Times New Roman" w:cs="Times New Roman"/>
        </w:rPr>
        <w:t>, 101–112 (2002).</w:t>
      </w:r>
    </w:p>
    <w:p w14:paraId="717546AB"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lastRenderedPageBreak/>
        <w:t>18.</w:t>
      </w:r>
      <w:r w:rsidRPr="007E7D73">
        <w:rPr>
          <w:rFonts w:ascii="Times New Roman" w:hAnsi="Times New Roman" w:cs="Times New Roman"/>
        </w:rPr>
        <w:tab/>
        <w:t xml:space="preserve">Lee, J. H. </w:t>
      </w:r>
      <w:r w:rsidRPr="007E7D73">
        <w:rPr>
          <w:rFonts w:ascii="Times New Roman" w:hAnsi="Times New Roman" w:cs="Times New Roman"/>
          <w:i/>
          <w:iCs/>
        </w:rPr>
        <w:t>et al.</w:t>
      </w:r>
      <w:r w:rsidRPr="007E7D73">
        <w:rPr>
          <w:rFonts w:ascii="Times New Roman" w:hAnsi="Times New Roman" w:cs="Times New Roman"/>
        </w:rPr>
        <w:t xml:space="preserve"> Heterogeneous binding of the SH3 client protein to the DnaK molecular chaperone. </w:t>
      </w:r>
      <w:r w:rsidRPr="007E7D73">
        <w:rPr>
          <w:rFonts w:ascii="Times New Roman" w:hAnsi="Times New Roman" w:cs="Times New Roman"/>
          <w:i/>
          <w:iCs/>
        </w:rPr>
        <w:t>Proc. Natl. Acad. Sci.</w:t>
      </w:r>
      <w:r w:rsidRPr="007E7D73">
        <w:rPr>
          <w:rFonts w:ascii="Times New Roman" w:hAnsi="Times New Roman" w:cs="Times New Roman"/>
        </w:rPr>
        <w:t xml:space="preserve"> </w:t>
      </w:r>
      <w:r w:rsidRPr="007E7D73">
        <w:rPr>
          <w:rFonts w:ascii="Times New Roman" w:hAnsi="Times New Roman" w:cs="Times New Roman"/>
          <w:b/>
          <w:bCs/>
        </w:rPr>
        <w:t>112</w:t>
      </w:r>
      <w:r w:rsidRPr="007E7D73">
        <w:rPr>
          <w:rFonts w:ascii="Times New Roman" w:hAnsi="Times New Roman" w:cs="Times New Roman"/>
        </w:rPr>
        <w:t>, E4206–E4215 (2015).</w:t>
      </w:r>
    </w:p>
    <w:p w14:paraId="3B25020A"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19.</w:t>
      </w:r>
      <w:r w:rsidRPr="007E7D73">
        <w:rPr>
          <w:rFonts w:ascii="Times New Roman" w:hAnsi="Times New Roman" w:cs="Times New Roman"/>
        </w:rPr>
        <w:tab/>
        <w:t xml:space="preserve">Ruskamo, S. </w:t>
      </w:r>
      <w:r w:rsidRPr="007E7D73">
        <w:rPr>
          <w:rFonts w:ascii="Times New Roman" w:hAnsi="Times New Roman" w:cs="Times New Roman"/>
          <w:i/>
          <w:iCs/>
        </w:rPr>
        <w:t>et al.</w:t>
      </w:r>
      <w:r w:rsidRPr="007E7D73">
        <w:rPr>
          <w:rFonts w:ascii="Times New Roman" w:hAnsi="Times New Roman" w:cs="Times New Roman"/>
        </w:rPr>
        <w:t xml:space="preserve"> Juxtanodin is an intrinsically disordered F-actin-binding protein. </w:t>
      </w:r>
      <w:r w:rsidRPr="007E7D73">
        <w:rPr>
          <w:rFonts w:ascii="Times New Roman" w:hAnsi="Times New Roman" w:cs="Times New Roman"/>
          <w:i/>
          <w:iCs/>
        </w:rPr>
        <w:t>Sci. Rep.</w:t>
      </w:r>
      <w:r w:rsidRPr="007E7D73">
        <w:rPr>
          <w:rFonts w:ascii="Times New Roman" w:hAnsi="Times New Roman" w:cs="Times New Roman"/>
        </w:rPr>
        <w:t xml:space="preserve"> </w:t>
      </w:r>
      <w:r w:rsidRPr="007E7D73">
        <w:rPr>
          <w:rFonts w:ascii="Times New Roman" w:hAnsi="Times New Roman" w:cs="Times New Roman"/>
          <w:b/>
          <w:bCs/>
        </w:rPr>
        <w:t>2</w:t>
      </w:r>
      <w:r w:rsidRPr="007E7D73">
        <w:rPr>
          <w:rFonts w:ascii="Times New Roman" w:hAnsi="Times New Roman" w:cs="Times New Roman"/>
        </w:rPr>
        <w:t>, 899 (2012).</w:t>
      </w:r>
    </w:p>
    <w:p w14:paraId="15CBFAC0"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20.</w:t>
      </w:r>
      <w:r w:rsidRPr="007E7D73">
        <w:rPr>
          <w:rFonts w:ascii="Times New Roman" w:hAnsi="Times New Roman" w:cs="Times New Roman"/>
        </w:rPr>
        <w:tab/>
        <w:t xml:space="preserve">Morar, A. S., Olteanu, A., Young, G. B. &amp; Pielak, G. J. Solvent-induced collapse of α-synuclein and acid-denatured cytochrome c. </w:t>
      </w:r>
      <w:r w:rsidRPr="007E7D73">
        <w:rPr>
          <w:rFonts w:ascii="Times New Roman" w:hAnsi="Times New Roman" w:cs="Times New Roman"/>
          <w:i/>
          <w:iCs/>
        </w:rPr>
        <w:t>Protein Sci.</w:t>
      </w:r>
      <w:r w:rsidRPr="007E7D73">
        <w:rPr>
          <w:rFonts w:ascii="Times New Roman" w:hAnsi="Times New Roman" w:cs="Times New Roman"/>
        </w:rPr>
        <w:t xml:space="preserve"> </w:t>
      </w:r>
      <w:r w:rsidRPr="007E7D73">
        <w:rPr>
          <w:rFonts w:ascii="Times New Roman" w:hAnsi="Times New Roman" w:cs="Times New Roman"/>
          <w:b/>
          <w:bCs/>
        </w:rPr>
        <w:t>10</w:t>
      </w:r>
      <w:r w:rsidRPr="007E7D73">
        <w:rPr>
          <w:rFonts w:ascii="Times New Roman" w:hAnsi="Times New Roman" w:cs="Times New Roman"/>
        </w:rPr>
        <w:t>, 2195–2199 (2001).</w:t>
      </w:r>
    </w:p>
    <w:p w14:paraId="4D5F454E"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21.</w:t>
      </w:r>
      <w:r w:rsidRPr="007E7D73">
        <w:rPr>
          <w:rFonts w:ascii="Times New Roman" w:hAnsi="Times New Roman" w:cs="Times New Roman"/>
        </w:rPr>
        <w:tab/>
        <w:t xml:space="preserve">Ebert, M.-O., Bae, S.-H., Dyson, H. J. &amp; Wright, P. E. NMR Relaxation Study of the Complex Formed Between CBP and the Activation Domain of the Nuclear Hormone Receptor Coactivator ACTR†. </w:t>
      </w:r>
      <w:r w:rsidRPr="007E7D73">
        <w:rPr>
          <w:rFonts w:ascii="Times New Roman" w:hAnsi="Times New Roman" w:cs="Times New Roman"/>
          <w:i/>
          <w:iCs/>
        </w:rPr>
        <w:t>Biochemistry</w:t>
      </w:r>
      <w:r w:rsidRPr="007E7D73">
        <w:rPr>
          <w:rFonts w:ascii="Times New Roman" w:hAnsi="Times New Roman" w:cs="Times New Roman"/>
        </w:rPr>
        <w:t xml:space="preserve"> </w:t>
      </w:r>
      <w:r w:rsidRPr="007E7D73">
        <w:rPr>
          <w:rFonts w:ascii="Times New Roman" w:hAnsi="Times New Roman" w:cs="Times New Roman"/>
          <w:b/>
          <w:bCs/>
        </w:rPr>
        <w:t>47</w:t>
      </w:r>
      <w:r w:rsidRPr="007E7D73">
        <w:rPr>
          <w:rFonts w:ascii="Times New Roman" w:hAnsi="Times New Roman" w:cs="Times New Roman"/>
        </w:rPr>
        <w:t>, 1299–1308 (2008).</w:t>
      </w:r>
    </w:p>
    <w:p w14:paraId="5AF2ABF5"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22.</w:t>
      </w:r>
      <w:r w:rsidRPr="007E7D73">
        <w:rPr>
          <w:rFonts w:ascii="Times New Roman" w:hAnsi="Times New Roman" w:cs="Times New Roman"/>
        </w:rPr>
        <w:tab/>
        <w:t xml:space="preserve">Uversky, V. N. </w:t>
      </w:r>
      <w:r w:rsidRPr="007E7D73">
        <w:rPr>
          <w:rFonts w:ascii="Times New Roman" w:hAnsi="Times New Roman" w:cs="Times New Roman"/>
          <w:i/>
          <w:iCs/>
        </w:rPr>
        <w:t>et al.</w:t>
      </w:r>
      <w:r w:rsidRPr="007E7D73">
        <w:rPr>
          <w:rFonts w:ascii="Times New Roman" w:hAnsi="Times New Roman" w:cs="Times New Roman"/>
        </w:rPr>
        <w:t xml:space="preserve"> Biophysical Properties of the Synucleins and Their Propensities to Fibrillate: INHIBITION OF α-SYNUCLEIN ASSEMBLY BY β- AND γ-SYNUCLEINS*. </w:t>
      </w:r>
      <w:r w:rsidRPr="007E7D73">
        <w:rPr>
          <w:rFonts w:ascii="Times New Roman" w:hAnsi="Times New Roman" w:cs="Times New Roman"/>
          <w:i/>
          <w:iCs/>
        </w:rPr>
        <w:t>J. Biol. Chem.</w:t>
      </w:r>
      <w:r w:rsidRPr="007E7D73">
        <w:rPr>
          <w:rFonts w:ascii="Times New Roman" w:hAnsi="Times New Roman" w:cs="Times New Roman"/>
        </w:rPr>
        <w:t xml:space="preserve"> </w:t>
      </w:r>
      <w:r w:rsidRPr="007E7D73">
        <w:rPr>
          <w:rFonts w:ascii="Times New Roman" w:hAnsi="Times New Roman" w:cs="Times New Roman"/>
          <w:b/>
          <w:bCs/>
        </w:rPr>
        <w:t>277</w:t>
      </w:r>
      <w:r w:rsidRPr="007E7D73">
        <w:rPr>
          <w:rFonts w:ascii="Times New Roman" w:hAnsi="Times New Roman" w:cs="Times New Roman"/>
        </w:rPr>
        <w:t>, 11970–11978 (2002).</w:t>
      </w:r>
    </w:p>
    <w:p w14:paraId="2ABBC20D"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23.</w:t>
      </w:r>
      <w:r w:rsidRPr="007E7D73">
        <w:rPr>
          <w:rFonts w:ascii="Times New Roman" w:hAnsi="Times New Roman" w:cs="Times New Roman"/>
        </w:rPr>
        <w:tab/>
        <w:t xml:space="preserve">Mylonas, E. </w:t>
      </w:r>
      <w:r w:rsidRPr="007E7D73">
        <w:rPr>
          <w:rFonts w:ascii="Times New Roman" w:hAnsi="Times New Roman" w:cs="Times New Roman"/>
          <w:i/>
          <w:iCs/>
        </w:rPr>
        <w:t>et al.</w:t>
      </w:r>
      <w:r w:rsidRPr="007E7D73">
        <w:rPr>
          <w:rFonts w:ascii="Times New Roman" w:hAnsi="Times New Roman" w:cs="Times New Roman"/>
        </w:rPr>
        <w:t xml:space="preserve"> Domain Conformation of Tau Protein Studied by Solution Small-Angle X-ray Scattering. </w:t>
      </w:r>
      <w:r w:rsidRPr="007E7D73">
        <w:rPr>
          <w:rFonts w:ascii="Times New Roman" w:hAnsi="Times New Roman" w:cs="Times New Roman"/>
          <w:i/>
          <w:iCs/>
        </w:rPr>
        <w:t>Biochemistry</w:t>
      </w:r>
      <w:r w:rsidRPr="007E7D73">
        <w:rPr>
          <w:rFonts w:ascii="Times New Roman" w:hAnsi="Times New Roman" w:cs="Times New Roman"/>
        </w:rPr>
        <w:t xml:space="preserve"> </w:t>
      </w:r>
      <w:r w:rsidRPr="007E7D73">
        <w:rPr>
          <w:rFonts w:ascii="Times New Roman" w:hAnsi="Times New Roman" w:cs="Times New Roman"/>
          <w:b/>
          <w:bCs/>
        </w:rPr>
        <w:t>47</w:t>
      </w:r>
      <w:r w:rsidRPr="007E7D73">
        <w:rPr>
          <w:rFonts w:ascii="Times New Roman" w:hAnsi="Times New Roman" w:cs="Times New Roman"/>
        </w:rPr>
        <w:t>, 10345–10353 (2008).</w:t>
      </w:r>
    </w:p>
    <w:p w14:paraId="001043B8"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24.</w:t>
      </w:r>
      <w:r w:rsidRPr="007E7D73">
        <w:rPr>
          <w:rFonts w:ascii="Times New Roman" w:hAnsi="Times New Roman" w:cs="Times New Roman"/>
        </w:rPr>
        <w:tab/>
        <w:t xml:space="preserve">Uversky, V. N. </w:t>
      </w:r>
      <w:r w:rsidRPr="007E7D73">
        <w:rPr>
          <w:rFonts w:ascii="Times New Roman" w:hAnsi="Times New Roman" w:cs="Times New Roman"/>
          <w:i/>
          <w:iCs/>
        </w:rPr>
        <w:t>et al.</w:t>
      </w:r>
      <w:r w:rsidRPr="007E7D73">
        <w:rPr>
          <w:rFonts w:ascii="Times New Roman" w:hAnsi="Times New Roman" w:cs="Times New Roman"/>
        </w:rPr>
        <w:t xml:space="preserve"> Natively Unfolded Human Prothymosin α Adopts Partially Folded Collapsed Conformation at Acidic pH. </w:t>
      </w:r>
      <w:r w:rsidRPr="007E7D73">
        <w:rPr>
          <w:rFonts w:ascii="Times New Roman" w:hAnsi="Times New Roman" w:cs="Times New Roman"/>
          <w:i/>
          <w:iCs/>
        </w:rPr>
        <w:t>Biochemistry</w:t>
      </w:r>
      <w:r w:rsidRPr="007E7D73">
        <w:rPr>
          <w:rFonts w:ascii="Times New Roman" w:hAnsi="Times New Roman" w:cs="Times New Roman"/>
        </w:rPr>
        <w:t xml:space="preserve"> </w:t>
      </w:r>
      <w:r w:rsidRPr="007E7D73">
        <w:rPr>
          <w:rFonts w:ascii="Times New Roman" w:hAnsi="Times New Roman" w:cs="Times New Roman"/>
          <w:b/>
          <w:bCs/>
        </w:rPr>
        <w:t>38</w:t>
      </w:r>
      <w:r w:rsidRPr="007E7D73">
        <w:rPr>
          <w:rFonts w:ascii="Times New Roman" w:hAnsi="Times New Roman" w:cs="Times New Roman"/>
        </w:rPr>
        <w:t>, 15009–15016 (1999).</w:t>
      </w:r>
    </w:p>
    <w:p w14:paraId="0B0298E7"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25.</w:t>
      </w:r>
      <w:r w:rsidRPr="007E7D73">
        <w:rPr>
          <w:rFonts w:ascii="Times New Roman" w:hAnsi="Times New Roman" w:cs="Times New Roman"/>
        </w:rPr>
        <w:tab/>
        <w:t xml:space="preserve">Wells, M. </w:t>
      </w:r>
      <w:r w:rsidRPr="007E7D73">
        <w:rPr>
          <w:rFonts w:ascii="Times New Roman" w:hAnsi="Times New Roman" w:cs="Times New Roman"/>
          <w:i/>
          <w:iCs/>
        </w:rPr>
        <w:t>et al.</w:t>
      </w:r>
      <w:r w:rsidRPr="007E7D73">
        <w:rPr>
          <w:rFonts w:ascii="Times New Roman" w:hAnsi="Times New Roman" w:cs="Times New Roman"/>
        </w:rPr>
        <w:t xml:space="preserve"> Structure of tumor suppressor p53 and its intrinsically disordered N-terminal transactivation domain. </w:t>
      </w:r>
      <w:r w:rsidRPr="007E7D73">
        <w:rPr>
          <w:rFonts w:ascii="Times New Roman" w:hAnsi="Times New Roman" w:cs="Times New Roman"/>
          <w:i/>
          <w:iCs/>
        </w:rPr>
        <w:t>Proc. Natl. Acad. Sci.</w:t>
      </w:r>
      <w:r w:rsidRPr="007E7D73">
        <w:rPr>
          <w:rFonts w:ascii="Times New Roman" w:hAnsi="Times New Roman" w:cs="Times New Roman"/>
        </w:rPr>
        <w:t xml:space="preserve"> </w:t>
      </w:r>
      <w:r w:rsidRPr="007E7D73">
        <w:rPr>
          <w:rFonts w:ascii="Times New Roman" w:hAnsi="Times New Roman" w:cs="Times New Roman"/>
          <w:b/>
          <w:bCs/>
        </w:rPr>
        <w:t>105</w:t>
      </w:r>
      <w:r w:rsidRPr="007E7D73">
        <w:rPr>
          <w:rFonts w:ascii="Times New Roman" w:hAnsi="Times New Roman" w:cs="Times New Roman"/>
        </w:rPr>
        <w:t>, 5762–5767 (2008).</w:t>
      </w:r>
    </w:p>
    <w:p w14:paraId="7DB08C17"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26.</w:t>
      </w:r>
      <w:r w:rsidRPr="007E7D73">
        <w:rPr>
          <w:rFonts w:ascii="Times New Roman" w:hAnsi="Times New Roman" w:cs="Times New Roman"/>
        </w:rPr>
        <w:tab/>
        <w:t xml:space="preserve">Borysik, A. J., Kovacs, D., Guharoy, M. &amp; Tompa, P. Ensemble Methods Enable a New Definition for the Solution to Gas-Phase Transfer of Intrinsically Disordered Proteins. </w:t>
      </w:r>
      <w:r w:rsidRPr="007E7D73">
        <w:rPr>
          <w:rFonts w:ascii="Times New Roman" w:hAnsi="Times New Roman" w:cs="Times New Roman"/>
          <w:i/>
          <w:iCs/>
        </w:rPr>
        <w:t>J. Am. Chem. Soc.</w:t>
      </w:r>
      <w:r w:rsidRPr="007E7D73">
        <w:rPr>
          <w:rFonts w:ascii="Times New Roman" w:hAnsi="Times New Roman" w:cs="Times New Roman"/>
        </w:rPr>
        <w:t xml:space="preserve"> </w:t>
      </w:r>
      <w:r w:rsidRPr="007E7D73">
        <w:rPr>
          <w:rFonts w:ascii="Times New Roman" w:hAnsi="Times New Roman" w:cs="Times New Roman"/>
          <w:b/>
          <w:bCs/>
        </w:rPr>
        <w:t>137</w:t>
      </w:r>
      <w:r w:rsidRPr="007E7D73">
        <w:rPr>
          <w:rFonts w:ascii="Times New Roman" w:hAnsi="Times New Roman" w:cs="Times New Roman"/>
        </w:rPr>
        <w:t>, 13807–13817 (2015).</w:t>
      </w:r>
    </w:p>
    <w:p w14:paraId="78FB425C"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27.</w:t>
      </w:r>
      <w:r w:rsidRPr="007E7D73">
        <w:rPr>
          <w:rFonts w:ascii="Times New Roman" w:hAnsi="Times New Roman" w:cs="Times New Roman"/>
        </w:rPr>
        <w:tab/>
        <w:t xml:space="preserve">Chukhlieb, M., Raasakka, A., Ruskamo, S. &amp; Kursula, P. The N-terminal cytoplasmic domain of neuregulin 1 type III is intrinsically disordered. </w:t>
      </w:r>
      <w:r w:rsidRPr="007E7D73">
        <w:rPr>
          <w:rFonts w:ascii="Times New Roman" w:hAnsi="Times New Roman" w:cs="Times New Roman"/>
          <w:i/>
          <w:iCs/>
        </w:rPr>
        <w:t>Amino Acids</w:t>
      </w:r>
      <w:r w:rsidRPr="007E7D73">
        <w:rPr>
          <w:rFonts w:ascii="Times New Roman" w:hAnsi="Times New Roman" w:cs="Times New Roman"/>
        </w:rPr>
        <w:t xml:space="preserve"> </w:t>
      </w:r>
      <w:r w:rsidRPr="007E7D73">
        <w:rPr>
          <w:rFonts w:ascii="Times New Roman" w:hAnsi="Times New Roman" w:cs="Times New Roman"/>
          <w:b/>
          <w:bCs/>
        </w:rPr>
        <w:t>47</w:t>
      </w:r>
      <w:r w:rsidRPr="007E7D73">
        <w:rPr>
          <w:rFonts w:ascii="Times New Roman" w:hAnsi="Times New Roman" w:cs="Times New Roman"/>
        </w:rPr>
        <w:t>, 1567–1577 (2015).</w:t>
      </w:r>
    </w:p>
    <w:p w14:paraId="5A2DC2B9"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28.</w:t>
      </w:r>
      <w:r w:rsidRPr="007E7D73">
        <w:rPr>
          <w:rFonts w:ascii="Times New Roman" w:hAnsi="Times New Roman" w:cs="Times New Roman"/>
        </w:rPr>
        <w:tab/>
        <w:t xml:space="preserve">Leyrat, C. </w:t>
      </w:r>
      <w:r w:rsidRPr="007E7D73">
        <w:rPr>
          <w:rFonts w:ascii="Times New Roman" w:hAnsi="Times New Roman" w:cs="Times New Roman"/>
          <w:i/>
          <w:iCs/>
        </w:rPr>
        <w:t>et al.</w:t>
      </w:r>
      <w:r w:rsidRPr="007E7D73">
        <w:rPr>
          <w:rFonts w:ascii="Times New Roman" w:hAnsi="Times New Roman" w:cs="Times New Roman"/>
        </w:rPr>
        <w:t xml:space="preserve"> The N0-binding region of the vesicular stomatitis virus phosphoprotein is globally disordered but contains transient α-helices. </w:t>
      </w:r>
      <w:r w:rsidRPr="007E7D73">
        <w:rPr>
          <w:rFonts w:ascii="Times New Roman" w:hAnsi="Times New Roman" w:cs="Times New Roman"/>
          <w:i/>
          <w:iCs/>
        </w:rPr>
        <w:t>Protein Sci.</w:t>
      </w:r>
      <w:r w:rsidRPr="007E7D73">
        <w:rPr>
          <w:rFonts w:ascii="Times New Roman" w:hAnsi="Times New Roman" w:cs="Times New Roman"/>
        </w:rPr>
        <w:t xml:space="preserve"> </w:t>
      </w:r>
      <w:r w:rsidRPr="007E7D73">
        <w:rPr>
          <w:rFonts w:ascii="Times New Roman" w:hAnsi="Times New Roman" w:cs="Times New Roman"/>
          <w:b/>
          <w:bCs/>
        </w:rPr>
        <w:t>20</w:t>
      </w:r>
      <w:r w:rsidRPr="007E7D73">
        <w:rPr>
          <w:rFonts w:ascii="Times New Roman" w:hAnsi="Times New Roman" w:cs="Times New Roman"/>
        </w:rPr>
        <w:t>, 542–556 (2011).</w:t>
      </w:r>
    </w:p>
    <w:p w14:paraId="2894246D"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29.</w:t>
      </w:r>
      <w:r w:rsidRPr="007E7D73">
        <w:rPr>
          <w:rFonts w:ascii="Times New Roman" w:hAnsi="Times New Roman" w:cs="Times New Roman"/>
        </w:rPr>
        <w:tab/>
        <w:t xml:space="preserve">Kung, C. C.-H. </w:t>
      </w:r>
      <w:r w:rsidRPr="007E7D73">
        <w:rPr>
          <w:rFonts w:ascii="Times New Roman" w:hAnsi="Times New Roman" w:cs="Times New Roman"/>
          <w:i/>
          <w:iCs/>
        </w:rPr>
        <w:t>et al.</w:t>
      </w:r>
      <w:r w:rsidRPr="007E7D73">
        <w:rPr>
          <w:rFonts w:ascii="Times New Roman" w:hAnsi="Times New Roman" w:cs="Times New Roman"/>
        </w:rPr>
        <w:t xml:space="preserve"> Structural analysis of poly-SUMO chain recognition by the RNF4-SIMs domain. </w:t>
      </w:r>
      <w:r w:rsidRPr="007E7D73">
        <w:rPr>
          <w:rFonts w:ascii="Times New Roman" w:hAnsi="Times New Roman" w:cs="Times New Roman"/>
          <w:i/>
          <w:iCs/>
        </w:rPr>
        <w:t>Biochem. J.</w:t>
      </w:r>
      <w:r w:rsidRPr="007E7D73">
        <w:rPr>
          <w:rFonts w:ascii="Times New Roman" w:hAnsi="Times New Roman" w:cs="Times New Roman"/>
        </w:rPr>
        <w:t xml:space="preserve"> </w:t>
      </w:r>
      <w:r w:rsidRPr="007E7D73">
        <w:rPr>
          <w:rFonts w:ascii="Times New Roman" w:hAnsi="Times New Roman" w:cs="Times New Roman"/>
          <w:b/>
          <w:bCs/>
        </w:rPr>
        <w:t>462</w:t>
      </w:r>
      <w:r w:rsidRPr="007E7D73">
        <w:rPr>
          <w:rFonts w:ascii="Times New Roman" w:hAnsi="Times New Roman" w:cs="Times New Roman"/>
        </w:rPr>
        <w:t>, 53–65 (2014).</w:t>
      </w:r>
    </w:p>
    <w:p w14:paraId="56462EAE" w14:textId="77777777" w:rsidR="006C6FD8" w:rsidRPr="007E7D73" w:rsidRDefault="006C6FD8" w:rsidP="00D51830">
      <w:pPr>
        <w:pStyle w:val="a8"/>
        <w:spacing w:line="240" w:lineRule="auto"/>
        <w:rPr>
          <w:rFonts w:ascii="Times New Roman" w:hAnsi="Times New Roman" w:cs="Times New Roman"/>
        </w:rPr>
      </w:pPr>
      <w:r w:rsidRPr="007E7D73">
        <w:rPr>
          <w:rFonts w:ascii="Times New Roman" w:hAnsi="Times New Roman" w:cs="Times New Roman"/>
        </w:rPr>
        <w:t>30.</w:t>
      </w:r>
      <w:r w:rsidRPr="007E7D73">
        <w:rPr>
          <w:rFonts w:ascii="Times New Roman" w:hAnsi="Times New Roman" w:cs="Times New Roman"/>
        </w:rPr>
        <w:tab/>
        <w:t xml:space="preserve">Hunter, J. C. </w:t>
      </w:r>
      <w:r w:rsidRPr="007E7D73">
        <w:rPr>
          <w:rFonts w:ascii="Times New Roman" w:hAnsi="Times New Roman" w:cs="Times New Roman"/>
          <w:i/>
          <w:iCs/>
        </w:rPr>
        <w:t>et al.</w:t>
      </w:r>
      <w:r w:rsidRPr="007E7D73">
        <w:rPr>
          <w:rFonts w:ascii="Times New Roman" w:hAnsi="Times New Roman" w:cs="Times New Roman"/>
        </w:rPr>
        <w:t xml:space="preserve"> In situ selectivity profiling and crystal structure of SML-8-73-1, an active site inhibitor of oncogenic K-Ras G12C. </w:t>
      </w:r>
      <w:r w:rsidRPr="007E7D73">
        <w:rPr>
          <w:rFonts w:ascii="Times New Roman" w:hAnsi="Times New Roman" w:cs="Times New Roman"/>
          <w:i/>
          <w:iCs/>
        </w:rPr>
        <w:t>Proc. Natl. Acad. Sci. U. S. A.</w:t>
      </w:r>
      <w:r w:rsidRPr="007E7D73">
        <w:rPr>
          <w:rFonts w:ascii="Times New Roman" w:hAnsi="Times New Roman" w:cs="Times New Roman"/>
        </w:rPr>
        <w:t xml:space="preserve"> </w:t>
      </w:r>
      <w:r w:rsidRPr="007E7D73">
        <w:rPr>
          <w:rFonts w:ascii="Times New Roman" w:hAnsi="Times New Roman" w:cs="Times New Roman"/>
          <w:b/>
          <w:bCs/>
        </w:rPr>
        <w:t>111</w:t>
      </w:r>
      <w:r w:rsidRPr="007E7D73">
        <w:rPr>
          <w:rFonts w:ascii="Times New Roman" w:hAnsi="Times New Roman" w:cs="Times New Roman"/>
        </w:rPr>
        <w:t>, 8895–8900 (2014).</w:t>
      </w:r>
    </w:p>
    <w:p w14:paraId="320D717B" w14:textId="2DF9449F" w:rsidR="00C363DB" w:rsidRPr="007E7D73" w:rsidRDefault="00C363DB" w:rsidP="00D51830">
      <w:pPr>
        <w:rPr>
          <w:rFonts w:ascii="Times New Roman" w:hAnsi="Times New Roman" w:cs="Times New Roman"/>
        </w:rPr>
      </w:pPr>
      <w:r w:rsidRPr="007E7D73">
        <w:rPr>
          <w:rFonts w:ascii="Times New Roman" w:hAnsi="Times New Roman" w:cs="Times New Roman"/>
        </w:rPr>
        <w:fldChar w:fldCharType="end"/>
      </w:r>
    </w:p>
    <w:sectPr w:rsidR="00C363DB" w:rsidRPr="007E7D73">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B0C23" w14:textId="77777777" w:rsidR="00A93DA8" w:rsidRDefault="00A93DA8" w:rsidP="002520CC">
      <w:r>
        <w:separator/>
      </w:r>
    </w:p>
  </w:endnote>
  <w:endnote w:type="continuationSeparator" w:id="0">
    <w:p w14:paraId="6312F6D9" w14:textId="77777777" w:rsidR="00A93DA8" w:rsidRDefault="00A93DA8" w:rsidP="00252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dvOT0c200bf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612993"/>
      <w:docPartObj>
        <w:docPartGallery w:val="Page Numbers (Bottom of Page)"/>
        <w:docPartUnique/>
      </w:docPartObj>
    </w:sdtPr>
    <w:sdtEndPr/>
    <w:sdtContent>
      <w:p w14:paraId="5248DD8C" w14:textId="4659416A" w:rsidR="00710222" w:rsidRDefault="00710222">
        <w:pPr>
          <w:pStyle w:val="a5"/>
          <w:jc w:val="right"/>
        </w:pPr>
        <w:r>
          <w:fldChar w:fldCharType="begin"/>
        </w:r>
        <w:r>
          <w:instrText>PAGE   \* MERGEFORMAT</w:instrText>
        </w:r>
        <w:r>
          <w:fldChar w:fldCharType="separate"/>
        </w:r>
        <w:r>
          <w:rPr>
            <w:lang w:val="zh-CN"/>
          </w:rPr>
          <w:t>2</w:t>
        </w:r>
        <w:r>
          <w:fldChar w:fldCharType="end"/>
        </w:r>
      </w:p>
    </w:sdtContent>
  </w:sdt>
  <w:p w14:paraId="467A3B4E" w14:textId="77777777" w:rsidR="00710222" w:rsidRDefault="007102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ED1DF" w14:textId="77777777" w:rsidR="00A93DA8" w:rsidRDefault="00A93DA8" w:rsidP="002520CC">
      <w:r>
        <w:separator/>
      </w:r>
    </w:p>
  </w:footnote>
  <w:footnote w:type="continuationSeparator" w:id="0">
    <w:p w14:paraId="5A97AF6D" w14:textId="77777777" w:rsidR="00A93DA8" w:rsidRDefault="00A93DA8" w:rsidP="002520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09"/>
    <w:rsid w:val="00002507"/>
    <w:rsid w:val="000128A0"/>
    <w:rsid w:val="00014873"/>
    <w:rsid w:val="000540CC"/>
    <w:rsid w:val="000C74CB"/>
    <w:rsid w:val="00106264"/>
    <w:rsid w:val="00134BB6"/>
    <w:rsid w:val="00183C39"/>
    <w:rsid w:val="001E0507"/>
    <w:rsid w:val="002520CC"/>
    <w:rsid w:val="00252793"/>
    <w:rsid w:val="00261B3F"/>
    <w:rsid w:val="00286ABC"/>
    <w:rsid w:val="00296CBE"/>
    <w:rsid w:val="002B1FCE"/>
    <w:rsid w:val="002B6770"/>
    <w:rsid w:val="002D73E1"/>
    <w:rsid w:val="003223C8"/>
    <w:rsid w:val="00330F9E"/>
    <w:rsid w:val="003A3E41"/>
    <w:rsid w:val="003B2AD6"/>
    <w:rsid w:val="00410C16"/>
    <w:rsid w:val="00416BB7"/>
    <w:rsid w:val="00446A71"/>
    <w:rsid w:val="00471C75"/>
    <w:rsid w:val="00487502"/>
    <w:rsid w:val="004978BF"/>
    <w:rsid w:val="004A2C87"/>
    <w:rsid w:val="00500730"/>
    <w:rsid w:val="0051438A"/>
    <w:rsid w:val="005538C3"/>
    <w:rsid w:val="0056265C"/>
    <w:rsid w:val="005916BF"/>
    <w:rsid w:val="005A75DC"/>
    <w:rsid w:val="005B7B5D"/>
    <w:rsid w:val="005C1BA1"/>
    <w:rsid w:val="005E7B93"/>
    <w:rsid w:val="005F1E66"/>
    <w:rsid w:val="00606E28"/>
    <w:rsid w:val="00607D14"/>
    <w:rsid w:val="00635905"/>
    <w:rsid w:val="006600A1"/>
    <w:rsid w:val="00687545"/>
    <w:rsid w:val="006C6FD8"/>
    <w:rsid w:val="006F1E7B"/>
    <w:rsid w:val="00704B97"/>
    <w:rsid w:val="00710222"/>
    <w:rsid w:val="00731FA1"/>
    <w:rsid w:val="0073234B"/>
    <w:rsid w:val="007553F9"/>
    <w:rsid w:val="007A03F7"/>
    <w:rsid w:val="007E6F91"/>
    <w:rsid w:val="007E7D73"/>
    <w:rsid w:val="00821F55"/>
    <w:rsid w:val="00834089"/>
    <w:rsid w:val="00863CD0"/>
    <w:rsid w:val="00874909"/>
    <w:rsid w:val="008840A2"/>
    <w:rsid w:val="009A1E8E"/>
    <w:rsid w:val="009D3E90"/>
    <w:rsid w:val="009D62CB"/>
    <w:rsid w:val="009F17A4"/>
    <w:rsid w:val="00A0588C"/>
    <w:rsid w:val="00A93DA8"/>
    <w:rsid w:val="00AD2B55"/>
    <w:rsid w:val="00B05B0C"/>
    <w:rsid w:val="00B247DB"/>
    <w:rsid w:val="00B35271"/>
    <w:rsid w:val="00B404E6"/>
    <w:rsid w:val="00BC24CB"/>
    <w:rsid w:val="00C14C35"/>
    <w:rsid w:val="00C363DB"/>
    <w:rsid w:val="00C36D74"/>
    <w:rsid w:val="00C938B6"/>
    <w:rsid w:val="00CA0822"/>
    <w:rsid w:val="00CC000A"/>
    <w:rsid w:val="00D15062"/>
    <w:rsid w:val="00D32C7F"/>
    <w:rsid w:val="00D51830"/>
    <w:rsid w:val="00D562D9"/>
    <w:rsid w:val="00DA7371"/>
    <w:rsid w:val="00DC26CA"/>
    <w:rsid w:val="00E33712"/>
    <w:rsid w:val="00EB1E3D"/>
    <w:rsid w:val="00EE5D8F"/>
    <w:rsid w:val="00F24AC7"/>
    <w:rsid w:val="00F326F5"/>
    <w:rsid w:val="00F337A0"/>
    <w:rsid w:val="00F45461"/>
    <w:rsid w:val="00F87424"/>
    <w:rsid w:val="00FA306D"/>
    <w:rsid w:val="00FA3219"/>
    <w:rsid w:val="00FB0165"/>
    <w:rsid w:val="00FE3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C1024"/>
  <w15:chartTrackingRefBased/>
  <w15:docId w15:val="{4DD86514-740F-4CBE-A36B-C4F1C011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363D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3527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352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20CC"/>
    <w:pPr>
      <w:tabs>
        <w:tab w:val="center" w:pos="4153"/>
        <w:tab w:val="right" w:pos="8306"/>
      </w:tabs>
      <w:snapToGrid w:val="0"/>
      <w:jc w:val="center"/>
    </w:pPr>
    <w:rPr>
      <w:sz w:val="18"/>
      <w:szCs w:val="18"/>
    </w:rPr>
  </w:style>
  <w:style w:type="character" w:customStyle="1" w:styleId="a4">
    <w:name w:val="页眉 字符"/>
    <w:basedOn w:val="a0"/>
    <w:link w:val="a3"/>
    <w:uiPriority w:val="99"/>
    <w:rsid w:val="002520CC"/>
    <w:rPr>
      <w:sz w:val="18"/>
      <w:szCs w:val="18"/>
    </w:rPr>
  </w:style>
  <w:style w:type="paragraph" w:styleId="a5">
    <w:name w:val="footer"/>
    <w:basedOn w:val="a"/>
    <w:link w:val="a6"/>
    <w:uiPriority w:val="99"/>
    <w:unhideWhenUsed/>
    <w:rsid w:val="002520CC"/>
    <w:pPr>
      <w:tabs>
        <w:tab w:val="center" w:pos="4153"/>
        <w:tab w:val="right" w:pos="8306"/>
      </w:tabs>
      <w:snapToGrid w:val="0"/>
      <w:jc w:val="left"/>
    </w:pPr>
    <w:rPr>
      <w:sz w:val="18"/>
      <w:szCs w:val="18"/>
    </w:rPr>
  </w:style>
  <w:style w:type="character" w:customStyle="1" w:styleId="a6">
    <w:name w:val="页脚 字符"/>
    <w:basedOn w:val="a0"/>
    <w:link w:val="a5"/>
    <w:uiPriority w:val="99"/>
    <w:rsid w:val="002520CC"/>
    <w:rPr>
      <w:sz w:val="18"/>
      <w:szCs w:val="18"/>
    </w:rPr>
  </w:style>
  <w:style w:type="table" w:styleId="a7">
    <w:name w:val="Table Grid"/>
    <w:basedOn w:val="a1"/>
    <w:uiPriority w:val="39"/>
    <w:rsid w:val="00252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C363DB"/>
    <w:rPr>
      <w:b/>
      <w:bCs/>
      <w:kern w:val="44"/>
      <w:sz w:val="44"/>
      <w:szCs w:val="44"/>
    </w:rPr>
  </w:style>
  <w:style w:type="paragraph" w:styleId="a8">
    <w:name w:val="Bibliography"/>
    <w:basedOn w:val="a"/>
    <w:next w:val="a"/>
    <w:uiPriority w:val="37"/>
    <w:unhideWhenUsed/>
    <w:rsid w:val="00C363DB"/>
    <w:pPr>
      <w:tabs>
        <w:tab w:val="left" w:pos="384"/>
      </w:tabs>
      <w:spacing w:line="480" w:lineRule="auto"/>
      <w:ind w:left="384" w:hanging="384"/>
    </w:pPr>
  </w:style>
  <w:style w:type="paragraph" w:styleId="a9">
    <w:name w:val="Subtitle"/>
    <w:basedOn w:val="a"/>
    <w:next w:val="a"/>
    <w:link w:val="aa"/>
    <w:uiPriority w:val="11"/>
    <w:qFormat/>
    <w:rsid w:val="00B35271"/>
    <w:pPr>
      <w:spacing w:before="240" w:after="60" w:line="312" w:lineRule="auto"/>
      <w:jc w:val="center"/>
      <w:outlineLvl w:val="1"/>
    </w:pPr>
    <w:rPr>
      <w:b/>
      <w:bCs/>
      <w:kern w:val="28"/>
      <w:sz w:val="32"/>
      <w:szCs w:val="32"/>
    </w:rPr>
  </w:style>
  <w:style w:type="character" w:customStyle="1" w:styleId="aa">
    <w:name w:val="副标题 字符"/>
    <w:basedOn w:val="a0"/>
    <w:link w:val="a9"/>
    <w:uiPriority w:val="11"/>
    <w:rsid w:val="00B35271"/>
    <w:rPr>
      <w:b/>
      <w:bCs/>
      <w:kern w:val="28"/>
      <w:sz w:val="32"/>
      <w:szCs w:val="32"/>
    </w:rPr>
  </w:style>
  <w:style w:type="character" w:customStyle="1" w:styleId="20">
    <w:name w:val="标题 2 字符"/>
    <w:basedOn w:val="a0"/>
    <w:link w:val="2"/>
    <w:uiPriority w:val="9"/>
    <w:rsid w:val="00B3527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35271"/>
    <w:rPr>
      <w:b/>
      <w:bCs/>
      <w:sz w:val="32"/>
      <w:szCs w:val="32"/>
    </w:rPr>
  </w:style>
  <w:style w:type="character" w:styleId="ab">
    <w:name w:val="Hyperlink"/>
    <w:basedOn w:val="a0"/>
    <w:uiPriority w:val="99"/>
    <w:unhideWhenUsed/>
    <w:rsid w:val="00635905"/>
    <w:rPr>
      <w:color w:val="0563C1" w:themeColor="hyperlink"/>
      <w:u w:val="single"/>
    </w:rPr>
  </w:style>
  <w:style w:type="character" w:styleId="ac">
    <w:name w:val="Unresolved Mention"/>
    <w:basedOn w:val="a0"/>
    <w:uiPriority w:val="99"/>
    <w:semiHidden/>
    <w:unhideWhenUsed/>
    <w:rsid w:val="00635905"/>
    <w:rPr>
      <w:color w:val="605E5C"/>
      <w:shd w:val="clear" w:color="auto" w:fill="E1DFDD"/>
    </w:rPr>
  </w:style>
  <w:style w:type="character" w:styleId="ad">
    <w:name w:val="Placeholder Text"/>
    <w:basedOn w:val="a0"/>
    <w:uiPriority w:val="99"/>
    <w:semiHidden/>
    <w:rsid w:val="000540CC"/>
    <w:rPr>
      <w:color w:val="666666"/>
    </w:rPr>
  </w:style>
  <w:style w:type="character" w:styleId="ae">
    <w:name w:val="annotation reference"/>
    <w:basedOn w:val="a0"/>
    <w:uiPriority w:val="99"/>
    <w:semiHidden/>
    <w:unhideWhenUsed/>
    <w:rsid w:val="0056265C"/>
    <w:rPr>
      <w:sz w:val="21"/>
      <w:szCs w:val="21"/>
    </w:rPr>
  </w:style>
  <w:style w:type="paragraph" w:styleId="af">
    <w:name w:val="annotation text"/>
    <w:basedOn w:val="a"/>
    <w:link w:val="af0"/>
    <w:uiPriority w:val="99"/>
    <w:semiHidden/>
    <w:unhideWhenUsed/>
    <w:rsid w:val="0056265C"/>
    <w:pPr>
      <w:jc w:val="left"/>
    </w:pPr>
  </w:style>
  <w:style w:type="character" w:customStyle="1" w:styleId="af0">
    <w:name w:val="批注文字 字符"/>
    <w:basedOn w:val="a0"/>
    <w:link w:val="af"/>
    <w:uiPriority w:val="99"/>
    <w:semiHidden/>
    <w:rsid w:val="0056265C"/>
  </w:style>
  <w:style w:type="paragraph" w:styleId="af1">
    <w:name w:val="annotation subject"/>
    <w:basedOn w:val="af"/>
    <w:next w:val="af"/>
    <w:link w:val="af2"/>
    <w:uiPriority w:val="99"/>
    <w:semiHidden/>
    <w:unhideWhenUsed/>
    <w:rsid w:val="0056265C"/>
    <w:rPr>
      <w:b/>
      <w:bCs/>
    </w:rPr>
  </w:style>
  <w:style w:type="character" w:customStyle="1" w:styleId="af2">
    <w:name w:val="批注主题 字符"/>
    <w:basedOn w:val="af0"/>
    <w:link w:val="af1"/>
    <w:uiPriority w:val="99"/>
    <w:semiHidden/>
    <w:rsid w:val="0056265C"/>
    <w:rPr>
      <w:b/>
      <w:bCs/>
    </w:rPr>
  </w:style>
  <w:style w:type="paragraph" w:styleId="af3">
    <w:name w:val="Revision"/>
    <w:hidden/>
    <w:uiPriority w:val="99"/>
    <w:semiHidden/>
    <w:rsid w:val="002B6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64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yangjy@sdu.edu.cn"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15882</Words>
  <Characters>90528</Characters>
  <Application>Microsoft Office Word</Application>
  <DocSecurity>0</DocSecurity>
  <Lines>754</Lines>
  <Paragraphs>212</Paragraphs>
  <ScaleCrop>false</ScaleCrop>
  <Company/>
  <LinksUpToDate>false</LinksUpToDate>
  <CharactersWithSpaces>106198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junjie zhu</dc:creator>
  <cp:keywords/>
  <dc:description/>
  <cp:lastModifiedBy>chen</cp:lastModifiedBy>
  <cp:revision>2</cp:revision>
  <dcterms:created xsi:type="dcterms:W3CDTF">2024-05-28T07:56:00Z</dcterms:created>
  <dcterms:modified xsi:type="dcterms:W3CDTF">2024-05-28T07:56:00Z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id="GEFae30o"/&gt;&lt;style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