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2C4B" w:rsidRDefault="00E92C4B" w:rsidP="00E92C4B">
      <w:pPr>
        <w:pStyle w:val="Overskrift1"/>
        <w:rPr>
          <w:rStyle w:val="Strk"/>
          <w:b w:val="0"/>
          <w:bCs w:val="0"/>
          <w:lang w:val="en-GB"/>
        </w:rPr>
      </w:pPr>
      <w:r>
        <w:rPr>
          <w:rStyle w:val="Strk"/>
          <w:lang w:val="en-GB"/>
        </w:rPr>
        <w:t xml:space="preserve">Supplementary materials </w:t>
      </w:r>
    </w:p>
    <w:p w:rsidR="00E92C4B" w:rsidRDefault="00E92C4B" w:rsidP="00E92C4B">
      <w:pPr>
        <w:spacing w:after="0" w:line="240" w:lineRule="auto"/>
        <w:jc w:val="both"/>
        <w:rPr>
          <w:rStyle w:val="Strk"/>
          <w:b w:val="0"/>
          <w:bCs w:val="0"/>
          <w:lang w:val="en-GB"/>
        </w:rPr>
      </w:pPr>
    </w:p>
    <w:p w:rsidR="00E92C4B" w:rsidRPr="00E92C4B" w:rsidRDefault="00E92C4B" w:rsidP="00E92C4B">
      <w:pPr>
        <w:spacing w:after="0" w:line="240" w:lineRule="auto"/>
        <w:jc w:val="both"/>
        <w:rPr>
          <w:rStyle w:val="Strk"/>
          <w:b w:val="0"/>
          <w:bCs w:val="0"/>
          <w:lang w:val="en-GB"/>
        </w:rPr>
      </w:pPr>
      <w:r w:rsidRPr="00E92C4B">
        <w:rPr>
          <w:rStyle w:val="Strk"/>
          <w:b w:val="0"/>
          <w:lang w:val="en-GB"/>
        </w:rPr>
        <w:t>The date of hydrocephalus diagnosis was defined as the date of the first diagnostic brain CT, MRI, or ultrasound scan. We classified hydrocephalus as either obstructive or communicating based on the presence or absence of a visible obstruction on brain imaging. Obstructive and communicating hydrocephalus were further subclassified according to underlying aetiology. This classification consisted of aqueductal stenosis, brain tumour, cyst, intraventricular haemorrhage, and CNS malformations including Dandy-Walker syndrome, myelomeningocele, or Chiari malformation in a hierarchical system to prevent duplicates, as seen in figure 1. A perinatal intraventricular haemorrhage could account for both communicating and obstructive hydrocephalus, the latter typically being due to intraventricular cyst formation after a haemorrhage.</w:t>
      </w:r>
    </w:p>
    <w:p w:rsidR="00E92C4B" w:rsidRPr="00E92C4B" w:rsidRDefault="00E92C4B" w:rsidP="00E92C4B">
      <w:pPr>
        <w:spacing w:after="0" w:line="240" w:lineRule="auto"/>
        <w:jc w:val="both"/>
        <w:rPr>
          <w:rStyle w:val="Strk"/>
          <w:b w:val="0"/>
          <w:bCs w:val="0"/>
          <w:lang w:val="en-GB"/>
        </w:rPr>
      </w:pPr>
      <w:r w:rsidRPr="00E92C4B">
        <w:rPr>
          <w:rStyle w:val="Strk"/>
          <w:b w:val="0"/>
          <w:lang w:val="en-GB"/>
        </w:rPr>
        <w:t xml:space="preserve">Recorded symptoms encompassed increased head size, symptoms of elevated ICP (headache, vomiting, nausea, </w:t>
      </w:r>
      <w:r w:rsidR="001F229B" w:rsidRPr="00E92C4B">
        <w:rPr>
          <w:rStyle w:val="Strk"/>
          <w:b w:val="0"/>
          <w:lang w:val="en-GB"/>
        </w:rPr>
        <w:t>and sunsetting</w:t>
      </w:r>
      <w:r w:rsidRPr="00E92C4B">
        <w:rPr>
          <w:rStyle w:val="Strk"/>
          <w:b w:val="0"/>
          <w:lang w:val="en-GB"/>
        </w:rPr>
        <w:t xml:space="preserve"> eyes), delayed motor skills or mental development, reduced hearing, or vision, and thriving problems defined as weight loss, reduced appetite, and abnormal weight-length-curve. Delayed motor skills did not include loss of motor skills. Reduced vision was defined as partial vision loss, excluding diplopia, strabismus, nystagmus, and sunsetting eyes. Comorbidities included neurological and neuropsychiatric diseases, chronic heart-, lung, or kidney disease, recurring urinary tract infection (UTI), pneumonia or sinusitis, and immunosuppression. Recurring pneumonia or sinusitis was defined as three or more events within the lifetime of the child and urinary tract infections expected as yearly recurring events.</w:t>
      </w:r>
    </w:p>
    <w:p w:rsidR="00AA3068" w:rsidRPr="00E92C4B" w:rsidRDefault="00AA3068">
      <w:pPr>
        <w:rPr>
          <w:lang w:val="en-GB"/>
        </w:rPr>
      </w:pPr>
      <w:bookmarkStart w:id="0" w:name="_GoBack"/>
      <w:bookmarkEnd w:id="0"/>
    </w:p>
    <w:sectPr w:rsidR="00AA3068" w:rsidRPr="00E92C4B">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2C4B"/>
    <w:rsid w:val="001F229B"/>
    <w:rsid w:val="0022785E"/>
    <w:rsid w:val="009A3E6F"/>
    <w:rsid w:val="00AA3068"/>
    <w:rsid w:val="00E92C4B"/>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086752-721C-4C1A-80E8-18CFAE485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92C4B"/>
  </w:style>
  <w:style w:type="paragraph" w:styleId="Overskrift1">
    <w:name w:val="heading 1"/>
    <w:basedOn w:val="Normal"/>
    <w:next w:val="Normal"/>
    <w:link w:val="Overskrift1Tegn"/>
    <w:uiPriority w:val="9"/>
    <w:qFormat/>
    <w:rsid w:val="00E92C4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E92C4B"/>
    <w:rPr>
      <w:rFonts w:asciiTheme="majorHAnsi" w:eastAsiaTheme="majorEastAsia" w:hAnsiTheme="majorHAnsi" w:cstheme="majorBidi"/>
      <w:color w:val="2E74B5" w:themeColor="accent1" w:themeShade="BF"/>
      <w:sz w:val="32"/>
      <w:szCs w:val="32"/>
    </w:rPr>
  </w:style>
  <w:style w:type="character" w:styleId="Strk">
    <w:name w:val="Strong"/>
    <w:basedOn w:val="Standardskrifttypeiafsnit"/>
    <w:uiPriority w:val="22"/>
    <w:qFormat/>
    <w:rsid w:val="00E92C4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238</Words>
  <Characters>1457</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Region Hovedstaden</Company>
  <LinksUpToDate>false</LinksUpToDate>
  <CharactersWithSpaces>1692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Duc Nguyen</dc:creator>
  <cp:keywords/>
  <dc:description/>
  <cp:lastModifiedBy>Anna Duc Nguyen</cp:lastModifiedBy>
  <cp:revision>2</cp:revision>
  <dcterms:created xsi:type="dcterms:W3CDTF">2024-05-06T08:51:00Z</dcterms:created>
  <dcterms:modified xsi:type="dcterms:W3CDTF">2024-05-06T08:52:00Z</dcterms:modified>
</cp:coreProperties>
</file>