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pPr w:leftFromText="180" w:rightFromText="180" w:vertAnchor="text" w:horzAnchor="page" w:tblpX="1047" w:tblpY="308"/>
        <w:tblOverlap w:val="never"/>
        <w:tblW w:w="999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1"/>
        <w:gridCol w:w="4563"/>
        <w:gridCol w:w="16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9997" w:type="dxa"/>
            <w:gridSpan w:val="3"/>
            <w:tcBorders>
              <w:top w:val="nil"/>
              <w:bottom w:val="single" w:color="auto" w:sz="12" w:space="0"/>
            </w:tcBorders>
            <w:shd w:val="clear" w:color="auto" w:fill="FFFFFF"/>
            <w:vAlign w:val="top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Table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S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. </w:t>
            </w:r>
            <w:bookmarkStart w:id="0" w:name="OLE_LINK1"/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adiomic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s 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features</w:t>
            </w:r>
            <w:bookmarkEnd w:id="0"/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screened out by 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LASSO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algorithm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51" w:type="dxa"/>
            <w:tcBorders>
              <w:top w:val="single" w:color="auto" w:sz="12" w:space="0"/>
              <w:bottom w:val="single" w:color="auto" w:sz="12" w:space="0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lang w:val="en-US" w:eastAsia="zh-CN"/>
              </w:rPr>
              <w:t>adiomic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lang w:val="en-US" w:eastAsia="zh-CN"/>
              </w:rPr>
              <w:t>s F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lang w:val="en-US" w:eastAsia="zh-CN"/>
              </w:rPr>
              <w:t>eatures</w:t>
            </w:r>
          </w:p>
        </w:tc>
        <w:tc>
          <w:tcPr>
            <w:tcW w:w="4563" w:type="dxa"/>
            <w:tcBorders>
              <w:top w:val="single" w:color="auto" w:sz="12" w:space="0"/>
              <w:bottom w:val="single" w:color="auto" w:sz="12" w:space="0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lang w:val="en-US" w:eastAsia="zh-CN"/>
              </w:rPr>
              <w:t>adiomic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lang w:val="en-US" w:eastAsia="zh-CN"/>
              </w:rPr>
              <w:t>s F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lang w:val="en-US" w:eastAsia="zh-CN"/>
              </w:rPr>
              <w:t>eatures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lang w:val="en-US" w:eastAsia="zh-CN"/>
              </w:rPr>
              <w:t xml:space="preserve"> after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lang w:val="en-US" w:eastAsia="zh-CN"/>
              </w:rPr>
              <w:t>LASSO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lang w:val="en-US" w:eastAsia="zh-CN"/>
              </w:rPr>
              <w:t xml:space="preserve"> A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lang w:val="en-US" w:eastAsia="zh-CN"/>
              </w:rPr>
              <w:t>lgorithm</w:t>
            </w:r>
          </w:p>
        </w:tc>
        <w:tc>
          <w:tcPr>
            <w:tcW w:w="1683" w:type="dxa"/>
            <w:tcBorders>
              <w:top w:val="single" w:color="auto" w:sz="12" w:space="0"/>
              <w:bottom w:val="single" w:color="auto" w:sz="12" w:space="0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</w:rPr>
              <w:t>Regression Coefficients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51" w:type="dxa"/>
            <w:vMerge w:val="restart"/>
            <w:tcBorders>
              <w:top w:val="single" w:color="auto" w:sz="12" w:space="0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 xml:space="preserve">Higher-order wavelet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(n=744)</w:t>
            </w:r>
          </w:p>
        </w:tc>
        <w:tc>
          <w:tcPr>
            <w:tcW w:w="4563" w:type="dxa"/>
            <w:tcBorders>
              <w:top w:val="single" w:color="auto" w:sz="12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7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 xml:space="preserve">avelet-LLL_glcm_JointAverage                          </w:t>
            </w:r>
          </w:p>
        </w:tc>
        <w:tc>
          <w:tcPr>
            <w:tcW w:w="1683" w:type="dxa"/>
            <w:tcBorders>
              <w:top w:val="single" w:color="auto" w:sz="12" w:space="0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0.133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51" w:type="dxa"/>
            <w:vMerge w:val="continue"/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4563" w:type="dxa"/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 xml:space="preserve">avelet-HHH_ngtdm_Strength                            </w:t>
            </w:r>
          </w:p>
        </w:tc>
        <w:tc>
          <w:tcPr>
            <w:tcW w:w="1683" w:type="dxa"/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-0.038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51" w:type="dxa"/>
            <w:vMerge w:val="continue"/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  <w:lang w:eastAsia="zh-CN"/>
              </w:rPr>
            </w:pPr>
          </w:p>
        </w:tc>
        <w:tc>
          <w:tcPr>
            <w:tcW w:w="4563" w:type="dxa"/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 xml:space="preserve">avelet-HHL_glcm_Imc2                                 </w:t>
            </w:r>
          </w:p>
        </w:tc>
        <w:tc>
          <w:tcPr>
            <w:tcW w:w="1683" w:type="dxa"/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-0.0292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51" w:type="dxa"/>
            <w:vMerge w:val="restart"/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 xml:space="preserve">First-order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(n=108)</w:t>
            </w:r>
          </w:p>
        </w:tc>
        <w:tc>
          <w:tcPr>
            <w:tcW w:w="4563" w:type="dxa"/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E</w:t>
            </w: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 xml:space="preserve">xponential_firstorder_InterquartileRange               </w:t>
            </w:r>
          </w:p>
        </w:tc>
        <w:tc>
          <w:tcPr>
            <w:tcW w:w="1683" w:type="dxa"/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0.1205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51" w:type="dxa"/>
            <w:vMerge w:val="continue"/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3" w:type="dxa"/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G</w:t>
            </w: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 xml:space="preserve">radient_firstorder_Minimum                      </w:t>
            </w:r>
          </w:p>
        </w:tc>
        <w:tc>
          <w:tcPr>
            <w:tcW w:w="1683" w:type="dxa"/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-0.010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51" w:type="dxa"/>
            <w:vMerge w:val="continue"/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3" w:type="dxa"/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S</w:t>
            </w: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 xml:space="preserve">quareroot_firstorder_RootMeanSquared                                  </w:t>
            </w:r>
          </w:p>
        </w:tc>
        <w:tc>
          <w:tcPr>
            <w:tcW w:w="1683" w:type="dxa"/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-0.1476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51" w:type="dxa"/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 xml:space="preserve">Gray level dependence matrix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(n=84)</w:t>
            </w:r>
          </w:p>
        </w:tc>
        <w:tc>
          <w:tcPr>
            <w:tcW w:w="4563" w:type="dxa"/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S</w:t>
            </w: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 xml:space="preserve">quare_gldm_DependenceVariance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 xml:space="preserve">                        </w:t>
            </w:r>
          </w:p>
        </w:tc>
        <w:tc>
          <w:tcPr>
            <w:tcW w:w="1683" w:type="dxa"/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0.172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51" w:type="dxa"/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Gray level size zone matrix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 xml:space="preserve"> (n=96)</w:t>
            </w:r>
          </w:p>
        </w:tc>
        <w:tc>
          <w:tcPr>
            <w:tcW w:w="4563" w:type="dxa"/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E</w:t>
            </w: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 xml:space="preserve">xponential_glszm_SmallAreaEmphasis                   </w:t>
            </w:r>
          </w:p>
        </w:tc>
        <w:tc>
          <w:tcPr>
            <w:tcW w:w="1683" w:type="dxa"/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-0.0569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3751" w:type="dxa"/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Neighboring gray tone difference matrix (n=30)</w:t>
            </w:r>
          </w:p>
        </w:tc>
        <w:tc>
          <w:tcPr>
            <w:tcW w:w="4563" w:type="dxa"/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O</w:t>
            </w: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 xml:space="preserve">riginal_ngtdm_Strength              </w:t>
            </w:r>
          </w:p>
        </w:tc>
        <w:tc>
          <w:tcPr>
            <w:tcW w:w="1683" w:type="dxa"/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-0.0722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51" w:type="dxa"/>
            <w:vMerge w:val="restart"/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Gray level cooccurrence matrix ( n=144)</w:t>
            </w:r>
          </w:p>
        </w:tc>
        <w:tc>
          <w:tcPr>
            <w:tcW w:w="4563" w:type="dxa"/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L</w:t>
            </w: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 xml:space="preserve">ogarithm_glcm_Idn                                 </w:t>
            </w:r>
          </w:p>
        </w:tc>
        <w:tc>
          <w:tcPr>
            <w:tcW w:w="1683" w:type="dxa"/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-0.221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51" w:type="dxa"/>
            <w:vMerge w:val="continue"/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3" w:type="dxa"/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O</w:t>
            </w: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 xml:space="preserve">riginal_glcm_Imc2                                    </w:t>
            </w:r>
          </w:p>
        </w:tc>
        <w:tc>
          <w:tcPr>
            <w:tcW w:w="1683" w:type="dxa"/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-0.019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51" w:type="dxa"/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Gray level run-length matrix (n=96)</w:t>
            </w:r>
          </w:p>
        </w:tc>
        <w:tc>
          <w:tcPr>
            <w:tcW w:w="4563" w:type="dxa"/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83" w:type="dxa"/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51" w:type="dxa"/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Shape (n=14)</w:t>
            </w:r>
          </w:p>
        </w:tc>
        <w:tc>
          <w:tcPr>
            <w:tcW w:w="4563" w:type="dxa"/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83" w:type="dxa"/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7" w:type="dxa"/>
            <w:gridSpan w:val="3"/>
            <w:tcBorders>
              <w:top w:val="single" w:color="auto" w:sz="12" w:space="0"/>
              <w:bottom w:val="nil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LASS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O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least absolute shrinkage and selection operator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.</w:t>
            </w:r>
          </w:p>
        </w:tc>
      </w:tr>
    </w:tbl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872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46"/>
        <w:gridCol w:w="1047"/>
        <w:gridCol w:w="39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8724" w:type="dxa"/>
            <w:gridSpan w:val="3"/>
            <w:tcBorders>
              <w:top w:val="nil"/>
              <w:bottom w:val="single" w:color="auto" w:sz="12" w:space="0"/>
            </w:tcBorders>
            <w:shd w:val="clear" w:color="auto" w:fill="FFFFFF"/>
            <w:vAlign w:val="top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jc w:val="left"/>
              <w:rPr>
                <w:rFonts w:hint="eastAsia"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Table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S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</w:rPr>
              <w:t xml:space="preserve">Agreement of CT 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f</w:t>
            </w:r>
            <w:r>
              <w:rPr>
                <w:rFonts w:ascii="Times New Roman" w:hAnsi="Times New Roman" w:cs="Times New Roman"/>
                <w:sz w:val="24"/>
              </w:rPr>
              <w:t>eatures between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the two </w:t>
            </w:r>
            <w:r>
              <w:rPr>
                <w:rFonts w:hint="eastAsia" w:ascii="Times New Roman" w:hAnsi="Times New Roman" w:cs="Times New Roman"/>
                <w:sz w:val="24"/>
              </w:rPr>
              <w:t>r</w:t>
            </w:r>
            <w:r>
              <w:rPr>
                <w:rFonts w:ascii="Times New Roman" w:hAnsi="Times New Roman" w:cs="Times New Roman"/>
                <w:sz w:val="24"/>
              </w:rPr>
              <w:t>eaders</w:t>
            </w:r>
            <w:r>
              <w:rPr>
                <w:rFonts w:hint="eastAsia" w:ascii="Times New Roman" w:hAnsi="Times New Roman" w:cs="Times New Roman"/>
                <w:sz w:val="24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6" w:type="dxa"/>
            <w:tcBorders>
              <w:top w:val="single" w:color="auto" w:sz="12" w:space="0"/>
              <w:bottom w:val="single" w:color="auto" w:sz="12" w:space="0"/>
            </w:tcBorders>
            <w:shd w:val="clear" w:color="auto" w:fill="FFFFFF"/>
          </w:tcPr>
          <w:p>
            <w:pPr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CT Feature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lang w:val="en-US" w:eastAsia="zh-CN"/>
              </w:rPr>
              <w:t>s</w:t>
            </w:r>
          </w:p>
        </w:tc>
        <w:tc>
          <w:tcPr>
            <w:tcW w:w="10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Value</w:t>
            </w:r>
          </w:p>
        </w:tc>
        <w:tc>
          <w:tcPr>
            <w:tcW w:w="3931" w:type="dxa"/>
            <w:tcBorders>
              <w:top w:val="single" w:color="auto" w:sz="12" w:space="0"/>
              <w:bottom w:val="single" w:color="auto" w:sz="12" w:space="0"/>
            </w:tcBorders>
            <w:shd w:val="clear" w:color="auto" w:fill="FFFFFF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Kendall Coefficient of Concordance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6" w:type="dxa"/>
            <w:tcBorders>
              <w:top w:val="single" w:color="auto" w:sz="12" w:space="0"/>
            </w:tcBorders>
            <w:shd w:val="clear" w:color="auto" w:fill="FFFFFF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Location</w:t>
            </w:r>
          </w:p>
        </w:tc>
        <w:tc>
          <w:tcPr>
            <w:tcW w:w="1047" w:type="dxa"/>
            <w:tcBorders>
              <w:top w:val="single" w:color="auto" w:sz="12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0.99</w:t>
            </w:r>
          </w:p>
        </w:tc>
        <w:tc>
          <w:tcPr>
            <w:tcW w:w="3931" w:type="dxa"/>
            <w:tcBorders>
              <w:top w:val="single" w:color="auto" w:sz="12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6" w:type="dxa"/>
            <w:shd w:val="clear" w:color="auto" w:fill="FFFFFF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Contour </w:t>
            </w:r>
          </w:p>
        </w:tc>
        <w:tc>
          <w:tcPr>
            <w:tcW w:w="1047" w:type="dxa"/>
            <w:shd w:val="clear" w:color="auto" w:fill="FFFFFF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3931" w:type="dxa"/>
            <w:shd w:val="clear" w:color="auto" w:fill="FFFFFF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6" w:type="dxa"/>
            <w:shd w:val="clear" w:color="auto" w:fill="FFFFFF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Lobulation </w:t>
            </w:r>
          </w:p>
        </w:tc>
        <w:tc>
          <w:tcPr>
            <w:tcW w:w="1047" w:type="dxa"/>
            <w:shd w:val="clear" w:color="auto" w:fill="FFFFFF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3931" w:type="dxa"/>
            <w:shd w:val="clear" w:color="auto" w:fill="FFFFFF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6" w:type="dxa"/>
            <w:shd w:val="clear" w:color="auto" w:fill="FFFFFF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Spiculation </w:t>
            </w:r>
          </w:p>
        </w:tc>
        <w:tc>
          <w:tcPr>
            <w:tcW w:w="1047" w:type="dxa"/>
            <w:shd w:val="clear" w:color="auto" w:fill="FFFFFF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4</w:t>
            </w:r>
          </w:p>
        </w:tc>
        <w:tc>
          <w:tcPr>
            <w:tcW w:w="3931" w:type="dxa"/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0.98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6" w:type="dxa"/>
            <w:shd w:val="clear" w:color="auto" w:fill="FFFFFF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Texture  </w:t>
            </w:r>
          </w:p>
        </w:tc>
        <w:tc>
          <w:tcPr>
            <w:tcW w:w="1047" w:type="dxa"/>
            <w:shd w:val="clear" w:color="auto" w:fill="FFFFFF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5</w:t>
            </w:r>
          </w:p>
        </w:tc>
        <w:tc>
          <w:tcPr>
            <w:tcW w:w="3931" w:type="dxa"/>
            <w:shd w:val="clear" w:color="auto" w:fill="FFFFFF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6" w:type="dxa"/>
            <w:shd w:val="clear" w:color="auto" w:fill="FFFFFF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Calcification</w:t>
            </w:r>
          </w:p>
        </w:tc>
        <w:tc>
          <w:tcPr>
            <w:tcW w:w="1047" w:type="dxa"/>
            <w:shd w:val="clear" w:color="auto" w:fill="FFFFFF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9</w:t>
            </w:r>
          </w:p>
        </w:tc>
        <w:tc>
          <w:tcPr>
            <w:tcW w:w="3931" w:type="dxa"/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6" w:type="dxa"/>
            <w:shd w:val="clear" w:color="auto" w:fill="FFFFFF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Air bronchogram </w:t>
            </w:r>
          </w:p>
        </w:tc>
        <w:tc>
          <w:tcPr>
            <w:tcW w:w="1047" w:type="dxa"/>
            <w:shd w:val="clear" w:color="auto" w:fill="FFFFFF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3</w:t>
            </w:r>
          </w:p>
        </w:tc>
        <w:tc>
          <w:tcPr>
            <w:tcW w:w="3931" w:type="dxa"/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0.95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6" w:type="dxa"/>
            <w:shd w:val="clear" w:color="auto" w:fill="FFFFFF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Bubblelike lucency</w:t>
            </w:r>
          </w:p>
        </w:tc>
        <w:tc>
          <w:tcPr>
            <w:tcW w:w="1047" w:type="dxa"/>
            <w:shd w:val="clear" w:color="auto" w:fill="FFFFFF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3931" w:type="dxa"/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6" w:type="dxa"/>
            <w:shd w:val="clear" w:color="auto" w:fill="FFFFFF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Cavity</w:t>
            </w:r>
          </w:p>
        </w:tc>
        <w:tc>
          <w:tcPr>
            <w:tcW w:w="1047" w:type="dxa"/>
            <w:shd w:val="clear" w:color="auto" w:fill="FFFFFF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5</w:t>
            </w:r>
          </w:p>
        </w:tc>
        <w:tc>
          <w:tcPr>
            <w:tcW w:w="3931" w:type="dxa"/>
            <w:shd w:val="clear" w:color="auto" w:fill="FFFFFF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6" w:type="dxa"/>
            <w:shd w:val="clear" w:color="auto" w:fill="FFFFFF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Enhancement heterogeneity</w:t>
            </w:r>
          </w:p>
        </w:tc>
        <w:tc>
          <w:tcPr>
            <w:tcW w:w="1047" w:type="dxa"/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90</w:t>
            </w:r>
          </w:p>
        </w:tc>
        <w:tc>
          <w:tcPr>
            <w:tcW w:w="3931" w:type="dxa"/>
            <w:shd w:val="clear" w:color="auto" w:fill="FFFFFF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6" w:type="dxa"/>
            <w:shd w:val="clear" w:color="auto" w:fill="FFFFFF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Pleural attachment </w:t>
            </w:r>
          </w:p>
        </w:tc>
        <w:tc>
          <w:tcPr>
            <w:tcW w:w="1047" w:type="dxa"/>
            <w:shd w:val="clear" w:color="auto" w:fill="FFFFFF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9</w:t>
            </w:r>
          </w:p>
        </w:tc>
        <w:tc>
          <w:tcPr>
            <w:tcW w:w="3931" w:type="dxa"/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6" w:type="dxa"/>
            <w:shd w:val="clear" w:color="auto" w:fill="FFFFFF"/>
          </w:tcPr>
          <w:p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Pleural retraction </w:t>
            </w:r>
          </w:p>
        </w:tc>
        <w:tc>
          <w:tcPr>
            <w:tcW w:w="1047" w:type="dxa"/>
            <w:shd w:val="clear" w:color="auto" w:fill="FFFFFF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7</w:t>
            </w:r>
          </w:p>
        </w:tc>
        <w:tc>
          <w:tcPr>
            <w:tcW w:w="3931" w:type="dxa"/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6" w:type="dxa"/>
            <w:shd w:val="clear" w:color="auto" w:fill="FFFFFF"/>
          </w:tcPr>
          <w:p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B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t>ronchovascular bundle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t>thickening</w:t>
            </w:r>
          </w:p>
        </w:tc>
        <w:tc>
          <w:tcPr>
            <w:tcW w:w="1047" w:type="dxa"/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89</w:t>
            </w:r>
          </w:p>
        </w:tc>
        <w:tc>
          <w:tcPr>
            <w:tcW w:w="3931" w:type="dxa"/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0.95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6" w:type="dxa"/>
            <w:shd w:val="clear" w:color="auto" w:fill="FFFFFF"/>
          </w:tcPr>
          <w:p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Obstructive change</w:t>
            </w:r>
          </w:p>
        </w:tc>
        <w:tc>
          <w:tcPr>
            <w:tcW w:w="1047" w:type="dxa"/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0.96</w:t>
            </w:r>
          </w:p>
        </w:tc>
        <w:tc>
          <w:tcPr>
            <w:tcW w:w="3931" w:type="dxa"/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6" w:type="dxa"/>
            <w:shd w:val="clear" w:color="auto" w:fill="FFFFFF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Peripheral emphysema </w:t>
            </w:r>
          </w:p>
        </w:tc>
        <w:tc>
          <w:tcPr>
            <w:tcW w:w="1047" w:type="dxa"/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92</w:t>
            </w:r>
          </w:p>
        </w:tc>
        <w:tc>
          <w:tcPr>
            <w:tcW w:w="3931" w:type="dxa"/>
            <w:shd w:val="clear" w:color="auto" w:fill="FFFFFF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6" w:type="dxa"/>
            <w:shd w:val="clear" w:color="auto" w:fill="FFFFFF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Peripheral fibrosis</w:t>
            </w:r>
          </w:p>
        </w:tc>
        <w:tc>
          <w:tcPr>
            <w:tcW w:w="1047" w:type="dxa"/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92</w:t>
            </w:r>
          </w:p>
        </w:tc>
        <w:tc>
          <w:tcPr>
            <w:tcW w:w="3931" w:type="dxa"/>
            <w:shd w:val="clear" w:color="auto" w:fill="FFFFFF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4" w:type="dxa"/>
            <w:gridSpan w:val="3"/>
            <w:tcBorders>
              <w:top w:val="single" w:color="auto" w:sz="12" w:space="0"/>
              <w:bottom w:val="nil"/>
            </w:tcBorders>
            <w:shd w:val="clear" w:color="auto" w:fill="FFFFFF"/>
          </w:tcPr>
          <w:p>
            <w:pPr>
              <w:jc w:val="left"/>
              <w:rPr>
                <w:rFonts w:hint="default" w:ascii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CT, computed tomography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; NA,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tbl>
      <w:tblPr>
        <w:tblStyle w:val="4"/>
        <w:tblpPr w:leftFromText="180" w:rightFromText="180" w:vertAnchor="text" w:horzAnchor="page" w:tblpX="2037" w:tblpY="312"/>
        <w:tblOverlap w:val="never"/>
        <w:tblW w:w="7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0"/>
        <w:gridCol w:w="1540"/>
        <w:gridCol w:w="1600"/>
        <w:gridCol w:w="11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7320" w:type="dxa"/>
            <w:gridSpan w:val="4"/>
            <w:tcBorders>
              <w:top w:val="nil"/>
              <w:bottom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Table 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  <w:t>S3.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Association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of 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linical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haracteristics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between training group and validation group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3000" w:type="dxa"/>
            <w:tcBorders>
              <w:top w:val="single" w:color="auto" w:sz="8" w:space="0"/>
              <w:bottom w:val="single" w:color="auto" w:sz="8" w:space="0"/>
              <w:right w:val="nil"/>
            </w:tcBorders>
            <w:vAlign w:val="top"/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154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Training group</w:t>
            </w:r>
          </w:p>
        </w:tc>
        <w:tc>
          <w:tcPr>
            <w:tcW w:w="16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spacing w:line="240" w:lineRule="exact"/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Validation 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group</w:t>
            </w:r>
          </w:p>
        </w:tc>
        <w:tc>
          <w:tcPr>
            <w:tcW w:w="11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0" w:hRule="atLeast"/>
        </w:trPr>
        <w:tc>
          <w:tcPr>
            <w:tcW w:w="3000" w:type="dxa"/>
            <w:tcBorders>
              <w:top w:val="single" w:color="auto" w:sz="8" w:space="0"/>
              <w:bottom w:val="single" w:color="auto" w:sz="8" w:space="0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(years)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Smoking history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Family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history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2"/>
            <w:r>
              <w:rPr>
                <w:rFonts w:ascii="Times New Roman" w:hAnsi="Times New Roman" w:cs="Times New Roman"/>
                <w:sz w:val="24"/>
                <w:szCs w:val="24"/>
              </w:rPr>
              <w:t>Histologic subtype</w:t>
            </w:r>
          </w:p>
          <w:bookmarkEnd w:id="1"/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left"/>
              <w:textAlignment w:val="auto"/>
              <w:outlineLvl w:val="0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Adenocarcinoma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left"/>
              <w:textAlignment w:val="auto"/>
              <w:outlineLvl w:val="0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Squamous cell carcinoma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left"/>
              <w:textAlignment w:val="auto"/>
              <w:outlineLvl w:val="0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Other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*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Clinical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tage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left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athological</w:t>
            </w:r>
            <w:r>
              <w:rPr>
                <w:rFonts w:hint="default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tage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left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III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Risk factors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resence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Absence</w:t>
            </w:r>
          </w:p>
        </w:tc>
        <w:tc>
          <w:tcPr>
            <w:tcW w:w="154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678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53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284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394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292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386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162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516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566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501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565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68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45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225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453</w:t>
            </w:r>
          </w:p>
        </w:tc>
        <w:tc>
          <w:tcPr>
            <w:tcW w:w="16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232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86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141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133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184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159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181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169</w:t>
            </w:r>
          </w:p>
        </w:tc>
        <w:tc>
          <w:tcPr>
            <w:tcW w:w="11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0.774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0.477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0.916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0.317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0.482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0.096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0.061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0.088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7320" w:type="dxa"/>
            <w:gridSpan w:val="4"/>
            <w:tcBorders>
              <w:top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f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or age is mean ± standard deviation.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Other 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istologic subtype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contains 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denosquamous carcinoma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, l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arge cell lung cancer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and sarcomatoid carcinoma.</w:t>
            </w:r>
          </w:p>
        </w:tc>
      </w:tr>
    </w:tbl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tbl>
      <w:tblPr>
        <w:tblStyle w:val="4"/>
        <w:tblpPr w:leftFromText="180" w:rightFromText="180" w:vertAnchor="text" w:horzAnchor="page" w:tblpX="2151" w:tblpY="226"/>
        <w:tblOverlap w:val="never"/>
        <w:tblW w:w="777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8"/>
        <w:gridCol w:w="1745"/>
        <w:gridCol w:w="1527"/>
        <w:gridCol w:w="15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7779" w:type="dxa"/>
            <w:gridSpan w:val="4"/>
            <w:tcBorders>
              <w:bottom w:val="single" w:color="auto" w:sz="4" w:space="0"/>
            </w:tcBorders>
            <w:vAlign w:val="top"/>
          </w:tcPr>
          <w:p>
            <w:pPr>
              <w:spacing w:line="240" w:lineRule="exact"/>
              <w:ind w:right="420"/>
              <w:rPr>
                <w:rFonts w:ascii="Times New Roman" w:hAnsi="Times New Roman" w:cs="Times New Roman"/>
                <w:b/>
                <w:bCs/>
                <w:sz w:val="24"/>
              </w:rPr>
            </w:pPr>
            <w:bookmarkStart w:id="2" w:name="_Hlk510624101"/>
          </w:p>
          <w:p>
            <w:pPr>
              <w:spacing w:line="240" w:lineRule="exact"/>
              <w:ind w:righ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Table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S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Association between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traditional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CT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eatures with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risk factors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single" w:color="auto" w:sz="8" w:space="0"/>
              <w:bottom w:val="single" w:color="auto" w:sz="8" w:space="0"/>
              <w:right w:val="nil"/>
            </w:tcBorders>
            <w:vAlign w:val="top"/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174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spacing w:line="240" w:lineRule="exact"/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Negative</w:t>
            </w:r>
            <w:bookmarkStart w:id="5" w:name="_GoBack"/>
            <w:bookmarkEnd w:id="5"/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Group</w:t>
            </w:r>
          </w:p>
          <w:p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(n=453)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2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Positive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Group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(n=225)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3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  <w:p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Contour 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3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185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103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4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207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107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Calcification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430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218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0.241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Air bronchogram 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282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153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0.142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171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72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Bubble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like lucency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422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204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251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Cavity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428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208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0.300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Enhancement heterogeneity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0.191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107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3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150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96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Enhancement degree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 xml:space="preserve"> (HU)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40.3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0.866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Relative enhancement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31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33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0.953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296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Peripheral emphysema 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394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195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0.937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296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Peripheral fibrosis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440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219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0.867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9" w:type="dxa"/>
            <w:gridSpan w:val="4"/>
            <w:tcBorders>
              <w:top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OLE_LINK17"/>
            <w:bookmarkStart w:id="4" w:name="OLE_LINK18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Data for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e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nhancement degree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 xml:space="preserve"> and r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elative enhancement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mean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standard deviation.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CT, computed tomography</w:t>
            </w:r>
            <w:bookmarkEnd w:id="3"/>
            <w:bookmarkEnd w:id="4"/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.</w:t>
            </w:r>
          </w:p>
        </w:tc>
      </w:tr>
      <w:bookmarkEnd w:id="2"/>
    </w:tbl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I0YzI1YWM4OWM2NDUzNDJmZGNmN2ZlYWU5Y2JlYTEifQ=="/>
  </w:docVars>
  <w:rsids>
    <w:rsidRoot w:val="00B83444"/>
    <w:rsid w:val="001803EA"/>
    <w:rsid w:val="0068388D"/>
    <w:rsid w:val="0085475B"/>
    <w:rsid w:val="00B72E8E"/>
    <w:rsid w:val="00B83444"/>
    <w:rsid w:val="00CB4223"/>
    <w:rsid w:val="021B3386"/>
    <w:rsid w:val="02881E0B"/>
    <w:rsid w:val="04CA323F"/>
    <w:rsid w:val="05B96CBF"/>
    <w:rsid w:val="07AC4799"/>
    <w:rsid w:val="0F20786F"/>
    <w:rsid w:val="0F354CFE"/>
    <w:rsid w:val="0FF8601A"/>
    <w:rsid w:val="13404594"/>
    <w:rsid w:val="16DC295C"/>
    <w:rsid w:val="175400B6"/>
    <w:rsid w:val="1CBA195D"/>
    <w:rsid w:val="1D2D76F2"/>
    <w:rsid w:val="1D5B4338"/>
    <w:rsid w:val="1E3525B1"/>
    <w:rsid w:val="1E5D7929"/>
    <w:rsid w:val="213C52ED"/>
    <w:rsid w:val="22712318"/>
    <w:rsid w:val="22DB4A0D"/>
    <w:rsid w:val="2670658E"/>
    <w:rsid w:val="28565890"/>
    <w:rsid w:val="297665B1"/>
    <w:rsid w:val="29DB6414"/>
    <w:rsid w:val="2C5569E7"/>
    <w:rsid w:val="2D034C79"/>
    <w:rsid w:val="2D360531"/>
    <w:rsid w:val="2E020414"/>
    <w:rsid w:val="2EA91E42"/>
    <w:rsid w:val="2FCC0CD9"/>
    <w:rsid w:val="30144EFD"/>
    <w:rsid w:val="3071362F"/>
    <w:rsid w:val="331144A1"/>
    <w:rsid w:val="36AA1648"/>
    <w:rsid w:val="377069FF"/>
    <w:rsid w:val="382673F4"/>
    <w:rsid w:val="3FC05954"/>
    <w:rsid w:val="3FE15B2E"/>
    <w:rsid w:val="436F7EA2"/>
    <w:rsid w:val="458C3A5C"/>
    <w:rsid w:val="478C7274"/>
    <w:rsid w:val="4D2F1854"/>
    <w:rsid w:val="4EF94E6E"/>
    <w:rsid w:val="51053BF3"/>
    <w:rsid w:val="54C6609E"/>
    <w:rsid w:val="563C00B7"/>
    <w:rsid w:val="57030294"/>
    <w:rsid w:val="57E003D2"/>
    <w:rsid w:val="5A2A7623"/>
    <w:rsid w:val="5AA61FA3"/>
    <w:rsid w:val="5AC266B1"/>
    <w:rsid w:val="5B152C85"/>
    <w:rsid w:val="5C7D1244"/>
    <w:rsid w:val="5D787085"/>
    <w:rsid w:val="64252409"/>
    <w:rsid w:val="646746F5"/>
    <w:rsid w:val="6A4F79E1"/>
    <w:rsid w:val="6B6D0359"/>
    <w:rsid w:val="6C663340"/>
    <w:rsid w:val="6D7F3BAB"/>
    <w:rsid w:val="6EF15A63"/>
    <w:rsid w:val="75D457BF"/>
    <w:rsid w:val="76DD06A3"/>
    <w:rsid w:val="7847490A"/>
    <w:rsid w:val="78C179EA"/>
    <w:rsid w:val="7ABF0E97"/>
    <w:rsid w:val="7C270C96"/>
    <w:rsid w:val="7D7C1B4F"/>
    <w:rsid w:val="7E76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248</Words>
  <Characters>1519</Characters>
  <Lines>9</Lines>
  <Paragraphs>2</Paragraphs>
  <TotalTime>2</TotalTime>
  <ScaleCrop>false</ScaleCrop>
  <LinksUpToDate>false</LinksUpToDate>
  <CharactersWithSpaces>1900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2020-10-24T06:43:00Z</dcterms:created>
  <dc:creator>Administrator</dc:creator>
  <cp:lastModifiedBy>赵丰年</cp:lastModifiedBy>
  <dcterms:modified xsi:type="dcterms:W3CDTF">2023-11-12T05:46:22Z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5A6A112FAFD64845BFCE7461712008B6</vt:lpwstr>
  </property>
</Properties>
</file>