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31F95" w14:textId="44BF3E42" w:rsidR="00514284" w:rsidRPr="00D915E0" w:rsidRDefault="00E84025" w:rsidP="00E84025">
      <w:pPr>
        <w:jc w:val="center"/>
        <w:rPr>
          <w:rFonts w:ascii="Arial" w:hAnsi="Arial" w:cs="Arial"/>
        </w:rPr>
      </w:pPr>
      <w:bookmarkStart w:id="0" w:name="_GoBack"/>
      <w:bookmarkEnd w:id="0"/>
      <w:r w:rsidRPr="00D915E0">
        <w:rPr>
          <w:rFonts w:ascii="Arial" w:hAnsi="Arial" w:cs="Arial"/>
        </w:rPr>
        <w:drawing>
          <wp:inline distT="0" distB="0" distL="0" distR="0" wp14:anchorId="77C44E27" wp14:editId="7C1C9B41">
            <wp:extent cx="6999442" cy="3822700"/>
            <wp:effectExtent l="0" t="0" r="0" b="0"/>
            <wp:docPr id="21283448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344838" name=""/>
                    <pic:cNvPicPr/>
                  </pic:nvPicPr>
                  <pic:blipFill rotWithShape="1">
                    <a:blip r:embed="rId4"/>
                    <a:srcRect t="30709" b="31482"/>
                    <a:stretch/>
                  </pic:blipFill>
                  <pic:spPr bwMode="auto">
                    <a:xfrm>
                      <a:off x="0" y="0"/>
                      <a:ext cx="7013576" cy="38304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6FC0E3" w14:textId="49C23B28" w:rsidR="00E84025" w:rsidRPr="00E84025" w:rsidRDefault="00E84025" w:rsidP="00E84025">
      <w:pPr>
        <w:rPr>
          <w:rFonts w:ascii="Arial" w:hAnsi="Arial" w:cs="Arial"/>
        </w:rPr>
      </w:pPr>
      <w:r w:rsidRPr="00E84025">
        <w:rPr>
          <w:rFonts w:ascii="Arial" w:hAnsi="Arial" w:cs="Arial"/>
          <w:b/>
          <w:bCs/>
        </w:rPr>
        <w:t xml:space="preserve">Supplementary </w:t>
      </w:r>
      <w:r w:rsidRPr="00D915E0">
        <w:rPr>
          <w:rFonts w:ascii="Arial" w:hAnsi="Arial" w:cs="Arial"/>
          <w:b/>
          <w:bCs/>
        </w:rPr>
        <w:t>f</w:t>
      </w:r>
      <w:r w:rsidRPr="00E84025">
        <w:rPr>
          <w:rFonts w:ascii="Arial" w:hAnsi="Arial" w:cs="Arial"/>
          <w:b/>
          <w:bCs/>
        </w:rPr>
        <w:t>igure 1.</w:t>
      </w:r>
      <w:r w:rsidRPr="00E84025">
        <w:rPr>
          <w:rFonts w:ascii="Arial" w:hAnsi="Arial" w:cs="Arial"/>
        </w:rPr>
        <w:t xml:space="preserve"> Ancestry PCA. Before (A) and after (B) removal of non-European donors.</w:t>
      </w:r>
    </w:p>
    <w:p w14:paraId="067D3C6F" w14:textId="77777777" w:rsidR="00E84025" w:rsidRPr="00D915E0" w:rsidRDefault="00E84025" w:rsidP="00E84025">
      <w:pPr>
        <w:rPr>
          <w:rFonts w:ascii="Arial" w:hAnsi="Arial" w:cs="Arial"/>
        </w:rPr>
      </w:pPr>
    </w:p>
    <w:p w14:paraId="767252F9" w14:textId="3796F18F" w:rsidR="00E84025" w:rsidRPr="00D915E0" w:rsidRDefault="00E84025" w:rsidP="00E84025">
      <w:pPr>
        <w:jc w:val="center"/>
        <w:rPr>
          <w:rFonts w:ascii="Arial" w:hAnsi="Arial" w:cs="Arial"/>
        </w:rPr>
      </w:pPr>
      <w:r w:rsidRPr="00D915E0">
        <w:rPr>
          <w:rFonts w:ascii="Arial" w:hAnsi="Arial" w:cs="Arial"/>
        </w:rPr>
        <w:lastRenderedPageBreak/>
        <w:drawing>
          <wp:inline distT="0" distB="0" distL="0" distR="0" wp14:anchorId="34BDCF8B" wp14:editId="1760BA68">
            <wp:extent cx="6684872" cy="9296400"/>
            <wp:effectExtent l="0" t="0" r="0" b="0"/>
            <wp:docPr id="10176871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687134" name=""/>
                    <pic:cNvPicPr/>
                  </pic:nvPicPr>
                  <pic:blipFill rotWithShape="1">
                    <a:blip r:embed="rId5"/>
                    <a:srcRect b="3723"/>
                    <a:stretch/>
                  </pic:blipFill>
                  <pic:spPr bwMode="auto">
                    <a:xfrm>
                      <a:off x="0" y="0"/>
                      <a:ext cx="6690578" cy="9304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9B2589" w14:textId="77777777" w:rsidR="00E84025" w:rsidRPr="00D915E0" w:rsidRDefault="00E84025" w:rsidP="00E84025">
      <w:pPr>
        <w:jc w:val="both"/>
        <w:rPr>
          <w:rFonts w:ascii="Arial" w:hAnsi="Arial" w:cs="Arial"/>
        </w:rPr>
      </w:pPr>
      <w:r w:rsidRPr="00E84025">
        <w:rPr>
          <w:rFonts w:ascii="Arial" w:hAnsi="Arial" w:cs="Arial"/>
          <w:b/>
          <w:bCs/>
        </w:rPr>
        <w:t>Supplementary figure 2.</w:t>
      </w:r>
      <w:r w:rsidRPr="00E84025">
        <w:rPr>
          <w:rFonts w:ascii="Arial" w:hAnsi="Arial" w:cs="Arial"/>
        </w:rPr>
        <w:t xml:space="preserve"> P-value histograms for cerebellar </w:t>
      </w:r>
      <w:proofErr w:type="spellStart"/>
      <w:r w:rsidRPr="00E84025">
        <w:rPr>
          <w:rFonts w:ascii="Arial" w:hAnsi="Arial" w:cs="Arial"/>
        </w:rPr>
        <w:t>scQTLs</w:t>
      </w:r>
      <w:proofErr w:type="spellEnd"/>
      <w:r w:rsidRPr="00E84025">
        <w:rPr>
          <w:rFonts w:ascii="Arial" w:hAnsi="Arial" w:cs="Arial"/>
        </w:rPr>
        <w:t xml:space="preserve"> per cell-types</w:t>
      </w:r>
    </w:p>
    <w:p w14:paraId="041BA921" w14:textId="77777777" w:rsidR="00E84025" w:rsidRPr="00D915E0" w:rsidRDefault="00E84025" w:rsidP="00E84025">
      <w:pPr>
        <w:jc w:val="both"/>
        <w:rPr>
          <w:rFonts w:ascii="Arial" w:hAnsi="Arial" w:cs="Arial"/>
        </w:rPr>
      </w:pPr>
    </w:p>
    <w:p w14:paraId="4CF80F15" w14:textId="6499DBE4" w:rsidR="00E84025" w:rsidRPr="00D915E0" w:rsidRDefault="00E84025" w:rsidP="00D915E0">
      <w:pPr>
        <w:jc w:val="center"/>
        <w:rPr>
          <w:rFonts w:ascii="Arial" w:hAnsi="Arial" w:cs="Arial"/>
        </w:rPr>
      </w:pPr>
      <w:r w:rsidRPr="00D915E0">
        <w:rPr>
          <w:rFonts w:ascii="Arial" w:hAnsi="Arial" w:cs="Arial"/>
        </w:rPr>
        <w:lastRenderedPageBreak/>
        <w:drawing>
          <wp:inline distT="0" distB="0" distL="0" distR="0" wp14:anchorId="7D959BC2" wp14:editId="2D5F3464">
            <wp:extent cx="6713855" cy="4584700"/>
            <wp:effectExtent l="0" t="0" r="4445" b="0"/>
            <wp:docPr id="11984431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443192" name=""/>
                    <pic:cNvPicPr/>
                  </pic:nvPicPr>
                  <pic:blipFill rotWithShape="1">
                    <a:blip r:embed="rId6"/>
                    <a:srcRect t="19120" b="33604"/>
                    <a:stretch/>
                  </pic:blipFill>
                  <pic:spPr bwMode="auto">
                    <a:xfrm>
                      <a:off x="0" y="0"/>
                      <a:ext cx="6713855" cy="4584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801672" w14:textId="77777777" w:rsidR="00E84025" w:rsidRPr="00D915E0" w:rsidRDefault="00E84025" w:rsidP="00E84025">
      <w:pPr>
        <w:jc w:val="both"/>
        <w:rPr>
          <w:rFonts w:ascii="Arial" w:hAnsi="Arial" w:cs="Arial"/>
        </w:rPr>
      </w:pPr>
      <w:r w:rsidRPr="00E84025">
        <w:rPr>
          <w:rFonts w:ascii="Arial" w:hAnsi="Arial" w:cs="Arial"/>
          <w:b/>
          <w:bCs/>
        </w:rPr>
        <w:t>Supplementary figure 3.</w:t>
      </w:r>
      <w:r w:rsidRPr="00E84025">
        <w:rPr>
          <w:rFonts w:ascii="Arial" w:hAnsi="Arial" w:cs="Arial"/>
        </w:rPr>
        <w:t xml:space="preserve"> </w:t>
      </w:r>
      <w:proofErr w:type="spellStart"/>
      <w:r w:rsidRPr="00E84025">
        <w:rPr>
          <w:rFonts w:ascii="Arial" w:hAnsi="Arial" w:cs="Arial"/>
        </w:rPr>
        <w:t>scQTL</w:t>
      </w:r>
      <w:proofErr w:type="spellEnd"/>
      <w:r w:rsidRPr="00E84025">
        <w:rPr>
          <w:rFonts w:ascii="Arial" w:hAnsi="Arial" w:cs="Arial"/>
        </w:rPr>
        <w:t xml:space="preserve"> replication p-values with Cerebellum </w:t>
      </w:r>
      <w:proofErr w:type="spellStart"/>
      <w:r w:rsidRPr="00E84025">
        <w:rPr>
          <w:rFonts w:ascii="Arial" w:hAnsi="Arial" w:cs="Arial"/>
        </w:rPr>
        <w:t>MetaBrain</w:t>
      </w:r>
      <w:proofErr w:type="spellEnd"/>
      <w:r w:rsidRPr="00E84025">
        <w:rPr>
          <w:rFonts w:ascii="Arial" w:hAnsi="Arial" w:cs="Arial"/>
        </w:rPr>
        <w:t xml:space="preserve"> </w:t>
      </w:r>
      <w:proofErr w:type="spellStart"/>
      <w:r w:rsidRPr="00E84025">
        <w:rPr>
          <w:rFonts w:ascii="Arial" w:hAnsi="Arial" w:cs="Arial"/>
        </w:rPr>
        <w:t>eQTLs</w:t>
      </w:r>
      <w:proofErr w:type="spellEnd"/>
      <w:r w:rsidRPr="00E84025">
        <w:rPr>
          <w:rFonts w:ascii="Arial" w:hAnsi="Arial" w:cs="Arial"/>
        </w:rPr>
        <w:t xml:space="preserve">. </w:t>
      </w:r>
    </w:p>
    <w:p w14:paraId="31F5BEF6" w14:textId="77777777" w:rsidR="00E84025" w:rsidRPr="00D915E0" w:rsidRDefault="00E84025" w:rsidP="00E84025">
      <w:pPr>
        <w:jc w:val="both"/>
        <w:rPr>
          <w:rFonts w:ascii="Arial" w:hAnsi="Arial" w:cs="Arial"/>
        </w:rPr>
      </w:pPr>
    </w:p>
    <w:p w14:paraId="424D9C8D" w14:textId="6962E718" w:rsidR="00E84025" w:rsidRPr="00E84025" w:rsidRDefault="00E84025" w:rsidP="00D915E0">
      <w:pPr>
        <w:jc w:val="center"/>
        <w:rPr>
          <w:rFonts w:ascii="Arial" w:hAnsi="Arial" w:cs="Arial"/>
        </w:rPr>
      </w:pPr>
      <w:r w:rsidRPr="00D915E0">
        <w:rPr>
          <w:rFonts w:ascii="Arial" w:hAnsi="Arial" w:cs="Arial"/>
        </w:rPr>
        <w:lastRenderedPageBreak/>
        <w:drawing>
          <wp:inline distT="0" distB="0" distL="0" distR="0" wp14:anchorId="12487936" wp14:editId="446D05D3">
            <wp:extent cx="6426200" cy="9282221"/>
            <wp:effectExtent l="0" t="0" r="0" b="1905"/>
            <wp:docPr id="14246851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68516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27472" cy="9284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B11A7" w14:textId="77777777" w:rsidR="00E84025" w:rsidRPr="00E84025" w:rsidRDefault="00E84025" w:rsidP="00E84025">
      <w:pPr>
        <w:jc w:val="both"/>
        <w:rPr>
          <w:rFonts w:ascii="Arial" w:hAnsi="Arial" w:cs="Arial"/>
        </w:rPr>
      </w:pPr>
      <w:r w:rsidRPr="00E84025">
        <w:rPr>
          <w:rFonts w:ascii="Arial" w:hAnsi="Arial" w:cs="Arial"/>
          <w:b/>
          <w:bCs/>
        </w:rPr>
        <w:t>Supplementary figure 4. MAGMA cell-typing.</w:t>
      </w:r>
      <w:r w:rsidRPr="00E84025">
        <w:rPr>
          <w:rFonts w:ascii="Arial" w:hAnsi="Arial" w:cs="Arial"/>
        </w:rPr>
        <w:t xml:space="preserve"> A. ET GWAS enrichment in fetal cerebellum. B. ET GWAS enrichment in adult M1 cortex. C. PD genetic enrichment in cerebellar snRNA-seq.</w:t>
      </w:r>
    </w:p>
    <w:p w14:paraId="46944948" w14:textId="77777777" w:rsidR="00E84025" w:rsidRPr="00E84025" w:rsidRDefault="00E84025" w:rsidP="00E84025">
      <w:pPr>
        <w:jc w:val="both"/>
        <w:rPr>
          <w:rFonts w:ascii="Arial" w:hAnsi="Arial" w:cs="Arial"/>
        </w:rPr>
      </w:pPr>
    </w:p>
    <w:p w14:paraId="5E191F41" w14:textId="17F61963" w:rsidR="00E84025" w:rsidRPr="00D915E0" w:rsidRDefault="00D915E0" w:rsidP="00D915E0">
      <w:pPr>
        <w:jc w:val="center"/>
        <w:rPr>
          <w:rFonts w:ascii="Arial" w:hAnsi="Arial" w:cs="Arial"/>
        </w:rPr>
      </w:pPr>
      <w:r w:rsidRPr="00D915E0">
        <w:rPr>
          <w:rFonts w:ascii="Arial" w:hAnsi="Arial" w:cs="Arial"/>
        </w:rPr>
        <w:drawing>
          <wp:inline distT="0" distB="0" distL="0" distR="0" wp14:anchorId="573898E5" wp14:editId="3EA5E84B">
            <wp:extent cx="6713855" cy="3390900"/>
            <wp:effectExtent l="0" t="0" r="4445" b="0"/>
            <wp:docPr id="13293464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346430" name=""/>
                    <pic:cNvPicPr/>
                  </pic:nvPicPr>
                  <pic:blipFill rotWithShape="1">
                    <a:blip r:embed="rId8"/>
                    <a:srcRect t="16894" b="48140"/>
                    <a:stretch/>
                  </pic:blipFill>
                  <pic:spPr bwMode="auto">
                    <a:xfrm>
                      <a:off x="0" y="0"/>
                      <a:ext cx="6713855" cy="3390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6E7C81" w14:textId="41C640B5" w:rsidR="00D915E0" w:rsidRDefault="00D915E0" w:rsidP="002A0B6C">
      <w:pPr>
        <w:jc w:val="both"/>
        <w:rPr>
          <w:rFonts w:ascii="Arial" w:hAnsi="Arial" w:cs="Arial"/>
        </w:rPr>
      </w:pPr>
      <w:r w:rsidRPr="00D915E0">
        <w:rPr>
          <w:rFonts w:ascii="Arial" w:hAnsi="Arial" w:cs="Arial"/>
          <w:b/>
          <w:bCs/>
        </w:rPr>
        <w:t>Supplementary figure 5. Oligodendrocyte subclusters differences between ET and controls</w:t>
      </w:r>
      <w:r w:rsidRPr="00D915E0">
        <w:rPr>
          <w:rFonts w:ascii="Arial" w:hAnsi="Arial" w:cs="Arial"/>
        </w:rPr>
        <w:t>. Oligo_1 adjusted p–value = 1.55e-1. Oligo_2 adjusted p-value</w:t>
      </w:r>
      <w:r>
        <w:rPr>
          <w:rFonts w:ascii="Arial" w:hAnsi="Arial" w:cs="Arial"/>
        </w:rPr>
        <w:t xml:space="preserve"> =</w:t>
      </w:r>
      <w:r w:rsidRPr="00D915E0">
        <w:rPr>
          <w:rFonts w:ascii="Arial" w:hAnsi="Arial" w:cs="Arial"/>
        </w:rPr>
        <w:t xml:space="preserve"> 2.41e-06. Oligo_3 adjusted p-value</w:t>
      </w:r>
      <w:r>
        <w:rPr>
          <w:rFonts w:ascii="Arial" w:hAnsi="Arial" w:cs="Arial"/>
        </w:rPr>
        <w:t xml:space="preserve"> =</w:t>
      </w:r>
      <w:r w:rsidRPr="00D915E0">
        <w:rPr>
          <w:rFonts w:ascii="Arial" w:hAnsi="Arial" w:cs="Arial"/>
        </w:rPr>
        <w:t xml:space="preserve"> 5.47e-8. Oligo_4 adjusted p-value</w:t>
      </w:r>
      <w:r>
        <w:rPr>
          <w:rFonts w:ascii="Arial" w:hAnsi="Arial" w:cs="Arial"/>
        </w:rPr>
        <w:t xml:space="preserve"> = </w:t>
      </w:r>
      <w:r w:rsidRPr="00D915E0">
        <w:rPr>
          <w:rFonts w:ascii="Arial" w:hAnsi="Arial" w:cs="Arial"/>
        </w:rPr>
        <w:t xml:space="preserve">2.57e-08. </w:t>
      </w:r>
      <w:r>
        <w:rPr>
          <w:rFonts w:ascii="Arial" w:hAnsi="Arial" w:cs="Arial"/>
        </w:rPr>
        <w:t xml:space="preserve">P-values were obtained from permutation testing without replacement (10,000 randomizations). </w:t>
      </w:r>
      <w:r w:rsidRPr="00D915E0">
        <w:rPr>
          <w:rFonts w:ascii="Arial" w:hAnsi="Arial" w:cs="Arial"/>
          <w:b/>
          <w:bCs/>
        </w:rPr>
        <w:t>Legend:</w:t>
      </w:r>
      <w:r w:rsidRPr="00D915E0">
        <w:rPr>
          <w:rFonts w:ascii="Arial" w:hAnsi="Arial" w:cs="Arial"/>
        </w:rPr>
        <w:t xml:space="preserve"> ns = non-significant, * = 0.05, ** = 0.005, *** = 0.0005. </w:t>
      </w:r>
    </w:p>
    <w:p w14:paraId="63E36EA8" w14:textId="77777777" w:rsidR="002A0B6C" w:rsidRDefault="002A0B6C" w:rsidP="00D915E0">
      <w:pPr>
        <w:rPr>
          <w:rFonts w:ascii="Arial" w:hAnsi="Arial" w:cs="Arial"/>
        </w:rPr>
      </w:pPr>
    </w:p>
    <w:p w14:paraId="09DF8CAE" w14:textId="4C518964" w:rsidR="002A0B6C" w:rsidRDefault="002A0B6C" w:rsidP="002A0B6C">
      <w:pPr>
        <w:jc w:val="center"/>
        <w:rPr>
          <w:rFonts w:ascii="Arial" w:hAnsi="Arial" w:cs="Arial"/>
        </w:rPr>
      </w:pPr>
      <w:r w:rsidRPr="002A0B6C">
        <w:rPr>
          <w:rFonts w:ascii="Arial" w:hAnsi="Arial" w:cs="Arial"/>
        </w:rPr>
        <w:drawing>
          <wp:inline distT="0" distB="0" distL="0" distR="0" wp14:anchorId="6F10AEF2" wp14:editId="35E0D30E">
            <wp:extent cx="6713855" cy="3581400"/>
            <wp:effectExtent l="0" t="0" r="4445" b="0"/>
            <wp:docPr id="14282642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264259" name=""/>
                    <pic:cNvPicPr/>
                  </pic:nvPicPr>
                  <pic:blipFill rotWithShape="1">
                    <a:blip r:embed="rId9"/>
                    <a:srcRect t="32871" b="30199"/>
                    <a:stretch/>
                  </pic:blipFill>
                  <pic:spPr bwMode="auto">
                    <a:xfrm>
                      <a:off x="0" y="0"/>
                      <a:ext cx="6713855" cy="3581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D2C3D0" w14:textId="77777777" w:rsidR="002A0B6C" w:rsidRPr="002A0B6C" w:rsidRDefault="002A0B6C" w:rsidP="002A0B6C">
      <w:pPr>
        <w:jc w:val="both"/>
        <w:rPr>
          <w:rFonts w:ascii="Arial" w:hAnsi="Arial" w:cs="Arial"/>
          <w:b/>
          <w:bCs/>
        </w:rPr>
      </w:pPr>
      <w:r w:rsidRPr="002A0B6C">
        <w:rPr>
          <w:rFonts w:ascii="Arial" w:hAnsi="Arial" w:cs="Arial"/>
          <w:b/>
          <w:bCs/>
        </w:rPr>
        <w:t xml:space="preserve">Supplementary figure 6. Purkinje cells DEGs pathway enrichment analysis. </w:t>
      </w:r>
    </w:p>
    <w:p w14:paraId="6388CD9D" w14:textId="1244DD06" w:rsidR="002A0B6C" w:rsidRDefault="002A0B6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6DFF29D" w14:textId="1C17F154" w:rsidR="002A0B6C" w:rsidRPr="00D915E0" w:rsidRDefault="002A0B6C" w:rsidP="002A0B6C">
      <w:pPr>
        <w:jc w:val="center"/>
        <w:rPr>
          <w:rFonts w:ascii="Arial" w:hAnsi="Arial" w:cs="Arial"/>
        </w:rPr>
      </w:pPr>
      <w:r w:rsidRPr="002A0B6C">
        <w:rPr>
          <w:rFonts w:ascii="Arial" w:hAnsi="Arial" w:cs="Arial"/>
        </w:rPr>
        <w:lastRenderedPageBreak/>
        <w:drawing>
          <wp:inline distT="0" distB="0" distL="0" distR="0" wp14:anchorId="5D91DAF6" wp14:editId="4AFACD11">
            <wp:extent cx="7386510" cy="7391400"/>
            <wp:effectExtent l="0" t="0" r="5080" b="0"/>
            <wp:docPr id="5873500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350098" name=""/>
                    <pic:cNvPicPr/>
                  </pic:nvPicPr>
                  <pic:blipFill rotWithShape="1">
                    <a:blip r:embed="rId10"/>
                    <a:srcRect t="2488" b="28235"/>
                    <a:stretch/>
                  </pic:blipFill>
                  <pic:spPr bwMode="auto">
                    <a:xfrm>
                      <a:off x="0" y="0"/>
                      <a:ext cx="7391742" cy="73966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BAED16" w14:textId="77777777" w:rsidR="002A0B6C" w:rsidRPr="002A0B6C" w:rsidRDefault="002A0B6C" w:rsidP="002A0B6C">
      <w:pPr>
        <w:jc w:val="both"/>
        <w:rPr>
          <w:rFonts w:ascii="Arial" w:hAnsi="Arial" w:cs="Arial"/>
        </w:rPr>
      </w:pPr>
      <w:r w:rsidRPr="002A0B6C">
        <w:rPr>
          <w:rFonts w:ascii="Arial" w:hAnsi="Arial" w:cs="Arial"/>
          <w:b/>
          <w:bCs/>
        </w:rPr>
        <w:t xml:space="preserve">Supplementary figure 7. </w:t>
      </w:r>
      <w:proofErr w:type="spellStart"/>
      <w:r w:rsidRPr="002A0B6C">
        <w:rPr>
          <w:rFonts w:ascii="Arial" w:hAnsi="Arial" w:cs="Arial"/>
          <w:b/>
          <w:bCs/>
        </w:rPr>
        <w:t>CellphoneDB</w:t>
      </w:r>
      <w:proofErr w:type="spellEnd"/>
      <w:r w:rsidRPr="002A0B6C">
        <w:rPr>
          <w:rFonts w:ascii="Arial" w:hAnsi="Arial" w:cs="Arial"/>
          <w:b/>
          <w:bCs/>
        </w:rPr>
        <w:t xml:space="preserve"> cell-cell communication analyses. A.</w:t>
      </w:r>
      <w:r w:rsidRPr="002A0B6C">
        <w:rPr>
          <w:rFonts w:ascii="Arial" w:hAnsi="Arial" w:cs="Arial"/>
        </w:rPr>
        <w:t xml:space="preserve"> DEG-based analysis for cell-cell communications between Golgi cells and other cerebellar cells. Dot size indicates scaled expression of receptor-ligand complex across communicating cells. Relevance color indicates whether one or both signalling complexes are DEGs in either of the cell pairs. </w:t>
      </w:r>
      <w:r w:rsidRPr="002A0B6C">
        <w:rPr>
          <w:rFonts w:ascii="Arial" w:hAnsi="Arial" w:cs="Arial"/>
          <w:b/>
          <w:bCs/>
        </w:rPr>
        <w:t>B.</w:t>
      </w:r>
      <w:r w:rsidRPr="002A0B6C">
        <w:rPr>
          <w:rFonts w:ascii="Arial" w:hAnsi="Arial" w:cs="Arial"/>
        </w:rPr>
        <w:t xml:space="preserve"> Oligo_4 interactions with other cerebellar cells using the statistical analysis method implemented in </w:t>
      </w:r>
      <w:proofErr w:type="spellStart"/>
      <w:r w:rsidRPr="002A0B6C">
        <w:rPr>
          <w:rFonts w:ascii="Arial" w:hAnsi="Arial" w:cs="Arial"/>
        </w:rPr>
        <w:t>cellphoneDB</w:t>
      </w:r>
      <w:proofErr w:type="spellEnd"/>
      <w:r w:rsidRPr="002A0B6C">
        <w:rPr>
          <w:rFonts w:ascii="Arial" w:hAnsi="Arial" w:cs="Arial"/>
        </w:rPr>
        <w:t xml:space="preserve">. Size and color of dot indicates scaled expression of the receptor-ligand in cell pairs. Red contour indicates whether receptor-ligand interaction is significant (p-value &lt; 0.05). Transparency indicates whether the interaction is specific to a certain cell pair. The higher the specificity, the higher the score. </w:t>
      </w:r>
    </w:p>
    <w:p w14:paraId="491953EF" w14:textId="77777777" w:rsidR="00D915E0" w:rsidRPr="00D915E0" w:rsidRDefault="00D915E0" w:rsidP="002A0B6C">
      <w:pPr>
        <w:rPr>
          <w:rFonts w:ascii="Arial" w:hAnsi="Arial" w:cs="Arial"/>
        </w:rPr>
      </w:pPr>
    </w:p>
    <w:sectPr w:rsidR="00D915E0" w:rsidRPr="00D915E0" w:rsidSect="0025187E">
      <w:pgSz w:w="12240" w:h="15840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025"/>
    <w:rsid w:val="00017A4C"/>
    <w:rsid w:val="00017C73"/>
    <w:rsid w:val="000366D7"/>
    <w:rsid w:val="000678B0"/>
    <w:rsid w:val="00075653"/>
    <w:rsid w:val="0008455F"/>
    <w:rsid w:val="0008738A"/>
    <w:rsid w:val="00090498"/>
    <w:rsid w:val="000B1889"/>
    <w:rsid w:val="000C6014"/>
    <w:rsid w:val="000C7516"/>
    <w:rsid w:val="000F3189"/>
    <w:rsid w:val="00100ED5"/>
    <w:rsid w:val="00110332"/>
    <w:rsid w:val="00120C2F"/>
    <w:rsid w:val="001532D6"/>
    <w:rsid w:val="0017005B"/>
    <w:rsid w:val="001970AC"/>
    <w:rsid w:val="001A164B"/>
    <w:rsid w:val="001D0469"/>
    <w:rsid w:val="001D1D72"/>
    <w:rsid w:val="001F1CEB"/>
    <w:rsid w:val="001F624A"/>
    <w:rsid w:val="001F737A"/>
    <w:rsid w:val="001F7525"/>
    <w:rsid w:val="001F7908"/>
    <w:rsid w:val="0021288F"/>
    <w:rsid w:val="00220349"/>
    <w:rsid w:val="00236134"/>
    <w:rsid w:val="0025187E"/>
    <w:rsid w:val="0026716A"/>
    <w:rsid w:val="002828A3"/>
    <w:rsid w:val="00282F10"/>
    <w:rsid w:val="00291748"/>
    <w:rsid w:val="002A0B6C"/>
    <w:rsid w:val="002A0DF7"/>
    <w:rsid w:val="002A1E13"/>
    <w:rsid w:val="002B2280"/>
    <w:rsid w:val="00304D4D"/>
    <w:rsid w:val="0034618E"/>
    <w:rsid w:val="003553F8"/>
    <w:rsid w:val="00381694"/>
    <w:rsid w:val="003A17B3"/>
    <w:rsid w:val="003A2112"/>
    <w:rsid w:val="003A5683"/>
    <w:rsid w:val="003B5F2F"/>
    <w:rsid w:val="003E0F08"/>
    <w:rsid w:val="003E4DFB"/>
    <w:rsid w:val="003E5829"/>
    <w:rsid w:val="003F2D78"/>
    <w:rsid w:val="004144E1"/>
    <w:rsid w:val="00420117"/>
    <w:rsid w:val="00434798"/>
    <w:rsid w:val="00443FDB"/>
    <w:rsid w:val="00450D98"/>
    <w:rsid w:val="00455C21"/>
    <w:rsid w:val="004C25F4"/>
    <w:rsid w:val="004D2003"/>
    <w:rsid w:val="004D7045"/>
    <w:rsid w:val="004D7A31"/>
    <w:rsid w:val="004E3FC3"/>
    <w:rsid w:val="00511B74"/>
    <w:rsid w:val="00514284"/>
    <w:rsid w:val="005200B5"/>
    <w:rsid w:val="0052046A"/>
    <w:rsid w:val="005328D3"/>
    <w:rsid w:val="0054113C"/>
    <w:rsid w:val="00550D25"/>
    <w:rsid w:val="005525A7"/>
    <w:rsid w:val="005714EE"/>
    <w:rsid w:val="0058444D"/>
    <w:rsid w:val="005873A2"/>
    <w:rsid w:val="005C4597"/>
    <w:rsid w:val="005C466A"/>
    <w:rsid w:val="005D0B4E"/>
    <w:rsid w:val="005E5ABD"/>
    <w:rsid w:val="005F4F10"/>
    <w:rsid w:val="005F51D0"/>
    <w:rsid w:val="005F614A"/>
    <w:rsid w:val="00604E3B"/>
    <w:rsid w:val="00606436"/>
    <w:rsid w:val="006119A1"/>
    <w:rsid w:val="00621A30"/>
    <w:rsid w:val="00641BEB"/>
    <w:rsid w:val="00650823"/>
    <w:rsid w:val="006636C4"/>
    <w:rsid w:val="00667B04"/>
    <w:rsid w:val="00696D5F"/>
    <w:rsid w:val="006B02F5"/>
    <w:rsid w:val="006C6FA5"/>
    <w:rsid w:val="006E410D"/>
    <w:rsid w:val="00700745"/>
    <w:rsid w:val="0071203A"/>
    <w:rsid w:val="00713AE3"/>
    <w:rsid w:val="0076436B"/>
    <w:rsid w:val="00773311"/>
    <w:rsid w:val="00784120"/>
    <w:rsid w:val="00796D88"/>
    <w:rsid w:val="007C2943"/>
    <w:rsid w:val="007D4A10"/>
    <w:rsid w:val="007E4824"/>
    <w:rsid w:val="00803C1E"/>
    <w:rsid w:val="00816E27"/>
    <w:rsid w:val="00821984"/>
    <w:rsid w:val="00823DA8"/>
    <w:rsid w:val="00826FBD"/>
    <w:rsid w:val="00840002"/>
    <w:rsid w:val="00853E2B"/>
    <w:rsid w:val="00854335"/>
    <w:rsid w:val="00864AB9"/>
    <w:rsid w:val="00877630"/>
    <w:rsid w:val="00884A88"/>
    <w:rsid w:val="008A4723"/>
    <w:rsid w:val="008A6934"/>
    <w:rsid w:val="008B1B72"/>
    <w:rsid w:val="008B6A87"/>
    <w:rsid w:val="008D1160"/>
    <w:rsid w:val="009025C7"/>
    <w:rsid w:val="00902BA4"/>
    <w:rsid w:val="00923D93"/>
    <w:rsid w:val="00926D8B"/>
    <w:rsid w:val="00930F6D"/>
    <w:rsid w:val="00942ACF"/>
    <w:rsid w:val="0094351E"/>
    <w:rsid w:val="00981E13"/>
    <w:rsid w:val="009A149D"/>
    <w:rsid w:val="009B1C50"/>
    <w:rsid w:val="009D086B"/>
    <w:rsid w:val="009D1D77"/>
    <w:rsid w:val="009D2E5E"/>
    <w:rsid w:val="009D6530"/>
    <w:rsid w:val="009E07A1"/>
    <w:rsid w:val="009E343F"/>
    <w:rsid w:val="009E4F49"/>
    <w:rsid w:val="009E6A6A"/>
    <w:rsid w:val="00A02647"/>
    <w:rsid w:val="00A139F3"/>
    <w:rsid w:val="00A17960"/>
    <w:rsid w:val="00A570E3"/>
    <w:rsid w:val="00A6138E"/>
    <w:rsid w:val="00A7752B"/>
    <w:rsid w:val="00A82221"/>
    <w:rsid w:val="00A8494E"/>
    <w:rsid w:val="00AB7830"/>
    <w:rsid w:val="00AE0E82"/>
    <w:rsid w:val="00AF203E"/>
    <w:rsid w:val="00B05D7E"/>
    <w:rsid w:val="00B102B2"/>
    <w:rsid w:val="00B47D23"/>
    <w:rsid w:val="00B936AC"/>
    <w:rsid w:val="00BA495F"/>
    <w:rsid w:val="00BB4939"/>
    <w:rsid w:val="00BB7994"/>
    <w:rsid w:val="00BC1523"/>
    <w:rsid w:val="00BC668D"/>
    <w:rsid w:val="00BD3008"/>
    <w:rsid w:val="00BE1748"/>
    <w:rsid w:val="00BF1B15"/>
    <w:rsid w:val="00C22FB0"/>
    <w:rsid w:val="00C6121D"/>
    <w:rsid w:val="00C77CEA"/>
    <w:rsid w:val="00C869C4"/>
    <w:rsid w:val="00CB58D7"/>
    <w:rsid w:val="00CC0AB4"/>
    <w:rsid w:val="00CD1CB6"/>
    <w:rsid w:val="00CF001F"/>
    <w:rsid w:val="00D12523"/>
    <w:rsid w:val="00D30709"/>
    <w:rsid w:val="00D40D6E"/>
    <w:rsid w:val="00D700AD"/>
    <w:rsid w:val="00D70672"/>
    <w:rsid w:val="00D915E0"/>
    <w:rsid w:val="00DC38D6"/>
    <w:rsid w:val="00DD31D4"/>
    <w:rsid w:val="00DE1293"/>
    <w:rsid w:val="00DE2B30"/>
    <w:rsid w:val="00DF3D6E"/>
    <w:rsid w:val="00E01BC2"/>
    <w:rsid w:val="00E06BD9"/>
    <w:rsid w:val="00E30856"/>
    <w:rsid w:val="00E3095C"/>
    <w:rsid w:val="00E32068"/>
    <w:rsid w:val="00E41501"/>
    <w:rsid w:val="00E645BC"/>
    <w:rsid w:val="00E75A7B"/>
    <w:rsid w:val="00E8331A"/>
    <w:rsid w:val="00E84025"/>
    <w:rsid w:val="00E879B2"/>
    <w:rsid w:val="00E94AA4"/>
    <w:rsid w:val="00EA28B6"/>
    <w:rsid w:val="00EB1B2C"/>
    <w:rsid w:val="00EE1660"/>
    <w:rsid w:val="00EF0F48"/>
    <w:rsid w:val="00F030FC"/>
    <w:rsid w:val="00F23D61"/>
    <w:rsid w:val="00F2760E"/>
    <w:rsid w:val="00F56120"/>
    <w:rsid w:val="00F61C94"/>
    <w:rsid w:val="00F63828"/>
    <w:rsid w:val="00F654F4"/>
    <w:rsid w:val="00F77002"/>
    <w:rsid w:val="00FA3E53"/>
    <w:rsid w:val="00FC01DE"/>
    <w:rsid w:val="00FC04B8"/>
    <w:rsid w:val="00FC4007"/>
    <w:rsid w:val="00FF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14BFE"/>
  <w15:chartTrackingRefBased/>
  <w15:docId w15:val="{9FDD21FA-796B-CF4F-9F26-BEF7434EC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40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40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40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40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40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402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402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402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402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0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40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40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40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40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40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40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40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40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402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40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402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40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402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40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40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40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40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40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40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75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9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7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Charles-Etienne Castonguay</dc:creator>
  <cp:keywords/>
  <dc:description/>
  <cp:lastModifiedBy>Charles-Etienne Castonguay</cp:lastModifiedBy>
  <cp:revision>2</cp:revision>
  <dcterms:created xsi:type="dcterms:W3CDTF">2024-04-01T14:56:00Z</dcterms:created>
  <dcterms:modified xsi:type="dcterms:W3CDTF">2024-04-01T15:17:00Z</dcterms:modified>
</cp:coreProperties>
</file>