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41DAD" w:rsidRPr="00C41DAD" w:rsidRDefault="00C41DAD" w:rsidP="00C41DAD">
      <w:pPr>
        <w:spacing w:line="480" w:lineRule="auto"/>
        <w:jc w:val="both"/>
        <w:rPr>
          <w:b/>
          <w:bCs/>
          <w:iCs/>
          <w:sz w:val="22"/>
          <w:szCs w:val="22"/>
        </w:rPr>
      </w:pPr>
      <w:r w:rsidRPr="00C41DAD">
        <w:rPr>
          <w:b/>
          <w:bCs/>
          <w:iCs/>
          <w:sz w:val="22"/>
          <w:szCs w:val="22"/>
        </w:rPr>
        <w:t>Supplementary Note</w:t>
      </w:r>
    </w:p>
    <w:p w:rsidR="007C3A0D" w:rsidRDefault="00C41DAD" w:rsidP="00C41DAD">
      <w:pPr>
        <w:spacing w:line="480" w:lineRule="auto"/>
        <w:jc w:val="both"/>
        <w:rPr>
          <w:sz w:val="22"/>
          <w:szCs w:val="22"/>
        </w:rPr>
      </w:pPr>
      <w:r>
        <w:rPr>
          <w:i/>
          <w:sz w:val="22"/>
          <w:szCs w:val="22"/>
        </w:rPr>
        <w:t>In vitro</w:t>
      </w:r>
      <w:r>
        <w:rPr>
          <w:sz w:val="22"/>
          <w:szCs w:val="22"/>
        </w:rPr>
        <w:t xml:space="preserve"> growth was phenotyped under seven conditions using the method described in </w:t>
      </w:r>
      <w:proofErr w:type="spellStart"/>
      <w:r>
        <w:rPr>
          <w:sz w:val="22"/>
          <w:szCs w:val="22"/>
        </w:rPr>
        <w:t>Boixel</w:t>
      </w:r>
      <w:proofErr w:type="spellEnd"/>
      <w:r>
        <w:rPr>
          <w:sz w:val="22"/>
          <w:szCs w:val="22"/>
        </w:rPr>
        <w:t xml:space="preserve"> et al., (2019)</w:t>
      </w:r>
      <w:r w:rsidRPr="00464AF6">
        <w:rPr>
          <w:sz w:val="22"/>
          <w:szCs w:val="22"/>
        </w:rPr>
        <w:t xml:space="preserve"> </w:t>
      </w:r>
      <w:r w:rsidRPr="00E24546">
        <w:rPr>
          <w:sz w:val="22"/>
          <w:szCs w:val="22"/>
        </w:rPr>
        <w:fldChar w:fldCharType="begin" w:fldLock="1"/>
      </w:r>
      <w:r>
        <w:rPr>
          <w:sz w:val="22"/>
          <w:szCs w:val="22"/>
        </w:rPr>
        <w:instrText>ADDIN CSL_CITATION {"citationItems":[{"id":"ITEM-1","itemData":{"DOI":"10.1007/S00248-018-1253-6/FIGURES/7","ISSN":"00953628","PMID":"30280234","abstract":"Deciphering the responses of microbial populations to spatiotemporal changes in their thermal environment is instrumental in improving our understanding of their eco-evolutionary dynamics. Recent studies have shown that current phenotyping protocols do not adequately address all dimensions of phenotype expression. Therefore, these methods can give biased assessments of sensitivity to temperature, leading to misunderstandings concerning the ecological processes underlying thermal plasticity. We describe here a new robust and versatile experimental framework for the accurate investigation of thermal performance and phenotypic diversity in yeasts and yeast-like microorganisms, at the individual and population levels. In addition to proof-of-concept, the application of this framework to the fungal wheat pathogen Zymoseptoria tritici resulted in detailed characterisations for this yeast-like microorganism of (i) the patterns of temperature-dependent changes in performance for four fitness traits; (ii) the consistency in thermal sensitivity rankings of strains between in planta and in vitro growth assessments; (iii) significant interindividual variation in thermal responses, with four principal thermotypes detected in a sample of 66 strains; and (iv) the ecological consequences of this diversity for population-level processes through pairwise competition experiments highlighting temperature-dependent outcomes. These findings extend our knowledge and ability to quantify and categorise the phenotypic heterogeneity of thermal responses. As such, they lay the foundations for further studies elucidating local adaptation patterns and the effects of temperature variations on eco-evolutionary and epidemiological processes.","author":[{"dropping-particle":"","family":"Boixel","given":"Anne Lise","non-dropping-particle":"","parse-names":false,"suffix":""},{"dropping-particle":"","family":"Delestre","given":"Ghislain","non-dropping-particle":"","parse-names":false,"suffix":""},{"dropping-particle":"","family":"Legeay","given":"Jean","non-dropping-particle":"","parse-names":false,"suffix":""},{"dropping-particle":"","family":"Chelle","given":"Michaël","non-dropping-particle":"","parse-names":false,"suffix":""},{"dropping-particle":"","family":"Suffert","given":"Frédéric","non-dropping-particle":"","parse-names":false,"suffix":""}],"container-title":"Microbial Ecology","id":"ITEM-1","issue":"1","issued":{"date-parts":[["2019","7","15"]]},"page":"42-56","publisher":"Springer New York LLC","title":"Phenotyping Thermal Responses of Yeasts and Yeast-like Microorganisms at the Individual and Population Levels: Proof-of-Concept, Development and Application of an Experimental Framework to a Plant Pathogen","type":"article-journal","volume":"78"},"uris":["http://www.mendeley.com/documents/?uuid=3f4766e1-5ea2-3d46-abbb-3cb4742e3ae1"]}],"mendeley":{"formattedCitation":"&lt;sup&gt;1&lt;/sup&gt;","plainTextFormattedCitation":"1","previouslyFormattedCitation":"(Boixel et al., 2019)"},"properties":{"noteIndex":0},"schema":"https://github.com/citation-style-language/schema/raw/master/csl-citation.json"}</w:instrText>
      </w:r>
      <w:r w:rsidRPr="00E24546">
        <w:rPr>
          <w:sz w:val="22"/>
          <w:szCs w:val="22"/>
        </w:rPr>
        <w:fldChar w:fldCharType="separate"/>
      </w:r>
      <w:r w:rsidRPr="00C41DAD">
        <w:rPr>
          <w:noProof/>
          <w:sz w:val="22"/>
          <w:szCs w:val="22"/>
          <w:vertAlign w:val="superscript"/>
        </w:rPr>
        <w:t>1</w:t>
      </w:r>
      <w:r w:rsidRPr="00E24546">
        <w:rPr>
          <w:sz w:val="22"/>
          <w:szCs w:val="22"/>
        </w:rPr>
        <w:fldChar w:fldCharType="end"/>
      </w:r>
      <w:r w:rsidRPr="00E24546">
        <w:rPr>
          <w:sz w:val="22"/>
          <w:szCs w:val="22"/>
        </w:rPr>
        <w:t xml:space="preserve">. </w:t>
      </w:r>
      <w:r>
        <w:rPr>
          <w:sz w:val="22"/>
          <w:szCs w:val="22"/>
        </w:rPr>
        <w:t>We calculated the area under the curve (AUC) as a summary value for growth performance over 5 days. Pre-cultures of wild-types and knockout lines were grown from 100μL glycerol stocks for 7 days in yeast sucrose broth medium (10g. L</w:t>
      </w:r>
      <w:r>
        <w:rPr>
          <w:sz w:val="22"/>
          <w:szCs w:val="22"/>
          <w:vertAlign w:val="superscript"/>
        </w:rPr>
        <w:t>-1</w:t>
      </w:r>
      <w:r>
        <w:rPr>
          <w:sz w:val="22"/>
          <w:szCs w:val="22"/>
        </w:rPr>
        <w:t xml:space="preserve"> yeast extract; 10 g.L</w:t>
      </w:r>
      <w:r>
        <w:rPr>
          <w:sz w:val="22"/>
          <w:szCs w:val="22"/>
          <w:vertAlign w:val="superscript"/>
        </w:rPr>
        <w:t>-1</w:t>
      </w:r>
      <w:r>
        <w:rPr>
          <w:sz w:val="22"/>
          <w:szCs w:val="22"/>
        </w:rPr>
        <w:t xml:space="preserve"> sucrose), as described in </w:t>
      </w:r>
      <w:proofErr w:type="spellStart"/>
      <w:r>
        <w:rPr>
          <w:sz w:val="22"/>
          <w:szCs w:val="22"/>
        </w:rPr>
        <w:t>Alassimone</w:t>
      </w:r>
      <w:proofErr w:type="spellEnd"/>
      <w:r>
        <w:rPr>
          <w:sz w:val="22"/>
          <w:szCs w:val="22"/>
        </w:rPr>
        <w:t xml:space="preserve"> et al., (2024)</w:t>
      </w:r>
      <w:r w:rsidRPr="00B663B1">
        <w:rPr>
          <w:sz w:val="22"/>
          <w:szCs w:val="22"/>
        </w:rPr>
        <w:t xml:space="preserve"> </w:t>
      </w:r>
      <w:r w:rsidRPr="00E24546">
        <w:rPr>
          <w:sz w:val="22"/>
          <w:szCs w:val="22"/>
        </w:rPr>
        <w:fldChar w:fldCharType="begin" w:fldLock="1"/>
      </w:r>
      <w:r>
        <w:rPr>
          <w:sz w:val="22"/>
          <w:szCs w:val="22"/>
        </w:rPr>
        <w:instrText>ADDIN CSL_CITATION {"citationItems":[{"id":"ITEM-1","itemData":{"DOI":"10.1094/MPMI-11-23-0181-R","ISSN":"0894-0282","abstract":"Zymoseptoria tritici, the causal agent of septoria tritici blotch, is one of Europe's most damaging wheat pathogens, causing significant economic losses. Genetic resistance is a common strategy to ...","author":[{"dropping-particle":"","family":"Alassimone","given":"Dr. Julien","non-dropping-particle":"","parse-names":false,"suffix":""},{"dropping-particle":"","family":"Praz","given":"Dr. Coraline","non-dropping-particle":"","parse-names":false,"suffix":""},{"dropping-particle":"","family":"Lorrain","given":"Dr. Cécile","non-dropping-particle":"","parse-names":false,"suffix":""},{"dropping-particle":"De","family":"Francesco","given":"Dr. Agustina","non-dropping-particle":"","parse-names":false,"suffix":""},{"dropping-particle":"","family":"Carrasco-López","given":"Dr. Cristian","non-dropping-particle":"","parse-names":false,"suffix":""},{"dropping-particle":"","family":"Faino","given":"Dr. Luigi","non-dropping-particle":"","parse-names":false,"suffix":""},{"dropping-particle":"","family":"Shen","given":"Ms. Ziqi","non-dropping-particle":"","parse-names":false,"suffix":""},{"dropping-particle":"","family":"Meile","given":"Dr. Lukas","non-dropping-particle":"","parse-names":false,"suffix":""},{"dropping-particle":"","family":"Vallet","given":"Dr. Andrea Sanchez","non-dropping-particle":"","parse-names":false,"suffix":""}],"container-title":"https://doi.org/10.1094/MPMI-11-23-0181-R","id":"ITEM-1","issued":{"date-parts":[["2024","1","24"]]},"publisher":"Scientific Societies","title":"The Zymoseptoria tritici avirulence factor AvrStb6 accumulates in hyphae close to stomata and triggers a wheat defense response hindering fungal penetration","type":"article-journal"},"uris":["http://www.mendeley.com/documents/?uuid=82bf7078-821f-3e60-baa9-5839a8db5e5f"]}],"mendeley":{"formattedCitation":"&lt;sup&gt;2&lt;/sup&gt;","plainTextFormattedCitation":"2","previouslyFormattedCitation":"(Alassimone et al., 2024)"},"properties":{"noteIndex":0},"schema":"https://github.com/citation-style-language/schema/raw/master/csl-citation.json"}</w:instrText>
      </w:r>
      <w:r w:rsidRPr="00E24546">
        <w:rPr>
          <w:sz w:val="22"/>
          <w:szCs w:val="22"/>
        </w:rPr>
        <w:fldChar w:fldCharType="separate"/>
      </w:r>
      <w:r w:rsidRPr="00C41DAD">
        <w:rPr>
          <w:noProof/>
          <w:sz w:val="22"/>
          <w:szCs w:val="22"/>
          <w:vertAlign w:val="superscript"/>
        </w:rPr>
        <w:t>2</w:t>
      </w:r>
      <w:r w:rsidRPr="00E24546">
        <w:rPr>
          <w:sz w:val="22"/>
          <w:szCs w:val="22"/>
        </w:rPr>
        <w:fldChar w:fldCharType="end"/>
      </w:r>
      <w:r w:rsidRPr="00E24546">
        <w:rPr>
          <w:sz w:val="22"/>
          <w:szCs w:val="22"/>
        </w:rPr>
        <w:t xml:space="preserve">. </w:t>
      </w:r>
      <w:r>
        <w:rPr>
          <w:sz w:val="22"/>
          <w:szCs w:val="22"/>
        </w:rPr>
        <w:t>Spore suspensions were adjusted to a starting concentration of 2.5x10</w:t>
      </w:r>
      <w:r>
        <w:rPr>
          <w:sz w:val="22"/>
          <w:szCs w:val="22"/>
          <w:vertAlign w:val="superscript"/>
        </w:rPr>
        <w:t>5</w:t>
      </w:r>
      <w:r>
        <w:rPr>
          <w:sz w:val="22"/>
          <w:szCs w:val="22"/>
        </w:rPr>
        <w:t xml:space="preserve"> spores/mL in liquid glucose peptone medium (GPL - 14.3 g L</w:t>
      </w:r>
      <w:r>
        <w:rPr>
          <w:sz w:val="22"/>
          <w:szCs w:val="22"/>
          <w:vertAlign w:val="superscript"/>
        </w:rPr>
        <w:t>−1</w:t>
      </w:r>
      <w:r>
        <w:rPr>
          <w:sz w:val="22"/>
          <w:szCs w:val="22"/>
        </w:rPr>
        <w:t xml:space="preserve"> dextrose, 7.1 g L</w:t>
      </w:r>
      <w:r>
        <w:rPr>
          <w:sz w:val="22"/>
          <w:szCs w:val="22"/>
          <w:vertAlign w:val="superscript"/>
        </w:rPr>
        <w:t>−1</w:t>
      </w:r>
      <w:r>
        <w:rPr>
          <w:sz w:val="22"/>
          <w:szCs w:val="22"/>
        </w:rPr>
        <w:t xml:space="preserve"> </w:t>
      </w:r>
      <w:proofErr w:type="spellStart"/>
      <w:r>
        <w:rPr>
          <w:sz w:val="22"/>
          <w:szCs w:val="22"/>
        </w:rPr>
        <w:t>bactopeptone</w:t>
      </w:r>
      <w:proofErr w:type="spellEnd"/>
      <w:r>
        <w:rPr>
          <w:sz w:val="22"/>
          <w:szCs w:val="22"/>
        </w:rPr>
        <w:t>, and 1.4 g L</w:t>
      </w:r>
      <w:r>
        <w:rPr>
          <w:sz w:val="22"/>
          <w:szCs w:val="22"/>
          <w:vertAlign w:val="superscript"/>
        </w:rPr>
        <w:t>−1</w:t>
      </w:r>
      <w:r>
        <w:rPr>
          <w:sz w:val="22"/>
          <w:szCs w:val="22"/>
        </w:rPr>
        <w:t xml:space="preserve"> yeast extract) amended with 1M of potassium chloride, or 1mM oxygen peroxide, 2mM salicylic acid or 2mM gibberellic acid to create osmotic, oxidative, salicylic and gibberellic acid stress, respectively. Mild temperature heat stress was generated in GPL media at 25°C. We included a pH 4.5 environment for low pH stress and as a control condition for the other acidic conditions. The control growth environment was performed in GPL media and at a temperature of 18°C. All media contained kanamycin sulfate (50 μg.ml</w:t>
      </w:r>
      <w:r>
        <w:rPr>
          <w:sz w:val="22"/>
          <w:szCs w:val="22"/>
          <w:vertAlign w:val="superscript"/>
        </w:rPr>
        <w:t>−1</w:t>
      </w:r>
      <w:r>
        <w:rPr>
          <w:sz w:val="22"/>
          <w:szCs w:val="22"/>
        </w:rPr>
        <w:t>). Optical density at 405nm was measured with a plate reader (</w:t>
      </w:r>
      <w:r w:rsidRPr="00FC23BB">
        <w:rPr>
          <w:sz w:val="22"/>
          <w:szCs w:val="22"/>
        </w:rPr>
        <w:t>Spark 10M Multimode Microplate Reader</w:t>
      </w:r>
      <w:r>
        <w:rPr>
          <w:sz w:val="22"/>
          <w:szCs w:val="22"/>
        </w:rPr>
        <w:t>, Tecan). The growth is summed up by the experimental area under the curve (</w:t>
      </w:r>
      <w:proofErr w:type="spellStart"/>
      <w:r>
        <w:rPr>
          <w:sz w:val="22"/>
          <w:szCs w:val="22"/>
        </w:rPr>
        <w:t>eAUC</w:t>
      </w:r>
      <w:proofErr w:type="spellEnd"/>
      <w:r>
        <w:rPr>
          <w:sz w:val="22"/>
          <w:szCs w:val="22"/>
        </w:rPr>
        <w:t>) measured during 5 days by optical density at 405nm in liquid glucose peptone medium at 18°C (Control), osmotic stress (KCL), oxidative stress (H2O2), salicylic acid stress (SA), gibberellic acid stress (GB), temperature heat stress (25°C) and at pH 4.5.</w:t>
      </w:r>
    </w:p>
    <w:p w:rsidR="00C41DAD" w:rsidRDefault="00C41DAD" w:rsidP="00C41DAD">
      <w:pPr>
        <w:spacing w:line="480" w:lineRule="auto"/>
        <w:jc w:val="both"/>
        <w:rPr>
          <w:sz w:val="22"/>
          <w:szCs w:val="22"/>
        </w:rPr>
      </w:pPr>
    </w:p>
    <w:p w:rsidR="00C41DAD" w:rsidRPr="00C41DAD" w:rsidRDefault="00C41DAD" w:rsidP="00C41DAD">
      <w:pPr>
        <w:widowControl w:val="0"/>
        <w:autoSpaceDE w:val="0"/>
        <w:autoSpaceDN w:val="0"/>
        <w:adjustRightInd w:val="0"/>
        <w:spacing w:line="480" w:lineRule="auto"/>
        <w:ind w:left="640" w:hanging="640"/>
        <w:jc w:val="both"/>
        <w:rPr>
          <w:rFonts w:ascii="Calibri" w:hAnsi="Calibri" w:cs="Calibri"/>
          <w:noProof/>
          <w:kern w:val="0"/>
          <w:lang w:val="en-GB"/>
        </w:rPr>
      </w:pPr>
      <w:r>
        <w:fldChar w:fldCharType="begin" w:fldLock="1"/>
      </w:r>
      <w:r>
        <w:instrText xml:space="preserve">ADDIN Mendeley Bibliography CSL_BIBLIOGRAPHY </w:instrText>
      </w:r>
      <w:r>
        <w:fldChar w:fldCharType="separate"/>
      </w:r>
      <w:r w:rsidRPr="00C41DAD">
        <w:rPr>
          <w:rFonts w:ascii="Calibri" w:hAnsi="Calibri" w:cs="Calibri"/>
          <w:noProof/>
          <w:kern w:val="0"/>
          <w:lang w:val="en-GB"/>
        </w:rPr>
        <w:t>1.</w:t>
      </w:r>
      <w:r w:rsidRPr="00C41DAD">
        <w:rPr>
          <w:rFonts w:ascii="Calibri" w:hAnsi="Calibri" w:cs="Calibri"/>
          <w:noProof/>
          <w:kern w:val="0"/>
          <w:lang w:val="en-GB"/>
        </w:rPr>
        <w:tab/>
        <w:t xml:space="preserve">Boixel, A. L., Delestre, G., Legeay, J., Chelle, M. &amp; Suffert, F. Phenotyping Thermal Responses of Yeasts and Yeast-like Microorganisms at the Individual and Population Levels: Proof-of-Concept, Development and Application of an Experimental Framework to a Plant Pathogen. </w:t>
      </w:r>
      <w:r w:rsidRPr="00C41DAD">
        <w:rPr>
          <w:rFonts w:ascii="Calibri" w:hAnsi="Calibri" w:cs="Calibri"/>
          <w:i/>
          <w:iCs/>
          <w:noProof/>
          <w:kern w:val="0"/>
          <w:lang w:val="en-GB"/>
        </w:rPr>
        <w:t>Microb. Ecol.</w:t>
      </w:r>
      <w:r w:rsidRPr="00C41DAD">
        <w:rPr>
          <w:rFonts w:ascii="Calibri" w:hAnsi="Calibri" w:cs="Calibri"/>
          <w:noProof/>
          <w:kern w:val="0"/>
          <w:lang w:val="en-GB"/>
        </w:rPr>
        <w:t xml:space="preserve"> </w:t>
      </w:r>
      <w:r w:rsidRPr="00C41DAD">
        <w:rPr>
          <w:rFonts w:ascii="Calibri" w:hAnsi="Calibri" w:cs="Calibri"/>
          <w:b/>
          <w:bCs/>
          <w:noProof/>
          <w:kern w:val="0"/>
          <w:lang w:val="en-GB"/>
        </w:rPr>
        <w:t>78</w:t>
      </w:r>
      <w:r w:rsidRPr="00C41DAD">
        <w:rPr>
          <w:rFonts w:ascii="Calibri" w:hAnsi="Calibri" w:cs="Calibri"/>
          <w:noProof/>
          <w:kern w:val="0"/>
          <w:lang w:val="en-GB"/>
        </w:rPr>
        <w:t>, 42–56 (2019).</w:t>
      </w:r>
    </w:p>
    <w:p w:rsidR="00C41DAD" w:rsidRPr="00C41DAD" w:rsidRDefault="00C41DAD" w:rsidP="00C41DAD">
      <w:pPr>
        <w:widowControl w:val="0"/>
        <w:autoSpaceDE w:val="0"/>
        <w:autoSpaceDN w:val="0"/>
        <w:adjustRightInd w:val="0"/>
        <w:spacing w:line="480" w:lineRule="auto"/>
        <w:ind w:left="640" w:hanging="640"/>
        <w:jc w:val="both"/>
        <w:rPr>
          <w:rFonts w:ascii="Calibri" w:hAnsi="Calibri" w:cs="Calibri"/>
          <w:noProof/>
        </w:rPr>
      </w:pPr>
      <w:r w:rsidRPr="00C41DAD">
        <w:rPr>
          <w:rFonts w:ascii="Calibri" w:hAnsi="Calibri" w:cs="Calibri"/>
          <w:noProof/>
          <w:kern w:val="0"/>
          <w:lang w:val="en-GB"/>
        </w:rPr>
        <w:t>2.</w:t>
      </w:r>
      <w:r w:rsidRPr="00C41DAD">
        <w:rPr>
          <w:rFonts w:ascii="Calibri" w:hAnsi="Calibri" w:cs="Calibri"/>
          <w:noProof/>
          <w:kern w:val="0"/>
          <w:lang w:val="en-GB"/>
        </w:rPr>
        <w:tab/>
        <w:t xml:space="preserve">Alassimone, D. J. </w:t>
      </w:r>
      <w:r w:rsidRPr="00C41DAD">
        <w:rPr>
          <w:rFonts w:ascii="Calibri" w:hAnsi="Calibri" w:cs="Calibri"/>
          <w:i/>
          <w:iCs/>
          <w:noProof/>
          <w:kern w:val="0"/>
          <w:lang w:val="en-GB"/>
        </w:rPr>
        <w:t>et al.</w:t>
      </w:r>
      <w:r w:rsidRPr="00C41DAD">
        <w:rPr>
          <w:rFonts w:ascii="Calibri" w:hAnsi="Calibri" w:cs="Calibri"/>
          <w:noProof/>
          <w:kern w:val="0"/>
          <w:lang w:val="en-GB"/>
        </w:rPr>
        <w:t xml:space="preserve"> The Zymoseptoria tritici avirulence factor AvrStb6 accumulates in hyphae close to stomata and triggers a wheat defense response hindering fungal penetration. </w:t>
      </w:r>
      <w:r w:rsidRPr="00C41DAD">
        <w:rPr>
          <w:rFonts w:ascii="Calibri" w:hAnsi="Calibri" w:cs="Calibri"/>
          <w:i/>
          <w:iCs/>
          <w:noProof/>
          <w:kern w:val="0"/>
          <w:lang w:val="en-GB"/>
        </w:rPr>
        <w:t>https://doi.org/10.1094/MPMI-11-23-0181-R</w:t>
      </w:r>
      <w:r w:rsidRPr="00C41DAD">
        <w:rPr>
          <w:rFonts w:ascii="Calibri" w:hAnsi="Calibri" w:cs="Calibri"/>
          <w:noProof/>
          <w:kern w:val="0"/>
          <w:lang w:val="en-GB"/>
        </w:rPr>
        <w:t xml:space="preserve"> (2024) doi:10.1094/MPMI-</w:t>
      </w:r>
      <w:r w:rsidRPr="00C41DAD">
        <w:rPr>
          <w:rFonts w:ascii="Calibri" w:hAnsi="Calibri" w:cs="Calibri"/>
          <w:noProof/>
          <w:kern w:val="0"/>
          <w:lang w:val="en-GB"/>
        </w:rPr>
        <w:lastRenderedPageBreak/>
        <w:t>11-23-0181-R.</w:t>
      </w:r>
    </w:p>
    <w:p w:rsidR="00C41DAD" w:rsidRDefault="00C41DAD" w:rsidP="00C41DAD">
      <w:pPr>
        <w:widowControl w:val="0"/>
        <w:autoSpaceDE w:val="0"/>
        <w:autoSpaceDN w:val="0"/>
        <w:adjustRightInd w:val="0"/>
        <w:spacing w:line="480" w:lineRule="auto"/>
        <w:ind w:left="480" w:hanging="480"/>
        <w:jc w:val="both"/>
      </w:pPr>
      <w:r>
        <w:fldChar w:fldCharType="end"/>
      </w:r>
    </w:p>
    <w:sectPr w:rsidR="00C41DAD" w:rsidSect="00322A0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DAD"/>
    <w:rsid w:val="001273E6"/>
    <w:rsid w:val="00322A09"/>
    <w:rsid w:val="003A2931"/>
    <w:rsid w:val="007C3A0D"/>
    <w:rsid w:val="00C41DAD"/>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48306"/>
  <w15:chartTrackingRefBased/>
  <w15:docId w15:val="{26EAA0C5-F2BC-584A-8980-D10289B30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aliases w:val="Intense Quote CL"/>
    <w:basedOn w:val="Normal"/>
    <w:next w:val="Normal"/>
    <w:link w:val="IntenseQuoteChar"/>
    <w:uiPriority w:val="30"/>
    <w:qFormat/>
    <w:rsid w:val="003A2931"/>
    <w:pPr>
      <w:framePr w:wrap="around" w:vAnchor="text" w:hAnchor="text" w:y="1"/>
      <w:pBdr>
        <w:top w:val="single" w:sz="4" w:space="10" w:color="4472C4" w:themeColor="accent1"/>
        <w:bottom w:val="single" w:sz="4" w:space="10" w:color="4472C4" w:themeColor="accent1"/>
      </w:pBdr>
      <w:spacing w:before="360" w:after="360"/>
      <w:ind w:left="862" w:right="862"/>
      <w:jc w:val="center"/>
    </w:pPr>
    <w:rPr>
      <w:rFonts w:cs="Times New Roman (Body CS)"/>
      <w:b/>
      <w:iCs/>
      <w:caps/>
      <w:color w:val="000000" w:themeColor="text1"/>
      <w:kern w:val="0"/>
      <w14:ligatures w14:val="none"/>
    </w:rPr>
  </w:style>
  <w:style w:type="character" w:customStyle="1" w:styleId="IntenseQuoteChar">
    <w:name w:val="Intense Quote Char"/>
    <w:aliases w:val="Intense Quote CL Char"/>
    <w:basedOn w:val="DefaultParagraphFont"/>
    <w:link w:val="IntenseQuote"/>
    <w:uiPriority w:val="30"/>
    <w:rsid w:val="003A2931"/>
    <w:rPr>
      <w:rFonts w:cs="Times New Roman (Body CS)"/>
      <w:b/>
      <w:iCs/>
      <w:caps/>
      <w:color w:val="000000" w:themeColor="text1"/>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8CC51-ACA7-4945-82D4-BA9B7B994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1128</Words>
  <Characters>6513</Characters>
  <Application>Microsoft Office Word</Application>
  <DocSecurity>0</DocSecurity>
  <Lines>94</Lines>
  <Paragraphs>22</Paragraphs>
  <ScaleCrop>false</ScaleCrop>
  <Company/>
  <LinksUpToDate>false</LinksUpToDate>
  <CharactersWithSpaces>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Cecile Lorrain</dc:creator>
  <cp:keywords/>
  <dc:description/>
  <cp:lastModifiedBy>Cecile Lorrain</cp:lastModifiedBy>
  <cp:revision>1</cp:revision>
  <dcterms:created xsi:type="dcterms:W3CDTF">2024-05-15T17:41:00Z</dcterms:created>
  <dcterms:modified xsi:type="dcterms:W3CDTF">2024-05-15T17:42:00Z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http://www.zotero.org/styles/annual-review-of-phytopathology</vt:lpwstr>
  </property>
  <property fmtid="{D5CDD505-2E9C-101B-9397-08002B2CF9AE}" pid="5" name="Mendeley Recent Style Name 1_1">
    <vt:lpwstr>Annual Review of Phytopathology</vt:lpwstr>
  </property>
  <property fmtid="{D5CDD505-2E9C-101B-9397-08002B2CF9AE}" pid="6" name="Mendeley Recent Style Id 2_1">
    <vt:lpwstr>http://www.zotero.org/styles/cell</vt:lpwstr>
  </property>
  <property fmtid="{D5CDD505-2E9C-101B-9397-08002B2CF9AE}" pid="7" name="Mendeley Recent Style Name 2_1">
    <vt:lpwstr>Cell</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http://www.zotero.org/styles/environmental-microbiology</vt:lpwstr>
  </property>
  <property fmtid="{D5CDD505-2E9C-101B-9397-08002B2CF9AE}" pid="11" name="Mendeley Recent Style Name 4_1">
    <vt:lpwstr>Environmental Microbiology</vt:lpwstr>
  </property>
  <property fmtid="{D5CDD505-2E9C-101B-9397-08002B2CF9AE}" pid="12" name="Mendeley Recent Style Id 5_1">
    <vt:lpwstr>http://www.zotero.org/styles/g3</vt:lpwstr>
  </property>
  <property fmtid="{D5CDD505-2E9C-101B-9397-08002B2CF9AE}" pid="13" name="Mendeley Recent Style Name 5_1">
    <vt:lpwstr>G3: Genes, Genomes, Genetics</vt:lpwstr>
  </property>
  <property fmtid="{D5CDD505-2E9C-101B-9397-08002B2CF9AE}" pid="14" name="Mendeley Recent Style Id 6_1">
    <vt:lpwstr>http://www.zotero.org/styles/genetics</vt:lpwstr>
  </property>
  <property fmtid="{D5CDD505-2E9C-101B-9397-08002B2CF9AE}" pid="15" name="Mendeley Recent Style Name 6_1">
    <vt:lpwstr>Genetics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44b436f1-1499-3db7-85cf-f7c6e82692d7</vt:lpwstr>
  </property>
  <property fmtid="{D5CDD505-2E9C-101B-9397-08002B2CF9AE}" pid="24" name="Mendeley Citation Style_1">
    <vt:lpwstr>http://www.zotero.org/styles/nature</vt:lpwstr>
  </property>
</Properties>
</file>