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4E5BA9" w14:textId="77777777" w:rsidR="00CB58ED" w:rsidRPr="00CE223D" w:rsidRDefault="00CB58ED" w:rsidP="00CB58ED">
      <w:pPr>
        <w:pStyle w:val="Heading1"/>
        <w:spacing w:after="0" w:line="480" w:lineRule="auto"/>
        <w:ind w:left="0" w:firstLine="0"/>
        <w:rPr>
          <w:rFonts w:ascii="Arial" w:hAnsi="Arial" w:cs="Arial"/>
          <w:caps w:val="0"/>
          <w:sz w:val="28"/>
          <w:szCs w:val="28"/>
        </w:rPr>
      </w:pPr>
      <w:r w:rsidRPr="00CE223D">
        <w:rPr>
          <w:rFonts w:ascii="Arial" w:hAnsi="Arial" w:cs="Arial"/>
          <w:caps w:val="0"/>
          <w:sz w:val="28"/>
          <w:szCs w:val="28"/>
        </w:rPr>
        <w:t>Appendix</w:t>
      </w:r>
    </w:p>
    <w:p w14:paraId="401F2814" w14:textId="77777777" w:rsidR="00CB58ED" w:rsidRPr="00CE223D" w:rsidRDefault="00CB58ED" w:rsidP="00CB58ED">
      <w:pPr>
        <w:pStyle w:val="Caption"/>
        <w:keepNext/>
        <w:spacing w:after="0" w:line="480" w:lineRule="auto"/>
        <w:rPr>
          <w:rFonts w:ascii="Arial" w:hAnsi="Arial" w:cs="Arial"/>
          <w:b/>
          <w:bCs/>
          <w:i w:val="0"/>
          <w:iCs w:val="0"/>
        </w:rPr>
      </w:pPr>
    </w:p>
    <w:p w14:paraId="06515E43" w14:textId="393F4071" w:rsidR="00CB58ED" w:rsidRPr="00CE223D" w:rsidRDefault="00FD3A89" w:rsidP="00CB58ED">
      <w:pPr>
        <w:pStyle w:val="Caption"/>
        <w:keepNext/>
        <w:spacing w:after="0" w:line="480" w:lineRule="auto"/>
        <w:jc w:val="both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 xml:space="preserve">Table 3. </w:t>
      </w:r>
      <w:r w:rsidR="00CB58ED" w:rsidRPr="00CE223D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Codes considered for patient inclusion in the Veneto</w:t>
      </w:r>
      <w:r w:rsidR="00CB58ED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 xml:space="preserve"> study </w:t>
      </w:r>
      <w:r w:rsidR="00CB58ED" w:rsidRPr="00CE223D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fldChar w:fldCharType="begin" w:fldLock="1"/>
      </w:r>
      <w:r w:rsidR="00CB58ED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instrText>ADDIN CSL_CITATION {"citationItems":[{"id":"ITEM-1","itemData":{"author":[{"dropping-particle":"","family":"Region Veneto","given":"","non-dropping-particle":"","parse-names":false,"suffix":""}],"id":"ITEM-1","issued":{"date-parts":[["0"]]},"title":"Regional analysis of patients with severe uncontrolled asthma, with exemption code 007, requiring monitoring in a specialized center. Decree N. 54, attachment A, April 2018.","type":"article"},"uris":["http://www.mendeley.com/documents/?uuid=57dd4e3b-f25f-4c68-84ca-f80a945f97ac"]}],"mendeley":{"formattedCitation":"[41]","plainTextFormattedCitation":"[41]","previouslyFormattedCitation":"[41]"},"properties":{"noteIndex":0},"schema":"https://github.com/citation-style-language/schema/raw/master/csl-citation.json"}</w:instrText>
      </w:r>
      <w:r w:rsidR="00CB58ED" w:rsidRPr="00CE223D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CB58ED" w:rsidRPr="00CE223D">
        <w:rPr>
          <w:rFonts w:ascii="Arial" w:hAnsi="Arial" w:cs="Arial"/>
          <w:b/>
          <w:bCs/>
          <w:i w:val="0"/>
          <w:iCs w:val="0"/>
          <w:noProof/>
          <w:color w:val="auto"/>
          <w:sz w:val="22"/>
          <w:szCs w:val="22"/>
        </w:rPr>
        <w:t>[41]</w:t>
      </w:r>
      <w:r w:rsidR="00CB58ED" w:rsidRPr="00CE223D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fldChar w:fldCharType="end"/>
      </w:r>
      <w:r w:rsidR="00CB58ED" w:rsidRPr="00CE223D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210"/>
        <w:gridCol w:w="3210"/>
        <w:gridCol w:w="3208"/>
      </w:tblGrid>
      <w:tr w:rsidR="00CB58ED" w:rsidRPr="00CE223D" w14:paraId="43D95AAA" w14:textId="77777777" w:rsidTr="006C0F6D">
        <w:trPr>
          <w:trHeight w:val="454"/>
        </w:trPr>
        <w:tc>
          <w:tcPr>
            <w:tcW w:w="1667" w:type="pct"/>
            <w:shd w:val="clear" w:color="auto" w:fill="auto"/>
            <w:vAlign w:val="center"/>
          </w:tcPr>
          <w:p w14:paraId="7A99DF64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CE223D">
              <w:rPr>
                <w:rFonts w:ascii="Arial" w:hAnsi="Arial" w:cs="Arial"/>
                <w:b/>
                <w:bCs/>
                <w:lang w:val="en-GB"/>
              </w:rPr>
              <w:t>Inclusion criteria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7C1C0239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CE223D">
              <w:rPr>
                <w:rFonts w:ascii="Arial" w:hAnsi="Arial" w:cs="Arial"/>
                <w:b/>
                <w:bCs/>
                <w:lang w:val="en-GB"/>
              </w:rPr>
              <w:t>Code type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598E517F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CE223D">
              <w:rPr>
                <w:rFonts w:ascii="Arial" w:hAnsi="Arial" w:cs="Arial"/>
                <w:b/>
                <w:bCs/>
                <w:lang w:val="en-GB"/>
              </w:rPr>
              <w:t>Code</w:t>
            </w:r>
          </w:p>
        </w:tc>
      </w:tr>
      <w:tr w:rsidR="00CB58ED" w:rsidRPr="00CE223D" w14:paraId="49C79C5D" w14:textId="77777777" w:rsidTr="006C0F6D">
        <w:tc>
          <w:tcPr>
            <w:tcW w:w="1667" w:type="pct"/>
            <w:vAlign w:val="center"/>
          </w:tcPr>
          <w:p w14:paraId="04780A52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Asthma</w:t>
            </w:r>
          </w:p>
        </w:tc>
        <w:tc>
          <w:tcPr>
            <w:tcW w:w="1667" w:type="pct"/>
            <w:vAlign w:val="center"/>
          </w:tcPr>
          <w:p w14:paraId="0C30A81C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Exemption code</w:t>
            </w:r>
          </w:p>
        </w:tc>
        <w:tc>
          <w:tcPr>
            <w:tcW w:w="1666" w:type="pct"/>
            <w:vAlign w:val="center"/>
          </w:tcPr>
          <w:p w14:paraId="41ADF61D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007</w:t>
            </w:r>
          </w:p>
        </w:tc>
      </w:tr>
      <w:tr w:rsidR="00CB58ED" w:rsidRPr="00CE223D" w14:paraId="07DE681E" w14:textId="77777777" w:rsidTr="006C0F6D">
        <w:tc>
          <w:tcPr>
            <w:tcW w:w="1667" w:type="pct"/>
            <w:vAlign w:val="center"/>
          </w:tcPr>
          <w:p w14:paraId="09C66FDC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Spirometry</w:t>
            </w:r>
          </w:p>
        </w:tc>
        <w:tc>
          <w:tcPr>
            <w:tcW w:w="1667" w:type="pct"/>
            <w:vAlign w:val="center"/>
          </w:tcPr>
          <w:p w14:paraId="1CBDF6C2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Specialist ambulatory codes</w:t>
            </w:r>
          </w:p>
        </w:tc>
        <w:tc>
          <w:tcPr>
            <w:tcW w:w="1666" w:type="pct"/>
            <w:vAlign w:val="center"/>
          </w:tcPr>
          <w:p w14:paraId="3EB02DEB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89.37, 89.38</w:t>
            </w:r>
          </w:p>
        </w:tc>
      </w:tr>
      <w:tr w:rsidR="00CB58ED" w:rsidRPr="00CE223D" w14:paraId="41D01066" w14:textId="77777777" w:rsidTr="006C0F6D">
        <w:tc>
          <w:tcPr>
            <w:tcW w:w="1667" w:type="pct"/>
            <w:vAlign w:val="center"/>
          </w:tcPr>
          <w:p w14:paraId="7A4CEEE8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ICS</w:t>
            </w:r>
          </w:p>
        </w:tc>
        <w:tc>
          <w:tcPr>
            <w:tcW w:w="1667" w:type="pct"/>
            <w:vAlign w:val="center"/>
          </w:tcPr>
          <w:p w14:paraId="74763A55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ATC codes</w:t>
            </w:r>
          </w:p>
        </w:tc>
        <w:tc>
          <w:tcPr>
            <w:tcW w:w="1666" w:type="pct"/>
            <w:vAlign w:val="center"/>
          </w:tcPr>
          <w:p w14:paraId="76A8B90D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R03BA, R03AK</w:t>
            </w:r>
          </w:p>
        </w:tc>
      </w:tr>
      <w:tr w:rsidR="00CB58ED" w:rsidRPr="00CE223D" w14:paraId="29796887" w14:textId="77777777" w:rsidTr="006C0F6D">
        <w:tc>
          <w:tcPr>
            <w:tcW w:w="1667" w:type="pct"/>
            <w:vAlign w:val="center"/>
          </w:tcPr>
          <w:p w14:paraId="6611E973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LABA</w:t>
            </w:r>
          </w:p>
        </w:tc>
        <w:tc>
          <w:tcPr>
            <w:tcW w:w="1667" w:type="pct"/>
            <w:vAlign w:val="center"/>
          </w:tcPr>
          <w:p w14:paraId="5835DD28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ATC codes</w:t>
            </w:r>
          </w:p>
        </w:tc>
        <w:tc>
          <w:tcPr>
            <w:tcW w:w="1666" w:type="pct"/>
            <w:vAlign w:val="center"/>
          </w:tcPr>
          <w:p w14:paraId="25723574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R03AC12, R03AC13, R03AC14, R03AC18, R03AK06, R03AK07, R03CC12, R03CC13, R03CC90</w:t>
            </w:r>
          </w:p>
        </w:tc>
      </w:tr>
      <w:tr w:rsidR="00CB58ED" w:rsidRPr="00CE223D" w14:paraId="7126A8E1" w14:textId="77777777" w:rsidTr="006C0F6D">
        <w:tc>
          <w:tcPr>
            <w:tcW w:w="1667" w:type="pct"/>
            <w:vAlign w:val="center"/>
          </w:tcPr>
          <w:p w14:paraId="31ABBE2A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Theophylline</w:t>
            </w:r>
          </w:p>
        </w:tc>
        <w:tc>
          <w:tcPr>
            <w:tcW w:w="1667" w:type="pct"/>
            <w:vAlign w:val="center"/>
          </w:tcPr>
          <w:p w14:paraId="24AB10CD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ATC codes</w:t>
            </w:r>
          </w:p>
        </w:tc>
        <w:tc>
          <w:tcPr>
            <w:tcW w:w="1666" w:type="pct"/>
            <w:vAlign w:val="center"/>
          </w:tcPr>
          <w:p w14:paraId="51B03D26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R03DA04</w:t>
            </w:r>
          </w:p>
        </w:tc>
      </w:tr>
      <w:tr w:rsidR="00CB58ED" w:rsidRPr="00CE223D" w14:paraId="5061613C" w14:textId="77777777" w:rsidTr="006C0F6D">
        <w:tc>
          <w:tcPr>
            <w:tcW w:w="1667" w:type="pct"/>
            <w:vAlign w:val="center"/>
          </w:tcPr>
          <w:p w14:paraId="7329A3EA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High-dose ICS treatment</w:t>
            </w:r>
          </w:p>
        </w:tc>
        <w:tc>
          <w:tcPr>
            <w:tcW w:w="1667" w:type="pct"/>
            <w:vAlign w:val="center"/>
          </w:tcPr>
          <w:p w14:paraId="1F8242AB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ATC codes</w:t>
            </w:r>
          </w:p>
        </w:tc>
        <w:tc>
          <w:tcPr>
            <w:tcW w:w="1666" w:type="pct"/>
            <w:vAlign w:val="center"/>
          </w:tcPr>
          <w:p w14:paraId="63445AEF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R03DC</w:t>
            </w:r>
          </w:p>
        </w:tc>
      </w:tr>
      <w:tr w:rsidR="00CB58ED" w:rsidRPr="00CE223D" w14:paraId="5AACACFF" w14:textId="77777777" w:rsidTr="006C0F6D">
        <w:tc>
          <w:tcPr>
            <w:tcW w:w="1667" w:type="pct"/>
            <w:vAlign w:val="center"/>
          </w:tcPr>
          <w:p w14:paraId="42DC0F8A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Inpatient admission for exacerbation</w:t>
            </w:r>
          </w:p>
        </w:tc>
        <w:tc>
          <w:tcPr>
            <w:tcW w:w="1667" w:type="pct"/>
            <w:vAlign w:val="center"/>
          </w:tcPr>
          <w:p w14:paraId="0F4D0BAF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ICD-9</w:t>
            </w:r>
          </w:p>
        </w:tc>
        <w:tc>
          <w:tcPr>
            <w:tcW w:w="1666" w:type="pct"/>
            <w:vAlign w:val="center"/>
          </w:tcPr>
          <w:p w14:paraId="19C5F74B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493</w:t>
            </w:r>
          </w:p>
        </w:tc>
      </w:tr>
      <w:tr w:rsidR="00CB58ED" w:rsidRPr="00CE223D" w14:paraId="3CB23D02" w14:textId="77777777" w:rsidTr="006C0F6D">
        <w:tc>
          <w:tcPr>
            <w:tcW w:w="1667" w:type="pct"/>
            <w:vAlign w:val="center"/>
          </w:tcPr>
          <w:p w14:paraId="2D7587AF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Corticosteroids</w:t>
            </w:r>
          </w:p>
        </w:tc>
        <w:tc>
          <w:tcPr>
            <w:tcW w:w="1667" w:type="pct"/>
            <w:vAlign w:val="center"/>
          </w:tcPr>
          <w:p w14:paraId="10E2FE46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ATC codes</w:t>
            </w:r>
          </w:p>
        </w:tc>
        <w:tc>
          <w:tcPr>
            <w:tcW w:w="1666" w:type="pct"/>
            <w:vAlign w:val="center"/>
          </w:tcPr>
          <w:p w14:paraId="6F4171A8" w14:textId="77777777" w:rsidR="00CB58ED" w:rsidRPr="00CE223D" w:rsidRDefault="00CB58ED" w:rsidP="006C0F6D">
            <w:pPr>
              <w:spacing w:line="276" w:lineRule="auto"/>
              <w:jc w:val="center"/>
              <w:rPr>
                <w:rFonts w:ascii="Arial" w:hAnsi="Arial" w:cs="Arial"/>
                <w:lang w:val="en-GB"/>
              </w:rPr>
            </w:pPr>
            <w:r w:rsidRPr="00CE223D">
              <w:rPr>
                <w:rFonts w:ascii="Arial" w:hAnsi="Arial" w:cs="Arial"/>
                <w:lang w:val="en-GB"/>
              </w:rPr>
              <w:t>H02</w:t>
            </w:r>
          </w:p>
        </w:tc>
      </w:tr>
    </w:tbl>
    <w:p w14:paraId="1CDB3CB0" w14:textId="77777777" w:rsidR="00CB58ED" w:rsidRPr="00CE223D" w:rsidRDefault="00CB58ED" w:rsidP="00CB58ED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CE223D">
        <w:rPr>
          <w:rFonts w:ascii="Arial" w:hAnsi="Arial" w:cs="Arial"/>
          <w:sz w:val="18"/>
          <w:szCs w:val="18"/>
        </w:rPr>
        <w:t>ATC: Anatomical Therapeutic Chemical; ICD: International Classification of Diseases; ICS: Inhaled Corticosteroids; LABA: Long-Acting Beta-Agonists.</w:t>
      </w:r>
    </w:p>
    <w:p w14:paraId="52B28CD4" w14:textId="77777777" w:rsidR="00514322" w:rsidRDefault="00514322"/>
    <w:sectPr w:rsidR="005143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8ED"/>
    <w:rsid w:val="003357BC"/>
    <w:rsid w:val="00514322"/>
    <w:rsid w:val="006B50B0"/>
    <w:rsid w:val="007F6754"/>
    <w:rsid w:val="00AE0111"/>
    <w:rsid w:val="00CB58ED"/>
    <w:rsid w:val="00FD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1A574"/>
  <w15:chartTrackingRefBased/>
  <w15:docId w15:val="{6A2E560C-53B1-4FF6-91E6-329EDFEB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8ED"/>
    <w:pPr>
      <w:spacing w:line="480" w:lineRule="auto"/>
    </w:pPr>
    <w:rPr>
      <w:rFonts w:eastAsia="MS Mincho"/>
    </w:rPr>
  </w:style>
  <w:style w:type="paragraph" w:styleId="Heading1">
    <w:name w:val="heading 1"/>
    <w:basedOn w:val="NoSpacing"/>
    <w:next w:val="Normal"/>
    <w:link w:val="Heading1Char"/>
    <w:qFormat/>
    <w:rsid w:val="00CB58ED"/>
    <w:pPr>
      <w:spacing w:after="240"/>
      <w:ind w:left="432" w:hanging="432"/>
      <w:outlineLvl w:val="0"/>
    </w:pPr>
    <w:rPr>
      <w:rFonts w:ascii="Segoe UI Semilight" w:hAnsi="Segoe UI Semilight" w:cs="Segoe UI Semilight"/>
      <w:b/>
      <w:cap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B58ED"/>
    <w:rPr>
      <w:rFonts w:ascii="Segoe UI Semilight" w:eastAsia="MS Mincho" w:hAnsi="Segoe UI Semilight" w:cs="Segoe UI Semilight"/>
      <w:b/>
      <w:caps/>
      <w:sz w:val="24"/>
    </w:rPr>
  </w:style>
  <w:style w:type="table" w:styleId="TableGrid">
    <w:name w:val="Table Grid"/>
    <w:aliases w:val="Lash Style Table,Dossier table,Summary Table"/>
    <w:basedOn w:val="TableNormal"/>
    <w:rsid w:val="00CB58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B58E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  <w:rsid w:val="00CB58ED"/>
    <w:pPr>
      <w:spacing w:after="0" w:line="240" w:lineRule="auto"/>
    </w:pPr>
    <w:rPr>
      <w:rFonts w:eastAsia="MS Minch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Bozzari</dc:creator>
  <cp:keywords/>
  <dc:description/>
  <cp:lastModifiedBy>Ilaria Bozzari</cp:lastModifiedBy>
  <cp:revision>2</cp:revision>
  <dcterms:created xsi:type="dcterms:W3CDTF">2020-07-16T09:59:00Z</dcterms:created>
  <dcterms:modified xsi:type="dcterms:W3CDTF">2020-07-16T10:41:00Z</dcterms:modified>
</cp:coreProperties>
</file>