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802" w:type="dxa"/>
        <w:tblInd w:w="113" w:type="dxa"/>
        <w:tblLook w:val="04A0" w:firstRow="1" w:lastRow="0" w:firstColumn="1" w:lastColumn="0" w:noHBand="0" w:noVBand="1"/>
      </w:tblPr>
      <w:tblGrid>
        <w:gridCol w:w="3397"/>
        <w:gridCol w:w="1985"/>
        <w:gridCol w:w="1984"/>
        <w:gridCol w:w="1714"/>
        <w:gridCol w:w="1020"/>
        <w:gridCol w:w="1480"/>
        <w:gridCol w:w="222"/>
      </w:tblGrid>
      <w:tr w:rsidR="00A400CA" w:rsidRPr="00CA4859" w14:paraId="4A7A23A1" w14:textId="77777777" w:rsidTr="0008749E">
        <w:trPr>
          <w:gridAfter w:val="1"/>
          <w:wAfter w:w="222" w:type="dxa"/>
          <w:trHeight w:val="419"/>
        </w:trPr>
        <w:tc>
          <w:tcPr>
            <w:tcW w:w="11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89687B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  <w14:ligatures w14:val="none"/>
              </w:rPr>
              <w:t xml:space="preserve">Table S1. </w:t>
            </w: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  <w:t>Cycle characteristics for NAC group versus control group—per-protocol analyses among participant</w:t>
            </w:r>
            <w:r w:rsidRPr="00CA485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  <w14:ligatures w14:val="none"/>
              </w:rPr>
              <w:t>s</w:t>
            </w: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  <w:t xml:space="preserve"> who complied with the protocol</w:t>
            </w:r>
          </w:p>
        </w:tc>
      </w:tr>
      <w:tr w:rsidR="00A400CA" w:rsidRPr="00CA4859" w14:paraId="61973AA2" w14:textId="77777777" w:rsidTr="0008749E">
        <w:trPr>
          <w:gridAfter w:val="1"/>
          <w:wAfter w:w="222" w:type="dxa"/>
          <w:trHeight w:val="284"/>
        </w:trPr>
        <w:tc>
          <w:tcPr>
            <w:tcW w:w="33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5B586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Outcome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1ADF2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 xml:space="preserve">NAC group  </w:t>
            </w:r>
          </w:p>
          <w:p w14:paraId="337AF5B5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N=1</w:t>
            </w:r>
            <w:r w:rsidRPr="00CA485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9"/>
                <w:szCs w:val="19"/>
                <w14:ligatures w14:val="none"/>
              </w:rPr>
              <w:t>0</w:t>
            </w: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3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0DD99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 xml:space="preserve">Control group </w:t>
            </w:r>
          </w:p>
          <w:p w14:paraId="60B1FCF0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N=1</w:t>
            </w:r>
            <w:r w:rsidRPr="00CA485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9"/>
                <w:szCs w:val="19"/>
                <w14:ligatures w14:val="none"/>
              </w:rPr>
              <w:t>03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17288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 xml:space="preserve">Risk ratio </w:t>
            </w:r>
          </w:p>
          <w:p w14:paraId="14D3A21A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(95% CI)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E78FE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746EEE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14:ligatures w14:val="none"/>
              </w:rPr>
              <w:t>u</w:t>
            </w: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  <w:t xml:space="preserve"> value/</w:t>
            </w:r>
          </w:p>
          <w:p w14:paraId="33D08551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14:ligatures w14:val="none"/>
              </w:rPr>
              <w:t>χ</w:t>
            </w:r>
            <w:r w:rsidRPr="00CA485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vertAlign w:val="superscript"/>
                <w14:ligatures w14:val="none"/>
              </w:rPr>
              <w:t>2</w:t>
            </w: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  <w:t xml:space="preserve"> value</w:t>
            </w:r>
          </w:p>
        </w:tc>
      </w:tr>
      <w:tr w:rsidR="00A400CA" w:rsidRPr="00CA4859" w14:paraId="1B9EBB72" w14:textId="77777777" w:rsidTr="0008749E">
        <w:trPr>
          <w:trHeight w:val="303"/>
        </w:trPr>
        <w:tc>
          <w:tcPr>
            <w:tcW w:w="33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13A43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4D4EA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8CDCE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1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C3C88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AFCC2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14:ligatures w14:val="none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F5FAA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D7A5" w14:textId="77777777" w:rsidR="00A400CA" w:rsidRPr="00CA4859" w:rsidRDefault="00A400CA" w:rsidP="0008749E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2"/>
                <w14:ligatures w14:val="none"/>
              </w:rPr>
            </w:pPr>
          </w:p>
        </w:tc>
      </w:tr>
      <w:tr w:rsidR="00A400CA" w:rsidRPr="00CA4859" w14:paraId="412B240A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9CA79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Underwent single-cycle OI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29576D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3.88% (4/103)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50BD7C5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1.94% (2/103)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61A556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-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10CF59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0.448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EF73E1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1.606</w:t>
            </w:r>
          </w:p>
        </w:tc>
        <w:tc>
          <w:tcPr>
            <w:tcW w:w="222" w:type="dxa"/>
            <w:vAlign w:val="center"/>
            <w:hideMark/>
          </w:tcPr>
          <w:p w14:paraId="0F3D63D2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46711BC6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268AE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Underwent two-cycle OI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4694E7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28.16% (29/103)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ECB5CE0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34.95% (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3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6/103)</w:t>
            </w:r>
          </w:p>
        </w:tc>
        <w:tc>
          <w:tcPr>
            <w:tcW w:w="1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B6DA10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865BE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3D9E6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478B4F61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42B9028B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43451B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Underwent three-cycle OI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BBF1645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67.96% (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70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/103)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C6197A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63.11% (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65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/103)</w:t>
            </w:r>
          </w:p>
        </w:tc>
        <w:tc>
          <w:tcPr>
            <w:tcW w:w="1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CC30F1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E5C4D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7CC23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144F5693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0E0AE1A3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370BA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Total no. of OI cycles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286E6D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272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D214A26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269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1268C12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-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8302F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D43E9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25E2EF81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097ECD56" w14:textId="77777777" w:rsidTr="0008749E">
        <w:trPr>
          <w:trHeight w:val="488"/>
        </w:trPr>
        <w:tc>
          <w:tcPr>
            <w:tcW w:w="11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7EDF6A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OI cycle characteristics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684DBDFF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4CD03A93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80CB8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Ovulation per cycle, %(n)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2CDCB0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95.59%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(2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60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/2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72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81B30B8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94.05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% (2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53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/2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69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28C216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1.37(0.65, 2.95)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AA8528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0.420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C32E18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0.650</w:t>
            </w:r>
          </w:p>
        </w:tc>
        <w:tc>
          <w:tcPr>
            <w:tcW w:w="222" w:type="dxa"/>
            <w:vAlign w:val="center"/>
            <w:hideMark/>
          </w:tcPr>
          <w:p w14:paraId="36CC0B09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6BF9884D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3FF3A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No. of anovulatory and follicular atresia cycles, %(n)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6434E80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3.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31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% (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9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/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272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F277D36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4.46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% (1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/2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69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FB4C11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0.73(0.30, 1.77)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A22501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0.488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7288E0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0.481</w:t>
            </w:r>
          </w:p>
        </w:tc>
        <w:tc>
          <w:tcPr>
            <w:tcW w:w="222" w:type="dxa"/>
            <w:vAlign w:val="center"/>
            <w:hideMark/>
          </w:tcPr>
          <w:p w14:paraId="22FA00B3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002D3F04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ED16E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 xml:space="preserve">No of Mono-ovulation cycles, %(n)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E552B0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8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3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.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82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% (2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28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/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272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A1E8BB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8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2.90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% (22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3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/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269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6A09A7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1.07(0.68, 1.68)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011C98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0.773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B2AD4A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0.083</w:t>
            </w:r>
          </w:p>
        </w:tc>
        <w:tc>
          <w:tcPr>
            <w:tcW w:w="222" w:type="dxa"/>
            <w:vAlign w:val="center"/>
            <w:hideMark/>
          </w:tcPr>
          <w:p w14:paraId="39AEC0F5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40C1251B" w14:textId="77777777" w:rsidTr="0008749E">
        <w:trPr>
          <w:trHeight w:val="48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71EEB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 xml:space="preserve">No of Multiple-ovulation cycles, %(n)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CA0C7D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12.87%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(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35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/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272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4E0DF2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12.64%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 xml:space="preserve"> (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34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/2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69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79E48B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1.02(0.62, 1.69)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416410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0.937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A8A32A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0.006</w:t>
            </w:r>
          </w:p>
        </w:tc>
        <w:tc>
          <w:tcPr>
            <w:tcW w:w="222" w:type="dxa"/>
            <w:vAlign w:val="center"/>
            <w:hideMark/>
          </w:tcPr>
          <w:p w14:paraId="028844B9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6D7AEE94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9439E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D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 xml:space="preserve">ays 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of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uFSH stimulation, (d)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A63E7D3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5.00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(4.00, 6.75)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5C18B47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6.00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(5.00, 7.00)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D0905EC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-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35147C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0.0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22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5FCC84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047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 xml:space="preserve"> </w:t>
            </w:r>
          </w:p>
        </w:tc>
        <w:tc>
          <w:tcPr>
            <w:tcW w:w="222" w:type="dxa"/>
            <w:vAlign w:val="center"/>
            <w:hideMark/>
          </w:tcPr>
          <w:p w14:paraId="473593FB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4AD11A57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FA146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Total days of ovulation induction, (d)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87AB77E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10.00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(9.00, 12.00)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6DE5E67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11.00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(10.00, 13.00)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BD8522F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-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D5BAD3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0.0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39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6D2444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309</w:t>
            </w:r>
          </w:p>
        </w:tc>
        <w:tc>
          <w:tcPr>
            <w:tcW w:w="222" w:type="dxa"/>
            <w:vAlign w:val="center"/>
            <w:hideMark/>
          </w:tcPr>
          <w:p w14:paraId="541528F5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1ADB983A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C658E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Endometrial thickness on hCG trigger day (mm)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00CC48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9.00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(8.00, 9.00)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3A9BBE1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9.00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(8.00, 9.00)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99526C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-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FBCF1B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0.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851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 xml:space="preserve"> 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44F86F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1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074</w:t>
            </w:r>
          </w:p>
        </w:tc>
        <w:tc>
          <w:tcPr>
            <w:tcW w:w="222" w:type="dxa"/>
            <w:vAlign w:val="center"/>
            <w:hideMark/>
          </w:tcPr>
          <w:p w14:paraId="64FB6196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7016BB2F" w14:textId="77777777" w:rsidTr="0008749E">
        <w:trPr>
          <w:trHeight w:val="488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BAFA6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OHSS rate per cycle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:vertAlign w:val="superscript"/>
                <w14:ligatures w14:val="none"/>
              </w:rPr>
              <w:t>#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, %(n)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F3E778E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2.57%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(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7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/2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72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7D4CFD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 xml:space="preserve">3.35% 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(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9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/2</w:t>
            </w: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69</w:t>
            </w:r>
            <w:r w:rsidRPr="00CA4859"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3FF6DEA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0.76(0.28, 2.08)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2861FB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0.596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43A7F6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 w:hint="eastAsia"/>
                <w:kern w:val="0"/>
                <w:sz w:val="19"/>
                <w:szCs w:val="19"/>
                <w14:ligatures w14:val="none"/>
              </w:rPr>
              <w:t>0.281</w:t>
            </w:r>
          </w:p>
        </w:tc>
        <w:tc>
          <w:tcPr>
            <w:tcW w:w="222" w:type="dxa"/>
            <w:vAlign w:val="center"/>
            <w:hideMark/>
          </w:tcPr>
          <w:p w14:paraId="178F50AD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317FF13" w14:textId="77777777" w:rsidR="00A400CA" w:rsidRPr="00E74CAC" w:rsidRDefault="00A400CA" w:rsidP="00A400CA">
      <w:pPr>
        <w:rPr>
          <w:rFonts w:ascii="Times New Roman" w:hAnsi="Times New Roman" w:cs="Times New Roman"/>
        </w:rPr>
      </w:pPr>
      <w:r w:rsidRPr="00E74CAC">
        <w:rPr>
          <w:rFonts w:ascii="Times New Roman" w:hAnsi="Times New Roman" w:cs="Times New Roman"/>
          <w:b/>
          <w:bCs/>
        </w:rPr>
        <w:t>Note:</w:t>
      </w:r>
      <w:r w:rsidRPr="00E74CAC">
        <w:rPr>
          <w:rFonts w:ascii="Times New Roman" w:hAnsi="Times New Roman" w:cs="Times New Roman"/>
        </w:rPr>
        <w:t xml:space="preserve"> Data are presented as</w:t>
      </w:r>
      <w:r>
        <w:rPr>
          <w:rFonts w:ascii="Times New Roman" w:hAnsi="Times New Roman" w:cs="Times New Roman" w:hint="eastAsia"/>
        </w:rPr>
        <w:t xml:space="preserve"> </w:t>
      </w:r>
      <w:r w:rsidRPr="00E74CAC">
        <w:rPr>
          <w:rFonts w:ascii="Times New Roman" w:hAnsi="Times New Roman" w:cs="Times New Roman"/>
        </w:rPr>
        <w:t xml:space="preserve">median (25th and 75th percentile) or </w:t>
      </w:r>
      <w:r>
        <w:rPr>
          <w:rFonts w:ascii="Times New Roman" w:hAnsi="Times New Roman" w:cs="Times New Roman" w:hint="eastAsia"/>
        </w:rPr>
        <w:t>%(</w:t>
      </w:r>
      <w:r w:rsidRPr="00E74CAC">
        <w:rPr>
          <w:rFonts w:ascii="Times New Roman" w:hAnsi="Times New Roman" w:cs="Times New Roman"/>
        </w:rPr>
        <w:t>number). Mann</w:t>
      </w:r>
      <w:r w:rsidRPr="00E74CAC">
        <w:rPr>
          <w:rFonts w:ascii="Times New Roman" w:eastAsia="MS Gothic" w:hAnsi="Times New Roman" w:cs="Times New Roman"/>
        </w:rPr>
        <w:t>‒</w:t>
      </w:r>
      <w:r w:rsidRPr="00E74CAC">
        <w:rPr>
          <w:rFonts w:ascii="Times New Roman" w:hAnsi="Times New Roman" w:cs="Times New Roman"/>
        </w:rPr>
        <w:t>Whitney U statistics were used for continuous variables and chi-square tests were used for categorical variables.</w:t>
      </w:r>
      <w:r>
        <w:rPr>
          <w:rFonts w:ascii="Times New Roman" w:hAnsi="Times New Roman" w:cs="Times New Roman" w:hint="eastAsia"/>
        </w:rPr>
        <w:t xml:space="preserve"> </w:t>
      </w:r>
      <w:r w:rsidRPr="00E74CAC">
        <w:rPr>
          <w:rFonts w:ascii="Cambria" w:eastAsia="等线" w:hAnsi="Cambria" w:cs="宋体"/>
          <w:color w:val="212121"/>
          <w:kern w:val="0"/>
          <w:sz w:val="19"/>
          <w:szCs w:val="19"/>
        </w:rPr>
        <w:t xml:space="preserve">Mono-ovulation cycle is defined as a cycle in which only one follicle measuring 14mm or larger is ovulated. Multiple ovulation cycles </w:t>
      </w:r>
      <w:r w:rsidRPr="00E74CAC">
        <w:rPr>
          <w:rFonts w:ascii="Cambria" w:eastAsia="等线" w:hAnsi="Cambria" w:cs="宋体"/>
          <w:color w:val="212121"/>
          <w:kern w:val="0"/>
          <w:sz w:val="19"/>
          <w:szCs w:val="19"/>
        </w:rPr>
        <w:lastRenderedPageBreak/>
        <w:t xml:space="preserve">defined as two or more follicles, each measuring 14mm or more, ovulating. </w:t>
      </w:r>
      <w:r>
        <w:rPr>
          <w:rFonts w:ascii="Cambria" w:eastAsia="等线" w:hAnsi="Cambria" w:cs="宋体" w:hint="eastAsia"/>
          <w:color w:val="212121"/>
          <w:kern w:val="0"/>
          <w:sz w:val="19"/>
          <w:szCs w:val="19"/>
        </w:rPr>
        <w:t>T</w:t>
      </w:r>
      <w:r w:rsidRPr="00FD17B2">
        <w:rPr>
          <w:rFonts w:ascii="Cambria" w:eastAsia="等线" w:hAnsi="Cambria" w:cs="宋体"/>
          <w:color w:val="212121"/>
          <w:kern w:val="0"/>
          <w:sz w:val="19"/>
          <w:szCs w:val="19"/>
        </w:rPr>
        <w:t xml:space="preserve">otal days of ovulation induction refers to the duration from the commencement of oral letrozole administration to the day of hCG trigger. </w:t>
      </w:r>
      <w:r w:rsidRPr="00AA25EA">
        <w:rPr>
          <w:rFonts w:ascii="Cambria" w:eastAsia="等线" w:hAnsi="Cambria" w:cs="宋体"/>
          <w:color w:val="212121"/>
          <w:kern w:val="0"/>
          <w:sz w:val="19"/>
          <w:szCs w:val="19"/>
          <w:vertAlign w:val="superscript"/>
        </w:rPr>
        <w:t>#</w:t>
      </w:r>
      <w:r w:rsidRPr="00E74CAC">
        <w:rPr>
          <w:rFonts w:ascii="Cambria" w:eastAsia="等线" w:hAnsi="Cambria" w:cs="宋体"/>
          <w:color w:val="212121"/>
          <w:kern w:val="0"/>
          <w:sz w:val="19"/>
          <w:szCs w:val="19"/>
        </w:rPr>
        <w:t>, All participants were mild OHSS.</w:t>
      </w:r>
      <w:r>
        <w:rPr>
          <w:rFonts w:ascii="Cambria" w:eastAsia="等线" w:hAnsi="Cambria" w:cs="宋体" w:hint="eastAsia"/>
          <w:color w:val="212121"/>
          <w:kern w:val="0"/>
          <w:sz w:val="19"/>
          <w:szCs w:val="19"/>
        </w:rPr>
        <w:t xml:space="preserve"> </w:t>
      </w:r>
      <w:r w:rsidRPr="00E74CAC">
        <w:rPr>
          <w:rFonts w:ascii="Cambria" w:eastAsia="等线" w:hAnsi="Cambria" w:cs="宋体"/>
          <w:color w:val="212121"/>
          <w:kern w:val="0"/>
          <w:sz w:val="19"/>
          <w:szCs w:val="19"/>
        </w:rPr>
        <w:t>NAC, N-acetyl-L-cysteine; OI, ovulation induction;</w:t>
      </w:r>
      <w:r w:rsidRPr="00B819EB">
        <w:t xml:space="preserve"> </w:t>
      </w:r>
      <w:r w:rsidRPr="00B819EB">
        <w:rPr>
          <w:rFonts w:ascii="Cambria" w:eastAsia="等线" w:hAnsi="Cambria" w:cs="宋体"/>
          <w:color w:val="212121"/>
          <w:kern w:val="0"/>
          <w:sz w:val="19"/>
          <w:szCs w:val="19"/>
        </w:rPr>
        <w:t xml:space="preserve">uFSH, </w:t>
      </w:r>
      <w:r>
        <w:rPr>
          <w:rFonts w:ascii="Cambria" w:eastAsia="等线" w:hAnsi="Cambria" w:cs="宋体" w:hint="eastAsia"/>
          <w:color w:val="212121"/>
          <w:kern w:val="0"/>
          <w:sz w:val="19"/>
          <w:szCs w:val="19"/>
        </w:rPr>
        <w:t>u</w:t>
      </w:r>
      <w:r w:rsidRPr="00B819EB">
        <w:rPr>
          <w:rFonts w:ascii="Cambria" w:eastAsia="等线" w:hAnsi="Cambria" w:cs="宋体"/>
          <w:color w:val="212121"/>
          <w:kern w:val="0"/>
          <w:sz w:val="19"/>
          <w:szCs w:val="19"/>
        </w:rPr>
        <w:t xml:space="preserve">rinary </w:t>
      </w:r>
      <w:r>
        <w:rPr>
          <w:rFonts w:ascii="Cambria" w:eastAsia="等线" w:hAnsi="Cambria" w:cs="宋体" w:hint="eastAsia"/>
          <w:color w:val="212121"/>
          <w:kern w:val="0"/>
          <w:sz w:val="19"/>
          <w:szCs w:val="19"/>
        </w:rPr>
        <w:t>f</w:t>
      </w:r>
      <w:r w:rsidRPr="00B819EB">
        <w:rPr>
          <w:rFonts w:ascii="Cambria" w:eastAsia="等线" w:hAnsi="Cambria" w:cs="宋体"/>
          <w:color w:val="212121"/>
          <w:kern w:val="0"/>
          <w:sz w:val="19"/>
          <w:szCs w:val="19"/>
        </w:rPr>
        <w:t>ollicle-</w:t>
      </w:r>
      <w:r>
        <w:rPr>
          <w:rFonts w:ascii="Cambria" w:eastAsia="等线" w:hAnsi="Cambria" w:cs="宋体" w:hint="eastAsia"/>
          <w:color w:val="212121"/>
          <w:kern w:val="0"/>
          <w:sz w:val="19"/>
          <w:szCs w:val="19"/>
        </w:rPr>
        <w:t>s</w:t>
      </w:r>
      <w:r w:rsidRPr="00B819EB">
        <w:rPr>
          <w:rFonts w:ascii="Cambria" w:eastAsia="等线" w:hAnsi="Cambria" w:cs="宋体"/>
          <w:color w:val="212121"/>
          <w:kern w:val="0"/>
          <w:sz w:val="19"/>
          <w:szCs w:val="19"/>
        </w:rPr>
        <w:t xml:space="preserve">timulating </w:t>
      </w:r>
      <w:r>
        <w:rPr>
          <w:rFonts w:ascii="Cambria" w:eastAsia="等线" w:hAnsi="Cambria" w:cs="宋体" w:hint="eastAsia"/>
          <w:color w:val="212121"/>
          <w:kern w:val="0"/>
          <w:sz w:val="19"/>
          <w:szCs w:val="19"/>
        </w:rPr>
        <w:t>h</w:t>
      </w:r>
      <w:r w:rsidRPr="00B819EB">
        <w:rPr>
          <w:rFonts w:ascii="Cambria" w:eastAsia="等线" w:hAnsi="Cambria" w:cs="宋体"/>
          <w:color w:val="212121"/>
          <w:kern w:val="0"/>
          <w:sz w:val="19"/>
          <w:szCs w:val="19"/>
        </w:rPr>
        <w:t xml:space="preserve">ormone; hCG, </w:t>
      </w:r>
      <w:r>
        <w:rPr>
          <w:rFonts w:ascii="Cambria" w:eastAsia="等线" w:hAnsi="Cambria" w:cs="宋体" w:hint="eastAsia"/>
          <w:color w:val="212121"/>
          <w:kern w:val="0"/>
          <w:sz w:val="19"/>
          <w:szCs w:val="19"/>
        </w:rPr>
        <w:t>h</w:t>
      </w:r>
      <w:r w:rsidRPr="00B819EB">
        <w:rPr>
          <w:rFonts w:ascii="Cambria" w:eastAsia="等线" w:hAnsi="Cambria" w:cs="宋体"/>
          <w:color w:val="212121"/>
          <w:kern w:val="0"/>
          <w:sz w:val="19"/>
          <w:szCs w:val="19"/>
        </w:rPr>
        <w:t xml:space="preserve">uman </w:t>
      </w:r>
      <w:r>
        <w:rPr>
          <w:rFonts w:ascii="Cambria" w:eastAsia="等线" w:hAnsi="Cambria" w:cs="宋体" w:hint="eastAsia"/>
          <w:color w:val="212121"/>
          <w:kern w:val="0"/>
          <w:sz w:val="19"/>
          <w:szCs w:val="19"/>
        </w:rPr>
        <w:t>c</w:t>
      </w:r>
      <w:r w:rsidRPr="00B819EB">
        <w:rPr>
          <w:rFonts w:ascii="Cambria" w:eastAsia="等线" w:hAnsi="Cambria" w:cs="宋体"/>
          <w:color w:val="212121"/>
          <w:kern w:val="0"/>
          <w:sz w:val="19"/>
          <w:szCs w:val="19"/>
        </w:rPr>
        <w:t xml:space="preserve">horionic </w:t>
      </w:r>
      <w:r>
        <w:rPr>
          <w:rFonts w:ascii="Cambria" w:eastAsia="等线" w:hAnsi="Cambria" w:cs="宋体" w:hint="eastAsia"/>
          <w:color w:val="212121"/>
          <w:kern w:val="0"/>
          <w:sz w:val="19"/>
          <w:szCs w:val="19"/>
        </w:rPr>
        <w:t>g</w:t>
      </w:r>
      <w:r w:rsidRPr="00B819EB">
        <w:rPr>
          <w:rFonts w:ascii="Cambria" w:eastAsia="等线" w:hAnsi="Cambria" w:cs="宋体"/>
          <w:color w:val="212121"/>
          <w:kern w:val="0"/>
          <w:sz w:val="19"/>
          <w:szCs w:val="19"/>
        </w:rPr>
        <w:t>onadotropin.</w:t>
      </w:r>
      <w:r>
        <w:rPr>
          <w:rFonts w:ascii="Cambria" w:eastAsia="等线" w:hAnsi="Cambria" w:cs="宋体" w:hint="eastAsia"/>
          <w:color w:val="212121"/>
          <w:kern w:val="0"/>
          <w:sz w:val="19"/>
          <w:szCs w:val="19"/>
        </w:rPr>
        <w:t xml:space="preserve"> </w:t>
      </w:r>
      <w:r w:rsidRPr="00E74CAC">
        <w:rPr>
          <w:rFonts w:ascii="Cambria" w:eastAsia="等线" w:hAnsi="Cambria" w:cs="宋体"/>
          <w:color w:val="212121"/>
          <w:kern w:val="0"/>
          <w:sz w:val="19"/>
          <w:szCs w:val="19"/>
        </w:rPr>
        <w:t>OHSS, ovarian hyperstimulation syndrome; CI, confidence interval.</w:t>
      </w:r>
    </w:p>
    <w:p w14:paraId="3AA13F43" w14:textId="77777777" w:rsidR="00A400CA" w:rsidRDefault="00A400CA" w:rsidP="00A400CA"/>
    <w:p w14:paraId="5704D27E" w14:textId="77777777" w:rsidR="00A400CA" w:rsidRDefault="00A400CA" w:rsidP="00A400CA"/>
    <w:tbl>
      <w:tblPr>
        <w:tblW w:w="17722" w:type="dxa"/>
        <w:tblInd w:w="113" w:type="dxa"/>
        <w:tblLook w:val="04A0" w:firstRow="1" w:lastRow="0" w:firstColumn="1" w:lastColumn="0" w:noHBand="0" w:noVBand="1"/>
      </w:tblPr>
      <w:tblGrid>
        <w:gridCol w:w="3019"/>
        <w:gridCol w:w="1935"/>
        <w:gridCol w:w="24"/>
        <w:gridCol w:w="1941"/>
        <w:gridCol w:w="18"/>
        <w:gridCol w:w="2067"/>
        <w:gridCol w:w="72"/>
        <w:gridCol w:w="986"/>
        <w:gridCol w:w="34"/>
        <w:gridCol w:w="1484"/>
        <w:gridCol w:w="222"/>
        <w:gridCol w:w="1480"/>
        <w:gridCol w:w="1480"/>
        <w:gridCol w:w="1480"/>
        <w:gridCol w:w="1480"/>
      </w:tblGrid>
      <w:tr w:rsidR="00A400CA" w:rsidRPr="00CA4859" w14:paraId="09CE5E1F" w14:textId="77777777" w:rsidTr="0008749E">
        <w:trPr>
          <w:gridAfter w:val="4"/>
          <w:wAfter w:w="5920" w:type="dxa"/>
          <w:trHeight w:val="563"/>
        </w:trPr>
        <w:tc>
          <w:tcPr>
            <w:tcW w:w="115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6F0C0DDA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等线" w:eastAsia="等线" w:hAnsi="等线" w:cs="宋体" w:hint="eastAsia"/>
                <w:b/>
                <w:bCs/>
                <w:kern w:val="0"/>
                <w:sz w:val="22"/>
                <w14:ligatures w14:val="none"/>
              </w:rPr>
              <w:t>Table S2. Pregnancy outcomes for NAC group versus control group—</w:t>
            </w: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  <w:t>per-protocol analyses among participant</w:t>
            </w:r>
            <w:r w:rsidRPr="00CA485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  <w14:ligatures w14:val="none"/>
              </w:rPr>
              <w:t>s</w:t>
            </w: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  <w:t xml:space="preserve"> who complied with the protocol</w:t>
            </w:r>
          </w:p>
        </w:tc>
        <w:tc>
          <w:tcPr>
            <w:tcW w:w="222" w:type="dxa"/>
            <w:vAlign w:val="center"/>
          </w:tcPr>
          <w:p w14:paraId="3C7C5B7B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7A8FFB56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FD75F8" w14:textId="77777777" w:rsidR="00A400CA" w:rsidRPr="00CA4859" w:rsidRDefault="00A400CA" w:rsidP="0008749E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Outcome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A39977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 xml:space="preserve">NAC group  </w:t>
            </w:r>
          </w:p>
          <w:p w14:paraId="4943330F" w14:textId="77777777" w:rsidR="00A400CA" w:rsidRPr="00CA4859" w:rsidRDefault="00A400CA" w:rsidP="0008749E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N=1</w:t>
            </w:r>
            <w:r w:rsidRPr="00CA485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9"/>
                <w:szCs w:val="19"/>
                <w14:ligatures w14:val="none"/>
              </w:rPr>
              <w:t>03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0AB592" w14:textId="77777777" w:rsidR="00A400CA" w:rsidRPr="00CA4859" w:rsidRDefault="00A400CA" w:rsidP="000874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 xml:space="preserve">Control group </w:t>
            </w:r>
          </w:p>
          <w:p w14:paraId="5FE463D3" w14:textId="77777777" w:rsidR="00A400CA" w:rsidRPr="00CA4859" w:rsidRDefault="00A400CA" w:rsidP="0008749E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N=1</w:t>
            </w:r>
            <w:r w:rsidRPr="00CA4859">
              <w:rPr>
                <w:rFonts w:ascii="Times New Roman" w:eastAsia="等线" w:hAnsi="Times New Roman" w:cs="Times New Roman" w:hint="eastAsia"/>
                <w:b/>
                <w:bCs/>
                <w:kern w:val="0"/>
                <w:sz w:val="19"/>
                <w:szCs w:val="19"/>
                <w14:ligatures w14:val="none"/>
              </w:rPr>
              <w:t>03</w:t>
            </w:r>
          </w:p>
        </w:tc>
        <w:tc>
          <w:tcPr>
            <w:tcW w:w="2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D681EC" w14:textId="77777777" w:rsidR="00A400CA" w:rsidRPr="00CA4859" w:rsidRDefault="00A400CA" w:rsidP="0008749E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19"/>
                <w:szCs w:val="19"/>
                <w14:ligatures w14:val="none"/>
              </w:rPr>
              <w:t>Risk ratio (95% CI)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326A1" w14:textId="77777777" w:rsidR="00A400CA" w:rsidRPr="00CA4859" w:rsidRDefault="00A400CA" w:rsidP="0008749E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3A2DDDE8" w14:textId="77777777" w:rsidR="00A400CA" w:rsidRPr="00CA4859" w:rsidRDefault="00A400CA" w:rsidP="0008749E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2"/>
                <w14:ligatures w14:val="none"/>
              </w:rPr>
            </w:pPr>
            <w:r w:rsidRPr="00CA485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14:ligatures w14:val="none"/>
              </w:rPr>
              <w:t>χ</w:t>
            </w:r>
            <w:r w:rsidRPr="00CA4859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vertAlign w:val="superscript"/>
                <w14:ligatures w14:val="none"/>
              </w:rPr>
              <w:t>2</w:t>
            </w:r>
            <w:r w:rsidRPr="00CA485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14:ligatures w14:val="none"/>
              </w:rPr>
              <w:t xml:space="preserve"> value</w:t>
            </w:r>
          </w:p>
        </w:tc>
        <w:tc>
          <w:tcPr>
            <w:tcW w:w="222" w:type="dxa"/>
            <w:vAlign w:val="center"/>
          </w:tcPr>
          <w:p w14:paraId="0CA6EAF2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1CB25AAF" w14:textId="77777777" w:rsidTr="0008749E">
        <w:trPr>
          <w:trHeight w:val="511"/>
        </w:trPr>
        <w:tc>
          <w:tcPr>
            <w:tcW w:w="115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0A9FFA4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b/>
                <w:bCs/>
                <w:kern w:val="0"/>
                <w:sz w:val="19"/>
                <w:szCs w:val="19"/>
                <w14:ligatures w14:val="none"/>
              </w:rPr>
              <w:t>Pregnancy outcomes (per cycle)</w:t>
            </w:r>
          </w:p>
        </w:tc>
        <w:tc>
          <w:tcPr>
            <w:tcW w:w="222" w:type="dxa"/>
            <w:vAlign w:val="center"/>
            <w:hideMark/>
          </w:tcPr>
          <w:p w14:paraId="14C0F18D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vAlign w:val="center"/>
          </w:tcPr>
          <w:p w14:paraId="48FF5FD3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vAlign w:val="center"/>
          </w:tcPr>
          <w:p w14:paraId="080C1070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vAlign w:val="center"/>
          </w:tcPr>
          <w:p w14:paraId="51DF4E56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0" w:type="dxa"/>
            <w:vAlign w:val="center"/>
          </w:tcPr>
          <w:p w14:paraId="7ECD152D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25D5884B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D9E74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 xml:space="preserve">Biochemical pregnancy rate per cycles, %(n) 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C4886F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33.82%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(9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2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272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B2B7F5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25.61%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 xml:space="preserve"> (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69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269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21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4808BC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1.48(1.02, 2.15)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3E482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0.038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E22701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4.322</w:t>
            </w: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  <w:hideMark/>
          </w:tcPr>
          <w:p w14:paraId="3CFF365E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0A17038F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DA7E6A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 xml:space="preserve">Clinical pregnancy rate per cycle, %(n) 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83061D4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 xml:space="preserve"> 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31.62%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(8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272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325DA21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24.16%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(65/2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69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2E1534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1.45(0.99, 2.12)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F05756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0.053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536A5D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3.735</w:t>
            </w:r>
          </w:p>
        </w:tc>
        <w:tc>
          <w:tcPr>
            <w:tcW w:w="222" w:type="dxa"/>
            <w:vAlign w:val="center"/>
            <w:hideMark/>
          </w:tcPr>
          <w:p w14:paraId="16244FD3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7AB2FC6C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03761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Clinical pregnancy rate per cycle—strata 1 (BMI&lt;24), %(n)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D894115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30.97%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48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155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59288FE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25.68%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(38/1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48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21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9E1AE3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1.30(0.79, 2.15)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7A7386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0.307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AE953A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1.043</w:t>
            </w:r>
          </w:p>
        </w:tc>
        <w:tc>
          <w:tcPr>
            <w:tcW w:w="222" w:type="dxa"/>
            <w:vAlign w:val="center"/>
            <w:hideMark/>
          </w:tcPr>
          <w:p w14:paraId="799F98B9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47523DBE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AA7F5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Clinical pregnancy rate per cycle—strata 1 (BMI</w:t>
            </w:r>
            <w:r w:rsidRPr="00CA4859">
              <w:rPr>
                <w:rFonts w:ascii="Cambria Math" w:eastAsia="等线" w:hAnsi="Cambria Math" w:cs="宋体"/>
                <w:kern w:val="0"/>
                <w:sz w:val="19"/>
                <w:szCs w:val="19"/>
                <w14:ligatures w14:val="none"/>
              </w:rPr>
              <w:t>≥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24), %(n)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5A2B0F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32.48%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38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117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32BC1C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 xml:space="preserve"> 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22.31%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(27/12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21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6759F5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1.68(0.94, 2.98)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F2F966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0.078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569F62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3.096</w:t>
            </w:r>
          </w:p>
        </w:tc>
        <w:tc>
          <w:tcPr>
            <w:tcW w:w="222" w:type="dxa"/>
            <w:vAlign w:val="center"/>
            <w:hideMark/>
          </w:tcPr>
          <w:p w14:paraId="012D70EF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4C62AEDE" w14:textId="77777777" w:rsidTr="0008749E">
        <w:trPr>
          <w:gridAfter w:val="4"/>
          <w:wAfter w:w="5920" w:type="dxa"/>
          <w:trHeight w:val="511"/>
        </w:trPr>
        <w:tc>
          <w:tcPr>
            <w:tcW w:w="115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9176F5A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b/>
                <w:bCs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b/>
                <w:bCs/>
                <w:kern w:val="0"/>
                <w:sz w:val="19"/>
                <w:szCs w:val="19"/>
                <w14:ligatures w14:val="none"/>
              </w:rPr>
              <w:t>Cumulative clinical pregnancy (per patient)</w:t>
            </w:r>
          </w:p>
        </w:tc>
        <w:tc>
          <w:tcPr>
            <w:tcW w:w="222" w:type="dxa"/>
            <w:vAlign w:val="center"/>
            <w:hideMark/>
          </w:tcPr>
          <w:p w14:paraId="5317A005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73FBE338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B4655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Cumulative clinical pregnancy rate per patient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725C986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83.50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% (8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/1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3)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B0FEAE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63.11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% (65/1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03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275F42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2.96(1.53, 5.70)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7E3F2B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0.001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4A2671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10.939</w:t>
            </w:r>
          </w:p>
        </w:tc>
        <w:tc>
          <w:tcPr>
            <w:tcW w:w="222" w:type="dxa"/>
            <w:vAlign w:val="center"/>
            <w:hideMark/>
          </w:tcPr>
          <w:p w14:paraId="02B1A462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2EC5792D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48CE37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Cumulative clinical pregnancy rate—strata 1 (BMI&lt;24), %(n)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11BC98F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85.71%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48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56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10218F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77.55%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(38/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49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E41DAD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1.74(0.64, 4.75)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535A10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0.278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B302AA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1.175</w:t>
            </w:r>
          </w:p>
        </w:tc>
        <w:tc>
          <w:tcPr>
            <w:tcW w:w="222" w:type="dxa"/>
            <w:vAlign w:val="center"/>
            <w:hideMark/>
          </w:tcPr>
          <w:p w14:paraId="1B79E7FC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578AD629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689E3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Cumulative clinical pregnancies—strata 2 (BMI</w:t>
            </w:r>
            <w:r w:rsidRPr="00CA4859">
              <w:rPr>
                <w:rFonts w:ascii="Cambria Math" w:eastAsia="等线" w:hAnsi="Cambria Math" w:cs="宋体"/>
                <w:kern w:val="0"/>
                <w:sz w:val="19"/>
                <w:szCs w:val="19"/>
                <w14:ligatures w14:val="none"/>
              </w:rPr>
              <w:t>≥24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A4C1CD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80.85%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(38/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47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2ABA460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 xml:space="preserve">50.94% 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(27/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53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CDB49F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4.07(1.65, 10.04)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6DEA7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0.002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E8818F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9.794</w:t>
            </w:r>
          </w:p>
        </w:tc>
        <w:tc>
          <w:tcPr>
            <w:tcW w:w="222" w:type="dxa"/>
            <w:vAlign w:val="center"/>
            <w:hideMark/>
          </w:tcPr>
          <w:p w14:paraId="2FBF436F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6CA2E9C0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6BEC3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 xml:space="preserve">Singleton pregnancy rate, %(n) 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910E67B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86.05%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 xml:space="preserve"> (7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4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/8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866B389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83.08%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 xml:space="preserve"> (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54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/65)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0240BF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1.26(0.52, 3.06)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7ABF25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0.615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03CD86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0.253</w:t>
            </w:r>
          </w:p>
        </w:tc>
        <w:tc>
          <w:tcPr>
            <w:tcW w:w="222" w:type="dxa"/>
            <w:vAlign w:val="center"/>
            <w:hideMark/>
          </w:tcPr>
          <w:p w14:paraId="68F07AC6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52409F1B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E5333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lastRenderedPageBreak/>
              <w:t xml:space="preserve">Multiple pregnancy rate, %(n) 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1FAAD76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13.95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% (1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2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/8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8DD4ADA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16.92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% (11/65)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8D75DF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0.80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（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0.33, 1.94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）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EFBC56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0.615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18FE4B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0.253</w:t>
            </w:r>
          </w:p>
        </w:tc>
        <w:tc>
          <w:tcPr>
            <w:tcW w:w="222" w:type="dxa"/>
            <w:vAlign w:val="center"/>
            <w:hideMark/>
          </w:tcPr>
          <w:p w14:paraId="62E04EEC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6D6932C4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24B3D1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 xml:space="preserve">Early miscarriage rate, %(n) 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F1306B5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6.98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% (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/8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7F526EA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6.15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% (4/65)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E2E50F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1.14(0.31, 4.23)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7A2247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0.840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81CF9D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0.041</w:t>
            </w:r>
          </w:p>
        </w:tc>
        <w:tc>
          <w:tcPr>
            <w:tcW w:w="222" w:type="dxa"/>
            <w:vAlign w:val="center"/>
            <w:hideMark/>
          </w:tcPr>
          <w:p w14:paraId="6406A15C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09C851B0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D7C11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 xml:space="preserve">Ectopic pregnancy rate, %(n) 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1D838D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2.33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% (2/8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6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44C76F1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1.54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% (1/65)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7BB04E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1.52(1.34, 17.17)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274F05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1.000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F2C83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-</w:t>
            </w:r>
          </w:p>
        </w:tc>
        <w:tc>
          <w:tcPr>
            <w:tcW w:w="222" w:type="dxa"/>
            <w:vAlign w:val="center"/>
            <w:hideMark/>
          </w:tcPr>
          <w:p w14:paraId="5C2B722F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400CA" w:rsidRPr="00CA4859" w14:paraId="2703292A" w14:textId="77777777" w:rsidTr="0008749E">
        <w:trPr>
          <w:gridAfter w:val="4"/>
          <w:wAfter w:w="5920" w:type="dxa"/>
          <w:trHeight w:val="511"/>
        </w:trPr>
        <w:tc>
          <w:tcPr>
            <w:tcW w:w="3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F293E5" w14:textId="77777777" w:rsidR="00A400CA" w:rsidRPr="00CA4859" w:rsidRDefault="00A400CA" w:rsidP="0008749E">
            <w:pPr>
              <w:widowControl/>
              <w:jc w:val="left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Cumulative ongoing pregnancy rate per patient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20928E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75.73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% (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78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/1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03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A32DAD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58.25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% (60/1</w:t>
            </w: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03</w:t>
            </w:r>
            <w:r w:rsidRPr="00CA4859"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  <w:t>)</w:t>
            </w:r>
          </w:p>
        </w:tc>
        <w:tc>
          <w:tcPr>
            <w:tcW w:w="2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1C0263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2.24(1.23, 4.06)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94872E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0.008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12AE6E" w14:textId="77777777" w:rsidR="00A400CA" w:rsidRPr="00CA4859" w:rsidRDefault="00A400CA" w:rsidP="0008749E">
            <w:pPr>
              <w:widowControl/>
              <w:jc w:val="center"/>
              <w:rPr>
                <w:rFonts w:ascii="Cambria" w:eastAsia="等线" w:hAnsi="Cambria" w:cs="宋体"/>
                <w:kern w:val="0"/>
                <w:sz w:val="19"/>
                <w:szCs w:val="19"/>
                <w14:ligatures w14:val="none"/>
              </w:rPr>
            </w:pPr>
            <w:r w:rsidRPr="00CA4859">
              <w:rPr>
                <w:rFonts w:ascii="Cambria" w:eastAsia="等线" w:hAnsi="Cambria" w:cs="宋体" w:hint="eastAsia"/>
                <w:kern w:val="0"/>
                <w:sz w:val="19"/>
                <w:szCs w:val="19"/>
                <w14:ligatures w14:val="none"/>
              </w:rPr>
              <w:t>7.113</w:t>
            </w:r>
          </w:p>
        </w:tc>
        <w:tc>
          <w:tcPr>
            <w:tcW w:w="222" w:type="dxa"/>
            <w:vAlign w:val="center"/>
          </w:tcPr>
          <w:p w14:paraId="41BA66B6" w14:textId="77777777" w:rsidR="00A400CA" w:rsidRPr="00CA4859" w:rsidRDefault="00A400CA" w:rsidP="000874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F4EE9F4" w14:textId="77777777" w:rsidR="00A400CA" w:rsidRPr="00E74CAC" w:rsidRDefault="00A400CA" w:rsidP="00A400CA">
      <w:pPr>
        <w:rPr>
          <w:rFonts w:ascii="Times New Roman" w:hAnsi="Times New Roman" w:cs="Times New Roman"/>
        </w:rPr>
      </w:pPr>
      <w:r w:rsidRPr="00E74CAC">
        <w:rPr>
          <w:rFonts w:ascii="Times New Roman" w:hAnsi="Times New Roman" w:cs="Times New Roman"/>
          <w:b/>
          <w:bCs/>
        </w:rPr>
        <w:t>Note:</w:t>
      </w:r>
      <w:r w:rsidRPr="00E74CAC">
        <w:rPr>
          <w:rFonts w:ascii="Times New Roman" w:hAnsi="Times New Roman" w:cs="Times New Roman"/>
        </w:rPr>
        <w:t xml:space="preserve"> Data are presented as </w:t>
      </w:r>
      <w:r>
        <w:rPr>
          <w:rFonts w:ascii="Times New Roman" w:hAnsi="Times New Roman" w:cs="Times New Roman" w:hint="eastAsia"/>
        </w:rPr>
        <w:t>%(</w:t>
      </w:r>
      <w:r w:rsidRPr="00E74CAC">
        <w:rPr>
          <w:rFonts w:ascii="Times New Roman" w:hAnsi="Times New Roman" w:cs="Times New Roman"/>
        </w:rPr>
        <w:t>number</w:t>
      </w:r>
      <w:r>
        <w:rPr>
          <w:rFonts w:ascii="Times New Roman" w:hAnsi="Times New Roman" w:cs="Times New Roman" w:hint="eastAsia"/>
        </w:rPr>
        <w:t>)</w:t>
      </w:r>
      <w:r w:rsidRPr="00E74CA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C</w:t>
      </w:r>
      <w:r w:rsidRPr="00E74CAC">
        <w:rPr>
          <w:rFonts w:ascii="Times New Roman" w:hAnsi="Times New Roman" w:cs="Times New Roman"/>
        </w:rPr>
        <w:t>hi-square tests</w:t>
      </w:r>
      <w:r>
        <w:rPr>
          <w:rFonts w:ascii="Times New Roman" w:hAnsi="Times New Roman" w:cs="Times New Roman" w:hint="eastAsia"/>
        </w:rPr>
        <w:t xml:space="preserve"> or </w:t>
      </w:r>
      <w:r w:rsidRPr="00F06667">
        <w:rPr>
          <w:rFonts w:ascii="Times New Roman" w:hAnsi="Times New Roman" w:cs="Times New Roman"/>
        </w:rPr>
        <w:t>Fisher exact probability test</w:t>
      </w:r>
      <w:r>
        <w:rPr>
          <w:rFonts w:ascii="Times New Roman" w:hAnsi="Times New Roman" w:cs="Times New Roman" w:hint="eastAsia"/>
        </w:rPr>
        <w:t>s</w:t>
      </w:r>
      <w:r w:rsidRPr="00E74CAC">
        <w:rPr>
          <w:rFonts w:ascii="Times New Roman" w:hAnsi="Times New Roman" w:cs="Times New Roman"/>
        </w:rPr>
        <w:t xml:space="preserve"> were used for categorical variables.</w:t>
      </w:r>
      <w:r>
        <w:rPr>
          <w:rFonts w:ascii="Times New Roman" w:hAnsi="Times New Roman" w:cs="Times New Roman" w:hint="eastAsia"/>
        </w:rPr>
        <w:t xml:space="preserve"> </w:t>
      </w:r>
      <w:r w:rsidRPr="00E74CAC">
        <w:rPr>
          <w:rFonts w:ascii="Cambria" w:eastAsia="等线" w:hAnsi="Cambria" w:cs="宋体"/>
          <w:color w:val="212121"/>
          <w:kern w:val="0"/>
          <w:sz w:val="19"/>
          <w:szCs w:val="19"/>
        </w:rPr>
        <w:t>NAC, N-acetyl-L-cysteine; BMI, body mass index; CI, confidence interval.</w:t>
      </w:r>
    </w:p>
    <w:p w14:paraId="51720A3C" w14:textId="77777777" w:rsidR="00A400CA" w:rsidRPr="00B970AA" w:rsidRDefault="00A400CA" w:rsidP="00A400CA"/>
    <w:p w14:paraId="065DAE16" w14:textId="77777777" w:rsidR="00402B2C" w:rsidRPr="00A400CA" w:rsidRDefault="00402B2C"/>
    <w:sectPr w:rsidR="00402B2C" w:rsidRPr="00A400CA" w:rsidSect="00A400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B6A7D5" w14:textId="77777777" w:rsidR="00F533C4" w:rsidRDefault="00F533C4" w:rsidP="00A400CA">
      <w:r>
        <w:separator/>
      </w:r>
    </w:p>
  </w:endnote>
  <w:endnote w:type="continuationSeparator" w:id="0">
    <w:p w14:paraId="2C2C7803" w14:textId="77777777" w:rsidR="00F533C4" w:rsidRDefault="00F533C4" w:rsidP="00A40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491EF5" w14:textId="77777777" w:rsidR="00F533C4" w:rsidRDefault="00F533C4" w:rsidP="00A400CA">
      <w:r>
        <w:separator/>
      </w:r>
    </w:p>
  </w:footnote>
  <w:footnote w:type="continuationSeparator" w:id="0">
    <w:p w14:paraId="75B66C58" w14:textId="77777777" w:rsidR="00F533C4" w:rsidRDefault="00F533C4" w:rsidP="00A400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4C5D"/>
    <w:rsid w:val="0024530C"/>
    <w:rsid w:val="00402B2C"/>
    <w:rsid w:val="00A400CA"/>
    <w:rsid w:val="00CA68C7"/>
    <w:rsid w:val="00EB4C5D"/>
    <w:rsid w:val="00F5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9C02C63-E1B1-4F6D-9309-3B72F9BAC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00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00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00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00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00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Yanhui Li</dc:creator>
  <cp:keywords/>
  <dc:description/>
  <cp:lastModifiedBy>Yanhui Li</cp:lastModifiedBy>
  <cp:revision>2</cp:revision>
  <dcterms:created xsi:type="dcterms:W3CDTF">2024-05-27T12:44:00Z</dcterms:created>
  <dcterms:modified xsi:type="dcterms:W3CDTF">2024-05-27T12:44:00Z</dcterms:modified>
</cp:coreProperties>
</file>