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E00BA2" w14:textId="77777777" w:rsidR="002272AB" w:rsidRDefault="004E13A6" w:rsidP="002272AB">
      <w:pPr>
        <w:jc w:val="both"/>
        <w:rPr>
          <w:b/>
          <w:u w:val="single"/>
        </w:rPr>
      </w:pPr>
      <w:r>
        <w:t xml:space="preserve">Protocol: </w:t>
      </w:r>
      <w:r w:rsidR="002272AB">
        <w:rPr>
          <w:b/>
          <w:u w:val="single"/>
        </w:rPr>
        <w:t>Title: D</w:t>
      </w:r>
      <w:r w:rsidR="002272AB" w:rsidRPr="00AA0267">
        <w:rPr>
          <w:b/>
          <w:u w:val="single"/>
        </w:rPr>
        <w:t xml:space="preserve">iagnostic accuracy of </w:t>
      </w:r>
      <w:r w:rsidR="002272AB">
        <w:rPr>
          <w:b/>
          <w:u w:val="single"/>
        </w:rPr>
        <w:t xml:space="preserve">Portable </w:t>
      </w:r>
      <w:proofErr w:type="spellStart"/>
      <w:r w:rsidR="002272AB">
        <w:rPr>
          <w:b/>
          <w:u w:val="single"/>
        </w:rPr>
        <w:t>Colposcopic</w:t>
      </w:r>
      <w:proofErr w:type="spellEnd"/>
      <w:r w:rsidR="002272AB">
        <w:rPr>
          <w:b/>
          <w:u w:val="single"/>
        </w:rPr>
        <w:t xml:space="preserve"> devices for detecting pre-cancerous cervical lesions: a systematic review protocol</w:t>
      </w:r>
    </w:p>
    <w:p w14:paraId="3111835C" w14:textId="77777777" w:rsidR="006A329C" w:rsidRPr="000A344D" w:rsidRDefault="006A329C" w:rsidP="006A329C">
      <w:pPr>
        <w:rPr>
          <w:b/>
          <w:u w:val="single"/>
        </w:rPr>
      </w:pPr>
      <w:r w:rsidRPr="000A344D">
        <w:rPr>
          <w:b/>
          <w:u w:val="single"/>
        </w:rPr>
        <w:t>Background:</w:t>
      </w:r>
    </w:p>
    <w:p w14:paraId="012FD5A7" w14:textId="29AC19F1" w:rsidR="006A329C" w:rsidRDefault="006A329C" w:rsidP="006A329C">
      <w:pPr>
        <w:jc w:val="both"/>
      </w:pPr>
      <w:r>
        <w:t>T</w:t>
      </w:r>
      <w:r w:rsidRPr="00603F1A">
        <w:t xml:space="preserve">he burden of cervical cancer has significantly </w:t>
      </w:r>
      <w:r>
        <w:t>declined in high-income countries</w:t>
      </w:r>
      <w:r w:rsidRPr="00603F1A">
        <w:t>,</w:t>
      </w:r>
      <w:r>
        <w:t xml:space="preserve"> where effective screening has reduced the incidence of cervical cancer by up to 80%</w:t>
      </w:r>
      <w:r>
        <w:fldChar w:fldCharType="begin" w:fldLock="1"/>
      </w:r>
      <w:r>
        <w:instrText>ADDIN CSL_CITATION { "citationItems" : [ { "id" : "ITEM-1", "itemData" : { "DOI" : "10.1016/j.ejca.2009.07.018", "abstract" : "A B S T R A C T Background: Cervical cancer mortality can be avoided to a large extent by screening and treatment of screen-detected cervical lesions. However, in 2004, more than 16,000 women died from cervical cancer in the European Union (EU). In the current paper, we analyse cer-vical cancer mortality trends in the 27 member states since 1970 and, subsequently, try to explain how screening and other factors have driven changes. Methods: Data on number of deaths from uterine cancers and overall female populations from EU member states were extracted from the World Health Organisation mortality data-base. Three different reallocation rules were applied to correct cervical cancer mortality for inaccuracies in certification of cause of death of not otherwise specified uterine cancer. Joinpoint regression was used to study annual variation of corrected cervical cancer mor-tality in all member states. We distinguished the 15 old from the 12 new member states, which acceded to the EU in 2004 or later. For Finland, France and Romania, age-specific trends by calendar period and the standardised cohort mortality ratios by birth cohort were analysed. Results: Corrected age-standardised cervical cancer mortality rates have decreased signifi-cantly over the past decades in the old member states. Member states in Eastern Europe and also the Baltic states showed mortality rates that decreased at a lower intensity (Czech Republic, Poland), remained constant at a high rate (Estonia, Slovakia) or even increased (Bulgaria, Latvia, Lithuania, Romania). The standardised cohort mortality ratio indicated that mortality does not decrease further or even increase among women born after 1940. Conclusion: Remarkable contrasts were observed on cervical cancer mortality, in particular, between the old and new member states of the EU, which might probably be explained by differences in preventive strategies. This contrast might increase in the future, unless ade-quate preventive measures are adopted. (2 0 0 9) 2 6 4 0 \u2013 2 6 4 8 a v a i l a b l e a t w w w . s c i e n c e d i r e c t . c o m j o u r n a l h o m e p a g e : w w w . e j c o n l i n e . c o m", "author" : [ { "dropping-particle" : "", "family" : "Arbyn", "given" : "Marc", "non-dropping-particle" : "", "parse-names" : false, "suffix" : "" }, { "dropping-particle" : "", "family" : "Raifu", "given" : "Amidu O", "non-dropping-particle" : "", "parse-names" : false, "suffix" : "" }, { "dropping-particle" : "", "family" : "Weiderpass", "given" : "Elisabete", "non-dropping-particle" : "", "parse-names" : false, "suffix" : "" }, { "dropping-particle" : "", "family" : "Bray", "given" : "Freddie", "non-dropping-particle" : "", "parse-names" : false, "suffix" : "" }, { "dropping-particle" : "", "family" : "Anttila", "given" : "Ahti", "non-dropping-particle" : "", "parse-names" : false, "suffix" : "" } ], "id" : "ITEM-1", "issued" : { "date-parts" : [ [ "2009" ] ] }, "title" : "Trends of cervical cancer mortality in the member states of the European Union", "type" : "article-journal" }, "uris" : [ "http://www.mendeley.com/documents/?uuid=8d6292f8-e7d0-3160-b340-2621ce22d41b" ] } ], "mendeley" : { "formattedCitation" : "[1]", "plainTextFormattedCitation" : "[1]", "previouslyFormattedCitation" : "[1]" }, "properties" : { "noteIndex" : 1 }, "schema" : "https://github.com/citation-style-language/schema/raw/master/csl-citation.json" }</w:instrText>
      </w:r>
      <w:r>
        <w:fldChar w:fldCharType="separate"/>
      </w:r>
      <w:r w:rsidRPr="009B4A1C">
        <w:rPr>
          <w:noProof/>
        </w:rPr>
        <w:t>[1]</w:t>
      </w:r>
      <w:r>
        <w:fldChar w:fldCharType="end"/>
      </w:r>
      <w:r>
        <w:t xml:space="preserve">. In high-income settings, cervical cancer </w:t>
      </w:r>
      <w:proofErr w:type="gramStart"/>
      <w:r>
        <w:t>is now considered</w:t>
      </w:r>
      <w:proofErr w:type="gramEnd"/>
      <w:r>
        <w:t xml:space="preserve"> a rare disease. In contrast, it remains</w:t>
      </w:r>
      <w:r w:rsidRPr="00603F1A">
        <w:t xml:space="preserve"> a public health priority in most</w:t>
      </w:r>
      <w:r>
        <w:t xml:space="preserve"> </w:t>
      </w:r>
      <w:r w:rsidR="00B94D83">
        <w:t xml:space="preserve">low or middle income </w:t>
      </w:r>
      <w:r>
        <w:t>countries</w:t>
      </w:r>
      <w:r w:rsidR="00B94D83">
        <w:t xml:space="preserve"> (LMIC)</w:t>
      </w:r>
      <w:r>
        <w:t>, and remains the most common cause of cancer-related death for women</w:t>
      </w:r>
      <w:r>
        <w:fldChar w:fldCharType="begin" w:fldLock="1"/>
      </w:r>
      <w:r>
        <w:instrText>ADDIN CSL_CITATION { "citationItems" : [ { "id" : "ITEM-1", "itemData" : { "DOI" : "10.1001/jamaoncol.2016.5688", "ISSN" : "2374-2437", "abstract" : "&lt;h3&gt;Importance&lt;/h3&gt;&lt;p&gt;Cancer is the second leading cause of death worldwide. Current estimates on the burden of cancer are needed for cancer control planning.&lt;/p&gt;&lt;h3&gt;Objective&lt;/h3&gt;&lt;p&gt;To estimate mortality, incidence, years lived with disability (YLDs), years of life lost (YLLs), and disability-adjusted life-years (DALYs) for 32 cancers in 195 countries and territories from 1990 to 2015.&lt;/p&gt;&lt;h3&gt;Evidence Review&lt;/h3&gt;&lt;p&gt;Cancer mortality was estimated using vital registration system data, cancer registry incidence data (transformed to mortality estimates using separately estimated mortality to incidence [MI] ratios), and verbal autopsy data. Cancer incidence was calculated by dividing mortality estimates through the modeled MI ratios. To calculate cancer prevalence, MI ratios were used to model survival. To calculate YLDs, prevalence estimates were multiplied by disability weights. The YLLs were estimated by multiplying age-specific cancer deaths by the reference life expectancy. DALYs were estimated as the sum of YLDs and YLLs. A sociodemographic index (SDI) was created for each location based on income per capita, educational attainment, and fertility. Countries were categorized by SDI quintiles to summarize results.&lt;/p&gt;&lt;h3&gt;Findings&lt;/h3&gt;&lt;p&gt;In 2015, there were 17.5 million cancer cases worldwide and 8.7 million deaths. Between 2005 and 2015, cancer cases increased by 33%, with population aging contributing 16%, population growth 13%, and changes in age-specific rates contributing 4%. For men, the most common cancer globally was prostate cancer (1.6 million cases). Tracheal, bronchus, and lung cancer was the leading cause of cancer deaths and DALYs in men (1.2 million deaths and 25.9 million DALYs). For women, the most common cancer was breast cancer (2.4 million cases). Breast cancer was also the leading cause of cancer deaths and DALYs for women (523\u202f000 deaths and 15.1 million DALYs). Overall, cancer caused 208.3 million DALYs worldwide in 2015 for both sexes combined.&lt;/p&gt;&lt;p&gt;Between 2005 and 2015, age-standardized incidence rates for all cancers combined increased in 174 of 195 countries or territories. Age-standardized death rates (ASDRs) for all cancers combined decreased within that timeframe in 140 of 195 countries or territories. Countries with an increase in the ASDR due to all cancers were largely located on the African continent.&lt;/p&gt;&lt;p&gt;Of all cancers, deaths between 2005 and 2015 decreased significantly for Hodgkin lymphoma (\u22126.1% [95% uncertainty\u2026", "author" : [ { "dropping-particle" : "", "family" : "Fitzmaurice", "given" : "Christina", "non-dropping-particle" : "", "parse-names" : false, "suffix" : "" }, { "dropping-particle" : "", "family" : "Allen", "given" : "Christine", "non-dropping-particle" : "", "parse-names" : false, "suffix" : "" }, { "dropping-particle" : "", "family" : "Barber", "given" : "Ryan M.", "non-dropping-particle" : "", "parse-names" : false, "suffix" : "" }, { "dropping-particle" : "", "family" : "Barregard", "given" : "Lars", "non-dropping-particle" : "", "parse-names" : false, "suffix" : "" }, { "dropping-particle" : "", "family" : "Bhutta", "given" : "Zulfiqar A.", "non-dropping-particle" : "", "parse-names" : false, "suffix" : "" }, { "dropping-particle" : "", "family" : "Brenner", "given" : "Hermann", "non-dropping-particle" : "", "parse-names" : false, "suffix" : "" }, { "dropping-particle" : "", "family" : "Dicker", "given" : "Daniel J.", "non-dropping-particle" : "", "parse-names" : false, "suffix" : "" }, { "dropping-particle" : "", "family" : "Chimed-Orchir", "given" : "Odgerel", "non-dropping-particle" : "", "parse-names" : false, "suffix" : "" }, { "dropping-particle" : "", "family" : "Dandona", "given" : "Rakhi", "non-dropping-particle" : "", "parse-names" : false, "suffix" : "" }, { "dropping-particle" : "", "family" : "Dandona", "given" : "Lalit", "non-dropping-particle" : "", "parse-names" : false, "suffix" : "" }, { "dropping-particle" : "", "family" : "Fleming", "given" : "Tom", "non-dropping-particle" : "", "parse-names" : false, "suffix" : "" }, { "dropping-particle" : "", "family" : "Forouzanfar", "given" : "Mohammad H.", "non-dropping-particle" : "", "parse-names" : false, "suffix" : "" }, { "dropping-particle" : "", "family" : "Hancock", "given" : "Jamie", "non-dropping-particle" : "", "parse-names" : false, "suffix" : "" }, { "dropping-particle" : "", "family" : "Hay", "given" : "Roderick J.", "non-dropping-particle" : "", "parse-names" : false, "suffix" : "" }, { "dropping-particle" : "", "family" : "Hunter-Merrill", "given" : "Rachel", "non-dropping-particle" : "", "parse-names" : false, "suffix" : "" }, { "dropping-particle" : "", "family" : "Huynh", "given" : "Chantal", "non-dropping-particle" : "", "parse-names" : false, "suffix" : "" }, { "dropping-particle" : "", "family" : "Hosgood", "given" : "H. Dean", "non-dropping-particle" : "", "parse-names" : false, "suffix" : "" }, { "dropping-particle" : "", "family" : "Johnson", "given" : "Catherine O.", "non-dropping-particle" : "", "parse-names" : false, "suffix" : "" }, { "dropping-particle" : "", "family" : "Jonas", "given" : "Jost B.", "non-dropping-particle" : "", "parse-names" : false, "suffix" : "" }, { "dropping-particle" : "", "family" : "Khubchandani", "given" : "Jagdish", "non-dropping-particle" : "", "parse-names" : false, "suffix" : "" }, { "dropping-particle" : "", "family" : "Kumar", "given" : "G. Anil", "non-dropping-particle" : "", "parse-names" : false, "suffix" : "" }, { "dropping-particle" : "", "family" : "Kutz", "given" : "Michael", "non-dropping-particle" : "", "parse-names" : false, "suffix" : "" }, { "dropping-particle" : "", "family" : "Lan", "given" : "Qing", "non-dropping-particle" : "", "parse-names" : false, "suffix" : "" }, { "dropping-particle" : "", "family" : "Larson", "given" : "Heidi J.", "non-dropping-particle" : "", "parse-names" : false, "suffix" : "" }, { "dropping-particle" : "", "family" : "Liang", "given" : "Xiaofeng", "non-dropping-particle" : "", "parse-names" : false, "suffix" : "" }, { "dropping-particle" : "", "family" : "Lim", "given" : "Stephen S.", "non-dropping-particle" : "", "parse-names" : false, "suffix" : "" }, { "dropping-particle" : "", "family" : "Lopez", "given" : "Alan D.", "non-dropping-particle" : "", "parse-names" : false, "suffix" : "" }, { "dropping-particle" : "", "family" : "MacIntyre", "given" : "Michael F.", "non-dropping-particle" : "", "parse-names" : false, "suffix" : "" }, { "dropping-particle" : "", "family" : "Marczak", "given" : "Laurie", "non-dropping-particle" : "", "parse-names" : false, "suffix" : "" }, { "dropping-particle" : "", "family" : "Marquez", "given" : "Neal", "non-dropping-particle" : "", "parse-names" : false, "suffix" : "" }, { "dropping-particle" : "", "family" : "Mokdad", "given" : "Ali H.", "non-dropping-particle" : "", "parse-names" : false, "suffix" : "" }, { "dropping-particle" : "", "family" : "Pinho", "given" : "Christine", "non-dropping-particle" : "", "parse-names" : false, "suffix" : "" }, { "dropping-particle" : "", "family" : "Pourmalek", "given" : "Farshad", "non-dropping-particle" : "", "parse-names" : false, "suffix" : "" }, { "dropping-particle" : "", "family" : "Salomon", "given" : "Joshua A.", "non-dropping-particle" : "", "parse-names" : false, "suffix" : "" }, { "dropping-particle" : "", "family" : "Sanabria", "given" : "Juan Ramon", "non-dropping-particle" : "", "parse-names" : false, "suffix" : "" }, { "dropping-particle" : "", "family" : "Sandar", "given" : "Logan", "non-dropping-particle" : "", "parse-names" : false, "suffix" : "" }, { "dropping-particle" : "", "family" : "Sartorius", "given" : "Benn", "non-dropping-particle" : "", "parse-names" : false, "suffix" : "" }, { "dropping-particle" : "", "family" : "Schwartz", "given" : "Stephen M.", "non-dropping-particle" : "", "parse-names" : false, "suffix" : "" }, { "dropping-particle" : "", "family" : "Shackelford", "given" : "Katya A.", "non-dropping-particle" : "", "parse-names" : false, "suffix" : "" }, { "dropping-particle" : "", "family" : "Shibuya", "given" : "Kenji", "non-dropping-particle" : "", "parse-names" : false, "suffix" : "" }, { "dropping-particle" : "", "family" : "Stanaway", "given" : "Jeff", "non-dropping-particle" : "", "parse-names" : false, "suffix" : "" }, { "dropping-particle" : "", "family" : "Steiner", "given" : "Caitlyn", "non-dropping-particle" : "", "parse-names" : false, "suffix" : "" }, { "dropping-particle" : "", "family" : "Sun", "given" : "Jiandong", "non-dropping-particle" : "", "parse-names" : false, "suffix" : "" }, { "dropping-particle" : "", "family" : "Takahashi", "given" : "Ken", "non-dropping-particle" : "", "parse-names" : false, "suffix" : "" }, { "dropping-particle" : "", "family" : "Vollset", "given" : "Stein Emil", "non-dropping-particle" : "", "parse-names" : false, "suffix" : "" }, { "dropping-particle" : "", "family" : "Vos", "given" : "Theo", "non-dropping-particle" : "", "parse-names" : false, "suffix" : "" }, { "dropping-particle" : "", "family" : "Wagner", "given" : "Joseph A.", "non-dropping-particle" : "", "parse-names" : false, "suffix" : "" }, { "dropping-particle" : "", "family" : "Wang", "given" : "Haidong", "non-dropping-particle" : "", "parse-names" : false, "suffix" : "" }, { "dropping-particle" : "", "family" : "Westerman", "given" : "Ronny", "non-dropping-particle" : "", "parse-names" : false, "suffix" : "" }, { "dropping-particle" : "", "family" : "Zeeb", "given" : "Hajo", "non-dropping-particle" : "", "parse-names" : false, "suffix" : "" }, { "dropping-particle" : "", "family" : "Zoeckler", "given" : "Leo", "non-dropping-particle" : "", "parse-names" : false, "suffix" : "" }, { "dropping-particle" : "", "family" : "Abd-Allah", "given" : "Foad", "non-dropping-particle" : "", "parse-names" : false, "suffix" : "" }, { "dropping-particle" : "", "family" : "Ahmed", "given" : "Muktar Beshir", "non-dropping-particle" : "", "parse-names" : false, "suffix" : "" }, { "dropping-particle" : "", "family" : "Alabed", "given" : "Samer", "non-dropping-particle" : "", "parse-names" : false, "suffix" : "" }, { "dropping-particle" : "", "family" : "Alam", "given" : "Noore K.", "non-dropping-particle" : "", "parse-names" : false, "suffix" : "" }, { "dropping-particle" : "", "family" : "Aldhahri", "given" : "Saleh Fahed", "non-dropping-particle" : "", "parse-names" : false, "suffix" : "" }, { "dropping-particle" : "", "family" : "Alem", "given" : "Girma", "non-dropping-particle" : "", "parse-names" : false, "suffix" : "" }, { "dropping-particle" : "", "family" : "Alemayohu", "given" : "Mulubirhan Assefa", "non-dropping-particle" : "", "parse-names" : false, "suffix" : "" }, { "dropping-particle" : "", "family" : "Ali", "given" : "Raghib", "non-dropping-particle" : "", "parse-names" : false, "suffix" : "" }, { "dropping-particle" : "", "family" : "Al-Raddadi", "given" : "Rajaa", "non-dropping-particle" : "", "parse-names" : false, "suffix" : "" }, { "dropping-particle" : "", "family" : "Amare", "given" : "Azmeraw", "non-dropping-particle" : "", "parse-names" : false, "suffix" : "" }, { "dropping-particle" : "", "family" : "Amoako", "given" : "Yaw", "non-dropping-particle" : "", "parse-names" : false, "suffix" : "" }, { "dropping-particle" : "", "family" : "Artaman", "given" : "Al", "non-dropping-particle" : "", "parse-names" : false, "suffix" : "" }, { "dropping-particle" : "", "family" : "Asayesh", "given" : "Hamid", "non-dropping-particle" : "", "parse-names" : false, "suffix" : "" }, { "dropping-particle" : "", "family" : "Atnafu", "given" : "Niguse", "non-dropping-particle" : "", "parse-names" : false, "suffix" : "" }, { "dropping-particle" : "", "family" : "Awasthi", "given" : "Ashish", "non-dropping-particle" : "", "parse-names" : false, "suffix" : "" }, { "dropping-particle" : "", "family" : "Saleem", "given" : "Huda Ba", "non-dropping-particle" : "", "parse-names" : false, "suffix" : "" }, { "dropping-particle" : "", "family" : "Barac", "given" : "Aleksandra", "non-dropping-particle" : "", "parse-names" : false, "suffix" : "" }, { "dropping-particle" : "", "family" : "Bedi", "given" : "Neeraj", "non-dropping-particle" : "", "parse-names" : false, "suffix" : "" }, { "dropping-particle" : "", "family" : "Bensenor", "given" : "Isabela", "non-dropping-particle" : "", "parse-names" : false, "suffix" : "" }, { "dropping-particle" : "", "family" : "Berhane", "given" : "Adugnaw", "non-dropping-particle" : "", "parse-names" : false, "suffix" : "" }, { "dropping-particle" : "", "family" : "Bernab\u00e9", "given" : "Eduardo", "non-dropping-particle" : "", "parse-names" : false, "suffix" : "" }, { "dropping-particle" : "", "family" : "Betsu", "given" : "Balem", "non-dropping-particle" : "", "parse-names" : false, "suffix" : "" }, { "dropping-particle" : "", "family" : "Binagwaho", "given" : "Agnes", "non-dropping-particle" : "", "parse-names" : false, "suffix" : "" }, { "dropping-particle" : "", "family" : "Boneya", "given" : "Dube", "non-dropping-particle" : "", "parse-names" : false, "suffix" : "" }, { "dropping-particle" : "", "family" : "Campos-Nonato", "given" : "Ismael", "non-dropping-particle" : "", "parse-names" : false, "suffix" : "" }, { "dropping-particle" : "", "family" : "Casta\u00f1eda-Orjuela", "given" : "Carlos", "non-dropping-particle" : "", "parse-names" : false, "suffix" : "" }, { "dropping-particle" : "", "family" : "Catal\u00e1-L\u00f3pez", "given" : "Ferr\u00e1n", "non-dropping-particle" : "", "parse-names" : false, "suffix" : "" }, { "dropping-particle" : "", "family" : "Chiang", "given" : "Peggy", "non-dropping-particle" : "", "parse-names" : false, "suffix" : "" }, { "dropping-particle" : "", "family" : "Chibueze", "given" : "Chioma", "non-dropping-particle" : "", "parse-names" : false, "suffix" : "" }, { "dropping-particle" : "", "family" : "Chitheer", "given" : "Abdulaal", "non-dropping-particle" : "", "parse-names" : false, "suffix" : "" }, { "dropping-particle" : "", "family" : "Choi", "given" : "Jee-Young", "non-dropping-particle" : "", "parse-names" : false, "suffix" : "" }, { "dropping-particle" : "", "family" : "Cowie", "given" : "Benjamin", "non-dropping-particle" : "", "parse-names" : false, "suffix" : "" }, { "dropping-particle" : "", "family" : "Damtew", "given" : "Solomon", "non-dropping-particle" : "", "parse-names" : false, "suffix" : "" }, { "dropping-particle" : "", "family" : "Neves", "given" : "Jos\u00e9", "non-dropping-particle" : "das", "parse-names" : false, "suffix" : "" }, { "dropping-particle" : "", "family" : "Dey", "given" : "Suhojit", "non-dropping-particle" : "", "parse-names" : false, "suffix" : "" }, { "dropping-particle" : "", "family" : "Dharmaratne", "given" : "Samath", "non-dropping-particle" : "", "parse-names" : false, "suffix" : "" }, { "dropping-particle" : "", "family" : "Dhillon", "given" : "Preet", "non-dropping-particle" : "", "parse-names" : false, "suffix" : "" }, { "dropping-particle" : "", "family" : "Ding", "given" : "Eric", "non-dropping-particle" : "", "parse-names" : false, "suffix" : "" }, { "dropping-particle" : "", "family" : "Driscoll", "given" : "Tim", "non-dropping-particle" : "", "parse-names" : false, "suffix" : "" }, { "dropping-particle" : "", "family" : "Ekwueme", "given" : "Donatus", "non-dropping-particle" : "", "parse-names" : false, "suffix" : "" }, { "dropping-particle" : "", "family" : "Endries", "given" : "Aman Yesuf", "non-dropping-particle" : "", "parse-names" : false, "suffix" : "" }, { "dropping-particle" : "", "family" : "Farvid", "given" : "Maryam", "non-dropping-particle" : "", "parse-names" : false, "suffix" : "" }, { "dropping-particle" : "", "family" : "Farzadfar", "given" : "Farshad", "non-dropping-particle" : "", "parse-names" : false, "suffix" : "" }, { "dropping-particle" : "", "family" : "Fernandes", "given" : "Joao", "non-dropping-particle" : "", "parse-names" : false, "suffix" : "" }, { "dropping-particle" : "", "family" : "Fischer", "given" : "Florian", "non-dropping-particle" : "", "parse-names" : false, "suffix" : "" }, { "dropping-particle" : "", "family" : "G/hiwot", "given" : "Tsegaye Tewelde", "non-dropping-particle" : "", "parse-names" : false, "suffix" : "" }, { "dropping-particle" : "", "family" : "Gebru", "given" : "Alemseged", "non-dropping-particle" : "", "parse-names" : false, "suffix" : "" }, { "dropping-particle" : "", "family" : "Gopalani", "given" : "Sameer", "non-dropping-particle" : "", "parse-names" : false, "suffix" : "" }, { "dropping-particle" : "", "family" : "Hailu", "given" : "Alemayehu", "non-dropping-particle" : "", "parse-names" : false, "suffix" : "" }, { "dropping-particle" : "", "family" : "Horino", "given" : "Masako", "non-dropping-particle" : "", "parse-names" : false, "suffix" : "" }, { "dropping-particle" : "", "family" : "Horita", "given" : "Nobuyuki", "non-dropping-particle" : "", "parse-names" : false, "suffix" : "" }, { "dropping-particle" : "", "family" : "Husseini", "given" : "Abdullatif", "non-dropping-particle" : "", "parse-names" : false, "suffix" : "" }, { "dropping-particle" : "", "family" : "Huybrechts", "given" : "Inge", "non-dropping-particle" : "", "parse-names" : false, "suffix" : "" }, { "dropping-particle" : "", "family" : "Inoue", "given" : "Manami", "non-dropping-particle" : "", "parse-names" : false, "suffix" : "" }, { "dropping-particle" : "", "family" : "Islami", "given" : "Farhad", "non-dropping-particle" : "", "parse-names" : false, "suffix" : "" }, { "dropping-particle" : "", "family" : "Jakovljevic", "given" : "Mihajlo", "non-dropping-particle" : "", "parse-names" : false, "suffix" : "" }, { "dropping-particle" : "", "family" : "James", "given" : "Spencer", "non-dropping-particle" : "", "parse-names" : false, "suffix" : "" }, { "dropping-particle" : "", "family" : "Javanbakht", "given" : "Mehdi", "non-dropping-particle" : "", "parse-names" : false, "suffix" : "" }, { "dropping-particle" : "", "family" : "Jee", "given" : "Sun Ha", "non-dropping-particle" : "", "parse-names" : false, "suffix" : "" }, { "dropping-particle" : "", "family" : "Kasaeian", "given" : "Amir", "non-dropping-particle" : "", "parse-names" : false, "suffix" : "" }, { "dropping-particle" : "", "family" : "Kedir", "given" : "Muktar Sano", "non-dropping-particle" : "", "parse-names" : false, "suffix" : "" }, { "dropping-particle" : "", "family" : "Khader", "given" : "Yousef S.", "non-dropping-particle" : "", "parse-names" : false, "suffix" : "" }, { "dropping-particle" : "", "family" : "Khang", "given" : "Young-Ho", "non-dropping-particle" : "", "parse-names" : false, "suffix" : "" }, { "dropping-particle" : "", "family" : "Kim", "given" : "Daniel", "non-dropping-particle" : "", "parse-names" : false, "suffix" : "" }, { "dropping-particle" : "", "family" : "Leigh", "given" : "James", "non-dropping-particle" : "", "parse-names" : false, "suffix" : "" }, { "dropping-particle" : "", "family" : "Linn", "given" : "Shai", "non-dropping-particle" : "", "parse-names" : false, "suffix" : "" }, { "dropping-particle" : "", "family" : "Lunevicius", "given" : "Raimundas", "non-dropping-particle" : "", "parse-names" : false, "suffix" : "" }, { "dropping-particle" : "", "family" : "Razek", "given" : "Hassan Magdy Abd", "non-dropping-particle" : "El", "parse-names" : false, "suffix" : "" }, { "dropping-particle" : "", "family" : "Malekzadeh", "given" : "Reza", "non-dropping-particle" : "", "parse-names" : false, "suffix" : "" }, { "dropping-particle" : "", "family" : "Malta", "given" : "Deborah Carvalho", "non-dropping-particle" : "", "parse-names" : false, "suffix" : "" }, { "dropping-particle" : "", "family" : "Marcenes", "given" : "Wagner", "non-dropping-particle" : "", "parse-names" : false, "suffix" : "" }, { "dropping-particle" : "", "family" : "Markos", "given" : "Desalegn", "non-dropping-particle" : "", "parse-names" : false, "suffix" : "" }, { "dropping-particle" : "", "family" : "Melaku", "given" : "Yohannes A.", "non-dropping-particle" : "", "parse-names" : false, "suffix" : "" }, { "dropping-particle" : "", "family" : "Meles", "given" : "Kidanu G", "non-dropping-particle" : "", "parse-names" : false, "suffix" : "" }, { "dropping-particle" : "", "family" : "Mendoza", "given" : "Walter", "non-dropping-particle" : "", "parse-names" : false, "suffix" : "" }, { "dropping-particle" : "", "family" : "Mengiste", "given" : "Desalegn Tadese", "non-dropping-particle" : "", "parse-names" : false, "suffix" : "" }, { "dropping-particle" : "", "family" : "Meretoja", "given" : "Tuomo J.", "non-dropping-particle" : "", "parse-names" : false, "suffix" : "" }, { "dropping-particle" : "", "family" : "Miller", "given" : "Ted R.", "non-dropping-particle" : "", "parse-names" : false, "suffix" : "" }, { "dropping-particle" : "", "family" : "Mohammad", "given" : "Karzan Abdulmuhsin", "non-dropping-particle" : "", "parse-names" : false, "suffix" : "" }, { "dropping-particle" : "", "family" : "Mohammadi", "given" : "Alireza", "non-dropping-particle" : "", "parse-names" : false, "suffix" : "" }, { "dropping-particle" : "", "family" : "Mohammed", "given" : "Shafiu", "non-dropping-particle" : "", "parse-names" : false, "suffix" : "" }, { "dropping-particle" : "", "family" : "Moradi-Lakeh", "given" : "Maziar", "non-dropping-particle" : "", "parse-names" : false, "suffix" : "" }, { "dropping-particle" : "", "family" : "Nagel", "given" : "Gabriele", "non-dropping-particle" : "", "parse-names" : false, "suffix" : "" }, { "dropping-particle" : "", "family" : "Nand", "given" : "Devina", "non-dropping-particle" : "", "parse-names" : false, "suffix" : "" }, { "dropping-particle" : "", "family" : "Nguyen", "given" : "Quyen", "non-dropping-particle" : "Le", "parse-names" : false, "suffix" : "" }, { "dropping-particle" : "", "family" : "Nolte", "given" : "Sandra", "non-dropping-particle" : "", "parse-names" : false, "suffix" : "" }, { "dropping-particle" : "", "family" : "Ogbo", "given" : "Felix A.", "non-dropping-particle" : "", "parse-names" : false, "suffix" : "" }, { "dropping-particle" : "", "family" : "Oladimeji", "given" : "Kelechi E.", "non-dropping-particle" : "", "parse-names" : false, "suffix" : "" }, { "dropping-particle" : "", "family" : "Oren", "given" : "Eyal", "non-dropping-particle" : "", "parse-names" : false, "suffix" : "" }, { "dropping-particle" : "", "family" : "Pa", "given" : "Mahesh", "non-dropping-particle" : "", "parse-names" : false, "suffix" : "" }, { "dropping-particle" : "", "family" : "Park", "given" : "Eun-Kee", "non-dropping-particle" : "", "parse-names" : false, "suffix" : "" }, { "dropping-particle" : "", "family" : "Pereira", "given" : "David M", "non-dropping-particle" : "", "parse-names" : false, "suffix" : "" }, { "dropping-particle" : "", "family" : "Plass", "given" : "Dietrich", "non-dropping-particle" : "", "parse-names" : false, "suffix" : "" }, { "dropping-particle" : "", "family" : "Qorbani", "given" : "Mostafa", "non-dropping-particle" : "", "parse-names" : false, "suffix" : "" }, { "dropping-particle" : "", "family" : "Radfar", "given" : "Amir", "non-dropping-particle" : "", "parse-names" : false, "suffix" : "" }, { "dropping-particle" : "", "family" : "Rafay", "given" : "Anwar", "non-dropping-particle" : "", "parse-names" : false, "suffix" : "" }, { "dropping-particle" : "", "family" : "Rahman", "given" : "Mahfuzar", "non-dropping-particle" : "", "parse-names" : false, "suffix" : "" }, { "dropping-particle" : "", "family" : "Rana", "given" : "Saleem M.", "non-dropping-particle" : "", "parse-names" : false, "suffix" : "" }, { "dropping-particle" : "", "family" : "S\u00f8reide", "given" : "Kjetil", "non-dropping-particle" : "", "parse-names" : false, "suffix" : "" }, { "dropping-particle" : "", "family" : "Satpathy", "given" : "Maheswar", "non-dropping-particle" : "", "parse-names" : false, "suffix" : "" }, { "dropping-particle" : "", "family" : "Sawhney", "given" : "Monika", "non-dropping-particle" : "", "parse-names" : false, "suffix" : "" }, { "dropping-particle" : "", "family" : "Sepanlou", "given" : "Sadaf G.", "non-dropping-particle" : "", "parse-names" : false, "suffix" : "" }, { "dropping-particle" : "", "family" : "Shaikh", "given" : "Masood Ali", "non-dropping-particle" : "", "parse-names" : false, "suffix" : "" }, { "dropping-particle" : "", "family" : "She", "given" : "Jun", "non-dropping-particle" : "", "parse-names" : false, "suffix" : "" }, { "dropping-particle" : "", "family" : "Shiue", "given" : "Ivy", "non-dropping-particle" : "", "parse-names" : false, "suffix" : "" }, { "dropping-particle" : "", "family" : "Shore", "given" : "Hirbo Roba", "non-dropping-particle" : "", "parse-names" : false, "suffix" : "" }, { "dropping-particle" : "", "family" : "Shrime", "given" : "Mark G.", "non-dropping-particle" : "", "parse-names" : false, "suffix" : "" }, { "dropping-particle" : "", "family" : "So", "given" : "Samuel", "non-dropping-particle" : "", "parse-names" : false, "suffix" : "" }, { "dropping-particle" : "", "family" : "Soneji", "given" : "Samir", "non-dropping-particle" : "", "parse-names" : false, "suffix" : "" }, { "dropping-particle" : "", "family" : "Stathopoulou", "given" : "Vasiliki", "non-dropping-particle" : "", "parse-names" : false, "suffix" : "" }, { "dropping-particle" : "", "family" : "Stroumpoulis", "given" : "Konstantinos", "non-dropping-particle" : "", "parse-names" : false, "suffix" : "" }, { "dropping-particle" : "", "family" : "Sufiyan", "given" : "Muawiyyah Babale", "non-dropping-particle" : "", "parse-names" : false, "suffix" : "" }, { "dropping-particle" : "", "family" : "Sykes", "given" : "Bryan L.", "non-dropping-particle" : "", "parse-names" : false, "suffix" : "" }, { "dropping-particle" : "", "family" : "Tabar\u00e9s-Seisdedos", "given" : "Rafael", "non-dropping-particle" : "", "parse-names" : false, "suffix" : "" }, { "dropping-particle" : "", "family" : "Tadese", "given" : "Fentaw", "non-dropping-particle" : "", "parse-names" : false, "suffix" : "" }, { "dropping-particle" : "", "family" : "Tedla", "given" : "Bemnet Amare", "non-dropping-particle" : "", "parse-names" : false, "suffix" : "" }, { "dropping-particle" : "", "family" : "Tessema", "given" : "Gizachew Assefa", "non-dropping-particle" : "", "parse-names" : false, "suffix" : "" }, { "dropping-particle" : "", "family" : "Thakur", "given" : "J. S.", "non-dropping-particle" : "", "parse-names" : false, "suffix" : "" }, { "dropping-particle" : "", "family" : "Tran", "given" : "Bach Xuan", "non-dropping-particle" : "", "parse-names" : false, "suffix" : "" }, { "dropping-particle" : "", "family" : "Ukwaja", "given" : "Kingsley Nnanna", "non-dropping-particle" : "", "parse-names" : false, "suffix" : "" }, { "dropping-particle" : "", "family" : "Uzochukwu", "given" : "Benjamin S. Chudi", "non-dropping-particle" : "", "parse-names" : false, "suffix" : "" }, { "dropping-particle" : "", "family" : "Vlassov", "given" : "Vasiliy Victorovich", "non-dropping-particle" : "", "parse-names" : false, "suffix" : "" }, { "dropping-particle" : "", "family" : "Weiderpass", "given" : "Elisabete", "non-dropping-particle" : "", "parse-names" : false, "suffix" : "" }, { "dropping-particle" : "", "family" : "Wubshet Terefe", "given" : "Mamo", "non-dropping-particle" : "", "parse-names" : false, "suffix" : "" }, { "dropping-particle" : "", "family" : "Yebyo", "given" : "Henock Gebremedhin", "non-dropping-particle" : "", "parse-names" : false, "suffix" : "" }, { "dropping-particle" : "", "family" : "Yimam", "given" : "Hassen Hamid", "non-dropping-particle" : "", "parse-names" : false, "suffix" : "" }, { "dropping-particle" : "", "family" : "Yonemoto", "given" : "Naohiro", "non-dropping-particle" : "", "parse-names" : false, "suffix" : "" }, { "dropping-particle" : "", "family" : "Younis", "given" : "Mustafa Z.", "non-dropping-particle" : "", "parse-names" : false, "suffix" : "" }, { "dropping-particle" : "", "family" : "Yu", "given" : "Chuanhua", "non-dropping-particle" : "", "parse-names" : false, "suffix" : "" }, { "dropping-particle" : "", "family" : "Zaidi", "given" : "Zoubida", "non-dropping-particle" : "", "parse-names" : false, "suffix" : "" }, { "dropping-particle" : "", "family" : "Zaki", "given" : "Maysaa El Sayed", "non-dropping-particle" : "", "parse-names" : false, "suffix" : "" }, { "dropping-particle" : "", "family" : "Zenebe", "given" : "Zerihun Menlkalew", "non-dropping-particle" : "", "parse-names" : false, "suffix" : "" }, { "dropping-particle" : "", "family" : "Murray", "given" : "Christopher J. L.", "non-dropping-particle" : "", "parse-names" : false, "suffix" : "" }, { "dropping-particle" : "", "family" : "Naghavi", "given" : "Mohsen", "non-dropping-particle" : "", "parse-names" : false, "suffix" : "" } ], "container-title" : "JAMA Oncology", "id" : "ITEM-1", "issue" : "4", "issued" : { "date-parts" : [ [ "2017", "4", "1" ] ] }, "page" : "524", "publisher" : "American Medical Association", "title" : "Global, Regional, and National Cancer Incidence, Mortality, Years of Life Lost, Years Lived With Disability, and Disability-Adjusted Life-years for 32 Cancer Groups, 1990 to 2015", "type" : "article-journal", "volume" : "3" }, "uris" : [ "http://www.mendeley.com/documents/?uuid=153829cf-f43f-316f-bd51-0e553c0cf31b" ] } ], "mendeley" : { "formattedCitation" : "[2]", "plainTextFormattedCitation" : "[2]", "previouslyFormattedCitation" : "[2]" }, "properties" : { "noteIndex" : 1 }, "schema" : "https://github.com/citation-style-language/schema/raw/master/csl-citation.json" }</w:instrText>
      </w:r>
      <w:r>
        <w:fldChar w:fldCharType="separate"/>
      </w:r>
      <w:r w:rsidRPr="00D12FDF">
        <w:rPr>
          <w:noProof/>
        </w:rPr>
        <w:t>[2]</w:t>
      </w:r>
      <w:r>
        <w:fldChar w:fldCharType="end"/>
      </w:r>
      <w:r>
        <w:t>.</w:t>
      </w:r>
      <w:r w:rsidRPr="00603F1A">
        <w:t xml:space="preserve"> </w:t>
      </w:r>
    </w:p>
    <w:p w14:paraId="1171593A" w14:textId="77777777" w:rsidR="00B94D83" w:rsidRDefault="006A329C" w:rsidP="006A329C">
      <w:pPr>
        <w:jc w:val="both"/>
      </w:pPr>
      <w:r w:rsidRPr="005B100A">
        <w:t>Objective or automated screening tests</w:t>
      </w:r>
      <w:r w:rsidR="00B94D83">
        <w:t>,</w:t>
      </w:r>
      <w:r w:rsidRPr="005B100A">
        <w:t xml:space="preserve"> such as HPV testing are useful in contexts where both the n</w:t>
      </w:r>
      <w:r>
        <w:t>umber of specialists and access</w:t>
      </w:r>
      <w:r w:rsidRPr="005B100A">
        <w:t xml:space="preserve"> to them is limited. However, these screening strategies</w:t>
      </w:r>
      <w:r>
        <w:t>, in isolation are unlikely to solve the cervical cancer problem in LMIC.</w:t>
      </w:r>
      <w:r w:rsidR="00B94D83">
        <w:t xml:space="preserve"> This is because i</w:t>
      </w:r>
      <w:r w:rsidRPr="005B100A">
        <w:t xml:space="preserve">t is essential that women with high-risk pre-cancerous </w:t>
      </w:r>
      <w:r>
        <w:t>lesions receive treatment that entirely</w:t>
      </w:r>
      <w:r w:rsidRPr="005B100A">
        <w:t xml:space="preserve"> removes the</w:t>
      </w:r>
      <w:r>
        <w:t>ir</w:t>
      </w:r>
      <w:r w:rsidRPr="005B100A">
        <w:t xml:space="preserve"> lesion</w:t>
      </w:r>
      <w:r>
        <w:t>s</w:t>
      </w:r>
      <w:r w:rsidR="00B94D83">
        <w:t xml:space="preserve">. </w:t>
      </w:r>
      <w:proofErr w:type="gramStart"/>
      <w:r w:rsidR="00B94D83">
        <w:t>O</w:t>
      </w:r>
      <w:r w:rsidRPr="005B100A">
        <w:t>therwise</w:t>
      </w:r>
      <w:proofErr w:type="gramEnd"/>
      <w:r w:rsidRPr="005B100A">
        <w:t xml:space="preserve"> screening programs will fail to prevent the progression of precancerous lesions to cancer. </w:t>
      </w:r>
      <w:r>
        <w:t xml:space="preserve">This hinges on </w:t>
      </w:r>
      <w:r w:rsidR="00B94D83">
        <w:t xml:space="preserve">accuracy of </w:t>
      </w:r>
      <w:r>
        <w:t>visual assessment prior admi</w:t>
      </w:r>
      <w:r w:rsidR="00B94D83">
        <w:t>nistration of treatment. Therefore,</w:t>
      </w:r>
      <w:r>
        <w:t xml:space="preserve"> this subjective assessment remains </w:t>
      </w:r>
      <w:r w:rsidR="00B94D83">
        <w:t xml:space="preserve">fundamental </w:t>
      </w:r>
      <w:r>
        <w:t xml:space="preserve">to cervical cancer screening and treatment. </w:t>
      </w:r>
    </w:p>
    <w:p w14:paraId="5C5C2A49" w14:textId="2E16F822" w:rsidR="006A329C" w:rsidRDefault="00B94D83" w:rsidP="006A329C">
      <w:pPr>
        <w:jc w:val="both"/>
      </w:pPr>
      <w:r>
        <w:t>T</w:t>
      </w:r>
      <w:r w:rsidR="006A329C">
        <w:t>he</w:t>
      </w:r>
      <w:r>
        <w:t xml:space="preserve"> current evidence on</w:t>
      </w:r>
      <w:r w:rsidR="006A329C">
        <w:t xml:space="preserve"> efficacy of </w:t>
      </w:r>
      <w:r w:rsidR="006A329C" w:rsidRPr="0033549F">
        <w:t>visual inspection after a</w:t>
      </w:r>
      <w:r w:rsidR="006A329C">
        <w:t xml:space="preserve">pplication of acetic acid (VIA), the </w:t>
      </w:r>
      <w:proofErr w:type="gramStart"/>
      <w:r w:rsidR="006A329C">
        <w:t>most simple</w:t>
      </w:r>
      <w:proofErr w:type="gramEnd"/>
      <w:r w:rsidR="006A329C">
        <w:t xml:space="preserve"> form of visual assessment, is poor. </w:t>
      </w:r>
      <w:r w:rsidR="006A329C" w:rsidRPr="000400DC">
        <w:t>The sensitivity of VIA in Africa is reported to range from 25.0 (95% CI 7.1–59.1</w:t>
      </w:r>
      <w:proofErr w:type="gramStart"/>
      <w:r w:rsidR="006A329C" w:rsidRPr="000400DC">
        <w:t>)[</w:t>
      </w:r>
      <w:proofErr w:type="gramEnd"/>
      <w:r w:rsidR="006A329C" w:rsidRPr="000400DC">
        <w:t>6] to 9</w:t>
      </w:r>
      <w:r w:rsidR="006A329C">
        <w:t>4.4% (95% CI 90.6 – 79.0)[7]. The main issue</w:t>
      </w:r>
      <w:r>
        <w:t xml:space="preserve"> with VIA</w:t>
      </w:r>
      <w:r w:rsidR="006A329C">
        <w:t xml:space="preserve"> is that there is </w:t>
      </w:r>
      <w:r w:rsidR="006A329C" w:rsidRPr="002272AB">
        <w:t xml:space="preserve">little that can be learned through </w:t>
      </w:r>
      <w:proofErr w:type="gramStart"/>
      <w:r w:rsidR="006A329C" w:rsidRPr="002272AB">
        <w:t xml:space="preserve">the </w:t>
      </w:r>
      <w:r w:rsidR="006A329C">
        <w:t>a</w:t>
      </w:r>
      <w:proofErr w:type="gramEnd"/>
      <w:r w:rsidR="006A329C">
        <w:t xml:space="preserve"> VIA screening system as it is mostly set up today. I</w:t>
      </w:r>
      <w:r w:rsidR="006A329C" w:rsidRPr="002272AB">
        <w:t xml:space="preserve">t is </w:t>
      </w:r>
      <w:r w:rsidR="006A329C">
        <w:t xml:space="preserve">inherently limited when </w:t>
      </w:r>
      <w:r w:rsidR="006A329C" w:rsidRPr="002272AB">
        <w:t xml:space="preserve">not </w:t>
      </w:r>
      <w:proofErr w:type="gramStart"/>
      <w:r w:rsidR="006A329C" w:rsidRPr="002272AB">
        <w:t>coupled with</w:t>
      </w:r>
      <w:proofErr w:type="gramEnd"/>
      <w:r w:rsidR="006A329C" w:rsidRPr="002272AB">
        <w:t xml:space="preserve"> any other testing, such as histology, cytology or HPV and often lacks quality control mechanisms.</w:t>
      </w:r>
      <w:r w:rsidR="006A329C">
        <w:t xml:space="preserve"> </w:t>
      </w:r>
      <w:r w:rsidR="006A329C" w:rsidRPr="0033549F">
        <w:t xml:space="preserve">To ensure a strong connection between screening and treatment, women </w:t>
      </w:r>
      <w:proofErr w:type="gramStart"/>
      <w:r w:rsidR="006A329C" w:rsidRPr="0033549F">
        <w:t>are also assessed</w:t>
      </w:r>
      <w:proofErr w:type="gramEnd"/>
      <w:r w:rsidR="006A329C" w:rsidRPr="0033549F">
        <w:t xml:space="preserve"> immediately for treatment with what is termed the “single visit approach”. </w:t>
      </w:r>
      <w:r w:rsidR="006A329C">
        <w:t xml:space="preserve"> Treatment decisions </w:t>
      </w:r>
      <w:proofErr w:type="gramStart"/>
      <w:r w:rsidR="006A329C">
        <w:t>are usually made</w:t>
      </w:r>
      <w:proofErr w:type="gramEnd"/>
      <w:r w:rsidR="006A329C">
        <w:t xml:space="preserve"> without histopathological confirmation of disease, without supervision, and often by nurses or midwives with varying expertise in the area. Studies have shown that women who receive inadequate treatment of precancerous disease are most likely to develop invasive cancer. In a recent 30 year retrospective cohort study including 1125 women with CIN3+ lesions who would have been eligible for minor local treatments, suboptimal treatment was associated with a cumulative incidence of invasive cancer  of 40% (95% CI 20- 60%)</w:t>
      </w:r>
      <w:r w:rsidR="006A329C">
        <w:fldChar w:fldCharType="begin" w:fldLock="1"/>
      </w:r>
      <w:r w:rsidR="006A329C">
        <w:instrText>ADDIN CSL_CITATION { "citationItems" : [ { "id" : "ITEM-1", "itemData" : { "DOI" : "10.1111/ajo.12753", "ISSN" : "00048666", "author" : [ { "dropping-particle" : "", "family" : "Paul", "given" : "Charlotte", "non-dropping-particle" : "", "parse-names" : false, "suffix" : "" }, { "dropping-particle" : "", "family" : "Sharples", "given" : "Katrina J", "non-dropping-particle" : "", "parse-names" : false, "suffix" : "" }, { "dropping-particle" : "", "family" : "Baranyai", "given" : "Judith", "non-dropping-particle" : "", "parse-names" : false, "suffix" : "" }, { "dropping-particle" : "", "family" : "Jones", "given" : "Ronald W", "non-dropping-particle" : "", "parse-names" : false, "suffix" : "" }, { "dropping-particle" : "", "family" : "Skegg", "given" : "David CG", "non-dropping-particle" : "", "parse-names" : false, "suffix" : "" } ], "container-title" : "Australian and New Zealand Journal of Obstetrics and Gynaecology", "id" : "ITEM-1", "issue" : "3", "issued" : { "date-parts" : [ [ "2018", "6" ] ] }, "page" : "321-329", "publisher" : "Wiley/Blackwell (10.1111)", "title" : "Outcomes for women without conventional treatment for stage 1A (microinvasive) carcinoma of the cervix", "type" : "article-journal", "volume" : "58" }, "uris" : [ "http://www.mendeley.com/documents/?uuid=02424b85-4534-3947-85b0-aace66f90977" ] } ], "mendeley" : { "formattedCitation" : "[3]", "plainTextFormattedCitation" : "[3]", "previouslyFormattedCitation" : "[3]" }, "properties" : { "noteIndex" : 1 }, "schema" : "https://github.com/citation-style-language/schema/raw/master/csl-citation.json" }</w:instrText>
      </w:r>
      <w:r w:rsidR="006A329C">
        <w:fldChar w:fldCharType="separate"/>
      </w:r>
      <w:r w:rsidR="006A329C" w:rsidRPr="009B4A1C">
        <w:rPr>
          <w:noProof/>
        </w:rPr>
        <w:t>[3]</w:t>
      </w:r>
      <w:r w:rsidR="006A329C">
        <w:fldChar w:fldCharType="end"/>
      </w:r>
      <w:r w:rsidR="006A329C">
        <w:t>. There is also a body of evidence showing residual disease after treatment is strongly associated with future development of  cervical smear abnormalities and CIN3+ lesions</w:t>
      </w:r>
      <w:r w:rsidR="006A329C">
        <w:fldChar w:fldCharType="begin" w:fldLock="1"/>
      </w:r>
      <w:r w:rsidR="006A329C">
        <w:instrText>ADDIN CSL_CITATION { "citationItems" : [ { "id" : "ITEM-1", "itemData" : { "ISSN" : "1470-0328", "PMID" : "11702832", "abstract" : "OBJECTIVES To document the pattern of recurrence of disease following large loop excision of the transformation zone (LLETZ) to identify a low risk group of women who might benefit from less intensive cytological surveillance. DESIGN Analysis of prospectively collected information with retrospective review of follow up smears. POPULATION Three thousand, five hundred and sixty women who underwent LLETZ (median age 31 years; IQR 12 years). SETTING Colposcopy clinic at Northern Gynaecological Oncology Centre, Gateshead. METHODS Women treated with LLETZ from 1988 to 1995 were reviewed. Information on the pathology from LLETZ was collected prospectively and information on the subsequent smears was obtained from the family health authorities. RESULTS Invasive cancer was detected on the original LLETZ in 134 women who were excluded from the study. Of the remaining 3,426 women, histology of LLETZ showed high grade CIN (II and III) in 2,371 (69%). At least one follow up smear was undertaken in 3,385 women (99%). This constituted 9,765 women years of follow up with a mean duration of 35 months. Four hundred and seventeen women (12.2%) had a dyskaryotic follow up smear. Incomplete excision of the lesion and an age of &gt; or = 50 years at the time of the LLETZ were associated with an increased risk of recurrent CIN. Based on these risk factors the study group was divided into three risk groups: 1. women aged &lt; 50 with no disease at the margins (n = 1680); 2. women aged &gt; or = 50 with disease at the margins (n = 93); and 3. women aged &lt; 50 with positive margins, or aged &gt; or = 50 with negative margins (n = 1653). The cumulative survival without recurrent CIN at five years for these groups were 92%, 57% and 86%, respectively. CONCLUSION Women aged &gt; or = 50 with CIN at the margins of excision constituted a small minority high risk group (3%). Consideration should be given to repeat treatment of these women rather than surveillance. Women aged &lt; 50 with complete excision of low grade CIN comprised 51% of the study group. These women were at low risk of recurrent CIN and might benefit from less intensive cytological surveillance following LLETZ.", "author" : [ { "dropping-particle" : "", "family" : "Flannelly", "given" : "G", "non-dropping-particle" : "", "parse-names" : false, "suffix" : "" }, { "dropping-particle" : "", "family" : "Bolger", "given" : "B", "non-dropping-particle" : "", "parse-names" : false, "suffix" : "" }, { "dropping-particle" : "", "family" : "Fawzi", "given" : "H", "non-dropping-particle" : "", "parse-names" : false, "suffix" : "" }, { "dropping-particle" : "", "family" : "Lopes", "given" : "A B", "non-dropping-particle" : "De", "parse-names" : false, "suffix" : "" }, { "dropping-particle" : "", "family" : "Monaghan", "given" : "J M", "non-dropping-particle" : "", "parse-names" : false, "suffix" : "" } ], "container-title" : "BJOG : an international journal of obstetrics and gynaecology", "id" : "ITEM-1", "issue" : "10", "issued" : { "date-parts" : [ [ "2001", "10" ] ] }, "page" : "1025-30", "title" : "Follow up after LLETZ: could schedules be modified according to risk of recurrence?", "type" : "article-journal", "volume" : "108" }, "uris" : [ "http://www.mendeley.com/documents/?uuid=bd3fa16b-1a9c-3728-8d35-0bb02b43f676" ] }, { "id" : "ITEM-2", "itemData" : { "DOI" : "10.1016/j.ygyno.2012.01.015", "ISSN" : "1095-6859", "PMID" : "22266548", "abstract" : "OBJECTIVE Currently, women treated for high-grade cervical intraepithelial neoplasia (CIN 2/3) are followed-up by cytology to monitor them for residual and recurrent (post-treatment) disease. This systematic review and meta-analysis determine the test performance of testing for high-risk types of the human papillomavirus (hrHPV), cytology and co-testing (combined hrHPV testing and cytology) in predicting high-grade post-treatment disease (CIN2+). METHODS Studies that compared at least two of three post-treatment surveillance methods, and were published between January 2003 and May 2011, were identified through a bibliographic database search (PubMed, Embase.com and Wiley/Cochrane Library). Identification of relevant studies was conducted independently by two reviewers with a multi-step process. The reference standard used to diagnose post-treatment disease was histologically confirmed CIN2+. Sensitivity, specificity, diagnostic odds ratios and relative sensitivity and specificity were calculated for each study. Pooled estimates were calculated using a random effects model if heterogeneity among studies was significant, otherwise by using a fixed effects model. Estimates were reported with 95% confidence intervals (95%CI). RESULTS Out of 2410 potentially relevant citations, 8 publications, incorporating 1513 treated women, were included. Pooled sensitivities were 0.79 (95%CI 0.72-0.85) for cytology, 0.92 (0.87-0.96) for hrHPV testing, and 0.95 (0.91-0.98) for co-testing. HrHPV testing was more sensitive than cytology to predict post-treatment CIN2+ (relative sensitivity 1.15; 95%CI 1.06-1.25). Pooled specificities were 0.81 (95%CI 0.74-0.86) for cytology, 0.76 (0.67-0.84) for hrHPV testing and 0.67 (0.60-0.74) for co-testing. HrHPV testing and cytology had a similar specificity (relative specificity 0.95, 95%CI 0.88-1.02). CONCLUSIONS This review indicates that the hrHPV test should be included in post-treatment testing 6months after treatment, because hrHPV testing has a higher sensitivity than cytology in detecting high-grade post-treatment disease and has a similar specificity.", "author" : [ { "dropping-particle" : "", "family" : "Kocken", "given" : "Mari\u00eblle", "non-dropping-particle" : "", "parse-names" : false, "suffix" : "" }, { "dropping-particle" : "", "family" : "Uijterwaal", "given" : "Margot H", "non-dropping-particle" : "", "parse-names" : false, "suffix" : "" }, { "dropping-particle" : "", "family" : "Vries", "given" : "Anton L M", "non-dropping-particle" : "de", "parse-names" : false, "suffix" : "" }, { "dropping-particle" : "", "family" : "Berkhof", "given" : "Johannes", "non-dropping-particle" : "", "parse-names" : false, "suffix" : "" }, { "dropping-particle" : "", "family" : "Ket", "given" : "Johannes C F", "non-dropping-particle" : "", "parse-names" : false, "suffix" : "" }, { "dropping-particle" : "", "family" : "Helmerhorst", "given" : "Theo J M", "non-dropping-particle" : "", "parse-names" : false, "suffix" : "" }, { "dropping-particle" : "", "family" : "Meijer", "given" : "Chris J L M", "non-dropping-particle" : "", "parse-names" : false, "suffix" : "" } ], "container-title" : "Gynecologic oncology", "id" : "ITEM-2", "issue" : "2", "issued" : { "date-parts" : [ [ "2012", "5" ] ] }, "page" : "500-7", "title" : "High-risk human papillomavirus testing versus cytology in predicting post-treatment disease in women treated for high-grade cervical disease: a systematic review and meta-analysis.", "type" : "article-journal", "volume" : "125" }, "uris" : [ "http://www.mendeley.com/documents/?uuid=022b113b-1e61-37f0-a158-e8f92782d681" ] } ], "mendeley" : { "formattedCitation" : "[4,5]", "plainTextFormattedCitation" : "[4,5]", "previouslyFormattedCitation" : "[4,5]" }, "properties" : { "noteIndex" : 1 }, "schema" : "https://github.com/citation-style-language/schema/raw/master/csl-citation.json" }</w:instrText>
      </w:r>
      <w:r w:rsidR="006A329C">
        <w:fldChar w:fldCharType="separate"/>
      </w:r>
      <w:r w:rsidR="006A329C" w:rsidRPr="005B100A">
        <w:rPr>
          <w:noProof/>
        </w:rPr>
        <w:t>[4,5]</w:t>
      </w:r>
      <w:r w:rsidR="006A329C">
        <w:fldChar w:fldCharType="end"/>
      </w:r>
      <w:r w:rsidR="006A329C">
        <w:t xml:space="preserve">.  </w:t>
      </w:r>
    </w:p>
    <w:p w14:paraId="042B1FB2" w14:textId="78DD2F3E" w:rsidR="008E1E35" w:rsidRDefault="006A329C" w:rsidP="001C1912">
      <w:pPr>
        <w:jc w:val="both"/>
      </w:pPr>
      <w:proofErr w:type="gramStart"/>
      <w:r>
        <w:t>Colposcopy represents the gold standard for visual assessment of the cervix and has remained the cornerstone of cervical cancer prevention in high-income countries.</w:t>
      </w:r>
      <w:proofErr w:type="gramEnd"/>
      <w:r>
        <w:t xml:space="preserve"> This allows visualization of the cervix with magnification of 6x to 15x</w:t>
      </w:r>
      <w:r>
        <w:fldChar w:fldCharType="begin" w:fldLock="1"/>
      </w:r>
      <w:r>
        <w:instrText>ADDIN CSL_CITATION { "citationItems" : [ { "id" : "ITEM-1", "itemData" : { "abstract" : "World Health Organization Regional Office for Africa (AFRO) Program for Appropriate Technology in Health (PATH) International Union Against Cancer (UICC) IARCPress ISBN 92 832 0412 3", "author" : [ { "dropping-particle" : "", "family" : "Sellors", "given" : "John W", "non-dropping-particle" : "", "parse-names" : false, "suffix" : "" }, { "dropping-particle" : "", "family" : "Sankaranarayanan", "given" : "R", "non-dropping-particle" : "", "parse-names" : false, "suffix" : "" } ], "id" : "ITEM-1", "issued" : { "date-parts" : [ [ "0" ] ] }, "title" : "Colposcopy and Treatment of Cervical Intraepithelial Neoplasia: A Beginners' Manual", "type" : "article-journal" }, "uris" : [ "http://www.mendeley.com/documents/?uuid=ce51656c-49b7-339f-93dd-e2875651f544" ] } ], "mendeley" : { "formattedCitation" : "[6]", "plainTextFormattedCitation" : "[6]", "previouslyFormattedCitation" : "[6]" }, "properties" : { "noteIndex" : 2 }, "schema" : "https://github.com/citation-style-language/schema/raw/master/csl-citation.json" }</w:instrText>
      </w:r>
      <w:r>
        <w:fldChar w:fldCharType="separate"/>
      </w:r>
      <w:r w:rsidRPr="001D5231">
        <w:rPr>
          <w:noProof/>
        </w:rPr>
        <w:t>[6]</w:t>
      </w:r>
      <w:r>
        <w:fldChar w:fldCharType="end"/>
      </w:r>
      <w:r>
        <w:t xml:space="preserve">. The examination includes assessment of the transformation zone with a green filter to identify abnormal vasculature, as well as detailed assessments using acetic acid and </w:t>
      </w:r>
      <w:proofErr w:type="spellStart"/>
      <w:r>
        <w:t>lugol</w:t>
      </w:r>
      <w:proofErr w:type="spellEnd"/>
      <w:r>
        <w:t xml:space="preserve"> solution to identify other </w:t>
      </w:r>
      <w:proofErr w:type="spellStart"/>
      <w:proofErr w:type="gramStart"/>
      <w:r>
        <w:t>well known</w:t>
      </w:r>
      <w:proofErr w:type="spellEnd"/>
      <w:proofErr w:type="gramEnd"/>
      <w:r>
        <w:t xml:space="preserve"> stigmata of precancerous or earlier cancerous lesions.  </w:t>
      </w:r>
      <w:r w:rsidRPr="001D5231">
        <w:t>Recently, studies have examined the potential of a sever</w:t>
      </w:r>
      <w:r>
        <w:t xml:space="preserve">al portable </w:t>
      </w:r>
      <w:proofErr w:type="spellStart"/>
      <w:r>
        <w:t>colposcopic</w:t>
      </w:r>
      <w:proofErr w:type="spellEnd"/>
      <w:r>
        <w:t xml:space="preserve"> devices.</w:t>
      </w:r>
      <w:r w:rsidRPr="001D5231">
        <w:t xml:space="preserve"> These studies </w:t>
      </w:r>
      <w:proofErr w:type="gramStart"/>
      <w:r w:rsidRPr="001D5231">
        <w:t>have not been evaluated</w:t>
      </w:r>
      <w:proofErr w:type="gramEnd"/>
      <w:r w:rsidRPr="001D5231">
        <w:t xml:space="preserve"> together and given that the outcomes of interest, CIN2+ and cervical cancer are rare in the general population, it is useful to combine the data together.</w:t>
      </w:r>
    </w:p>
    <w:p w14:paraId="056B9AFA" w14:textId="77777777" w:rsidR="004E13A6" w:rsidRPr="000A344D" w:rsidRDefault="002272AB">
      <w:pPr>
        <w:rPr>
          <w:b/>
        </w:rPr>
      </w:pPr>
      <w:r w:rsidRPr="000A344D">
        <w:rPr>
          <w:b/>
        </w:rPr>
        <w:t>The objective is</w:t>
      </w:r>
      <w:r w:rsidR="004E13A6" w:rsidRPr="000A344D">
        <w:rPr>
          <w:b/>
        </w:rPr>
        <w:t xml:space="preserve"> as follows</w:t>
      </w:r>
    </w:p>
    <w:p w14:paraId="0C251BDA" w14:textId="02C92CC7" w:rsidR="004E13A6" w:rsidRDefault="004E13A6" w:rsidP="004E13A6">
      <w:pPr>
        <w:pStyle w:val="ListParagraph"/>
        <w:numPr>
          <w:ilvl w:val="0"/>
          <w:numId w:val="1"/>
        </w:numPr>
      </w:pPr>
      <w:r>
        <w:t>To assess the diagnostic test accuracy</w:t>
      </w:r>
      <w:r w:rsidR="0011014A">
        <w:t xml:space="preserve"> of</w:t>
      </w:r>
      <w:r w:rsidR="002272AB">
        <w:t xml:space="preserve"> portable </w:t>
      </w:r>
      <w:proofErr w:type="spellStart"/>
      <w:r w:rsidR="002272AB">
        <w:t>colposcopes</w:t>
      </w:r>
      <w:proofErr w:type="spellEnd"/>
      <w:r w:rsidR="002272AB">
        <w:t xml:space="preserve">, to detect underlying CIN2+ among adult women. </w:t>
      </w:r>
    </w:p>
    <w:p w14:paraId="77D3666E" w14:textId="77777777" w:rsidR="002D6383" w:rsidRPr="000A344D" w:rsidRDefault="00D06723" w:rsidP="00603F1A">
      <w:pPr>
        <w:jc w:val="both"/>
        <w:rPr>
          <w:b/>
        </w:rPr>
      </w:pPr>
      <w:r w:rsidRPr="000A344D">
        <w:rPr>
          <w:b/>
        </w:rPr>
        <w:t xml:space="preserve">Index </w:t>
      </w:r>
      <w:r w:rsidR="00F462DB">
        <w:rPr>
          <w:b/>
        </w:rPr>
        <w:t>t</w:t>
      </w:r>
      <w:r w:rsidRPr="000A344D">
        <w:rPr>
          <w:b/>
        </w:rPr>
        <w:t xml:space="preserve">est: </w:t>
      </w:r>
    </w:p>
    <w:p w14:paraId="7F4D45DA" w14:textId="319111D7" w:rsidR="001C1912" w:rsidRDefault="00D06723" w:rsidP="00B2576D">
      <w:pPr>
        <w:jc w:val="both"/>
      </w:pPr>
      <w:r>
        <w:lastRenderedPageBreak/>
        <w:t xml:space="preserve">Mobile colposcopy: </w:t>
      </w:r>
      <w:r w:rsidR="001C287B">
        <w:t xml:space="preserve">In order to meet the criteria for a </w:t>
      </w:r>
      <w:proofErr w:type="spellStart"/>
      <w:r w:rsidR="001C287B">
        <w:t>colposcope</w:t>
      </w:r>
      <w:proofErr w:type="spellEnd"/>
      <w:r w:rsidR="001C287B">
        <w:t xml:space="preserve">, the device </w:t>
      </w:r>
      <w:r w:rsidR="00540E5A">
        <w:t>must allow</w:t>
      </w:r>
      <w:r w:rsidR="001C287B">
        <w:t xml:space="preserve"> visualization of the cervix with 4-15X optical magnificat</w:t>
      </w:r>
      <w:r w:rsidR="00B2576D">
        <w:t>ion. The device must be mobile, compact or h</w:t>
      </w:r>
      <w:r w:rsidR="001C287B" w:rsidRPr="001C287B">
        <w:t>and held</w:t>
      </w:r>
      <w:r w:rsidR="000C2CDE">
        <w:t>,</w:t>
      </w:r>
      <w:r w:rsidR="001C287B">
        <w:t xml:space="preserve"> and </w:t>
      </w:r>
      <w:r w:rsidR="00B2576D">
        <w:t xml:space="preserve">it must </w:t>
      </w:r>
      <w:r w:rsidR="001C287B">
        <w:t>not dependent on a</w:t>
      </w:r>
      <w:r w:rsidR="00B2576D">
        <w:t xml:space="preserve">n electricity supply. </w:t>
      </w:r>
    </w:p>
    <w:p w14:paraId="134FA37A" w14:textId="77777777" w:rsidR="000A344D" w:rsidRPr="009E4EB9" w:rsidRDefault="009E4EB9" w:rsidP="000A344D">
      <w:pPr>
        <w:jc w:val="both"/>
        <w:rPr>
          <w:b/>
        </w:rPr>
      </w:pPr>
      <w:r w:rsidRPr="009E4EB9">
        <w:rPr>
          <w:b/>
        </w:rPr>
        <w:t xml:space="preserve">Methods </w:t>
      </w:r>
    </w:p>
    <w:p w14:paraId="713F448D" w14:textId="4BCB77DA" w:rsidR="009E4EB9" w:rsidRPr="009E4EB9" w:rsidRDefault="001C1912" w:rsidP="001C1912">
      <w:pPr>
        <w:jc w:val="both"/>
      </w:pPr>
      <w:r w:rsidRPr="001C1912">
        <w:rPr>
          <w:b/>
          <w:u w:val="single"/>
        </w:rPr>
        <w:t>Search strategy</w:t>
      </w:r>
      <w:r>
        <w:t xml:space="preserve">: </w:t>
      </w:r>
      <w:r w:rsidR="009E4EB9" w:rsidRPr="009E4EB9">
        <w:t xml:space="preserve">This protocol </w:t>
      </w:r>
      <w:proofErr w:type="gramStart"/>
      <w:r w:rsidR="009E4EB9" w:rsidRPr="009E4EB9">
        <w:t>was written</w:t>
      </w:r>
      <w:proofErr w:type="gramEnd"/>
      <w:r w:rsidR="009E4EB9" w:rsidRPr="009E4EB9">
        <w:t xml:space="preserve"> in accordance with the Preferred Reporting Items for Systematic Reviews and Meta-Analyses (PRISMA) criteria. </w:t>
      </w:r>
      <w:proofErr w:type="spellStart"/>
      <w:r w:rsidR="009E4EB9" w:rsidRPr="009E4EB9">
        <w:t>Embase</w:t>
      </w:r>
      <w:proofErr w:type="spellEnd"/>
      <w:r w:rsidR="009E4EB9" w:rsidRPr="009E4EB9">
        <w:t>, Medline, Cochrane Library, Clinical tr</w:t>
      </w:r>
      <w:r w:rsidR="00F462DB">
        <w:t>ia</w:t>
      </w:r>
      <w:r w:rsidR="009E4EB9" w:rsidRPr="009E4EB9">
        <w:t xml:space="preserve">ls registry and FDA web site for </w:t>
      </w:r>
      <w:r w:rsidR="00F462DB">
        <w:t>m</w:t>
      </w:r>
      <w:r w:rsidR="009E4EB9" w:rsidRPr="009E4EB9">
        <w:t xml:space="preserve">obile </w:t>
      </w:r>
      <w:proofErr w:type="spellStart"/>
      <w:r w:rsidR="009E4EB9" w:rsidRPr="009E4EB9">
        <w:t>colposcopes</w:t>
      </w:r>
      <w:proofErr w:type="spellEnd"/>
      <w:r w:rsidR="009E4EB9" w:rsidRPr="009E4EB9">
        <w:t xml:space="preserve"> will be searched </w:t>
      </w:r>
      <w:proofErr w:type="spellStart"/>
      <w:r w:rsidR="009E4EB9" w:rsidRPr="009E4EB9">
        <w:t>u</w:t>
      </w:r>
      <w:r w:rsidR="000C2CDE">
        <w:t>p</w:t>
      </w:r>
      <w:r w:rsidR="009E4EB9" w:rsidRPr="009E4EB9">
        <w:t>to</w:t>
      </w:r>
      <w:proofErr w:type="spellEnd"/>
      <w:r w:rsidR="009E4EB9" w:rsidRPr="009E4EB9">
        <w:t xml:space="preserve"> final date of </w:t>
      </w:r>
      <w:proofErr w:type="gramStart"/>
      <w:r w:rsidR="009E4EB9" w:rsidRPr="009E4EB9">
        <w:t>search,</w:t>
      </w:r>
      <w:proofErr w:type="gramEnd"/>
      <w:r w:rsidR="009E4EB9" w:rsidRPr="009E4EB9">
        <w:t xml:space="preserve"> and additional studies will be located through</w:t>
      </w:r>
      <w:r w:rsidR="00BC78EA">
        <w:t xml:space="preserve"> backwards and forwards</w:t>
      </w:r>
      <w:r w:rsidR="009E4EB9" w:rsidRPr="009E4EB9">
        <w:t xml:space="preserve"> citation</w:t>
      </w:r>
      <w:r w:rsidR="00BC78EA">
        <w:t xml:space="preserve"> chaining</w:t>
      </w:r>
      <w:r w:rsidR="009E4EB9" w:rsidRPr="009E4EB9">
        <w:t>.</w:t>
      </w:r>
      <w:r w:rsidR="00482620">
        <w:t xml:space="preserve"> </w:t>
      </w:r>
    </w:p>
    <w:p w14:paraId="2335CF22" w14:textId="77777777" w:rsidR="009E4EB9" w:rsidRDefault="009E4EB9" w:rsidP="009E4EB9">
      <w:pPr>
        <w:jc w:val="both"/>
      </w:pPr>
      <w:r w:rsidRPr="009E4EB9">
        <w:t xml:space="preserve">The search terms used included “Cervical cancer / </w:t>
      </w:r>
      <w:proofErr w:type="spellStart"/>
      <w:r w:rsidRPr="009E4EB9">
        <w:t>precancer</w:t>
      </w:r>
      <w:proofErr w:type="spellEnd"/>
      <w:r w:rsidRPr="009E4EB9">
        <w:t>” “Mass screening / early detection of cancer” “</w:t>
      </w:r>
      <w:proofErr w:type="spellStart"/>
      <w:r w:rsidRPr="009E4EB9">
        <w:t>colposcopes</w:t>
      </w:r>
      <w:proofErr w:type="spellEnd"/>
      <w:r w:rsidRPr="009E4EB9">
        <w:t xml:space="preserve">/alternate </w:t>
      </w:r>
      <w:proofErr w:type="spellStart"/>
      <w:r w:rsidRPr="009E4EB9">
        <w:t>colposcopes</w:t>
      </w:r>
      <w:proofErr w:type="spellEnd"/>
      <w:r w:rsidRPr="009E4EB9">
        <w:t>” “m</w:t>
      </w:r>
      <w:r>
        <w:t xml:space="preserve">obile / </w:t>
      </w:r>
      <w:r w:rsidRPr="009E4EB9">
        <w:t xml:space="preserve">point of care systems / </w:t>
      </w:r>
      <w:r>
        <w:t xml:space="preserve">telemedicine / </w:t>
      </w:r>
      <w:proofErr w:type="spellStart"/>
      <w:r>
        <w:t>mhealth</w:t>
      </w:r>
      <w:proofErr w:type="spellEnd"/>
      <w:r>
        <w:t>”. The search stra</w:t>
      </w:r>
      <w:r w:rsidR="00F462DB">
        <w:t>t</w:t>
      </w:r>
      <w:r>
        <w:t xml:space="preserve">egy for Medline </w:t>
      </w:r>
      <w:proofErr w:type="gramStart"/>
      <w:r>
        <w:t>is illustrated</w:t>
      </w:r>
      <w:proofErr w:type="gramEnd"/>
      <w:r>
        <w:t xml:space="preserve"> in </w:t>
      </w:r>
      <w:r w:rsidR="00482620">
        <w:t>A</w:t>
      </w:r>
      <w:r w:rsidRPr="00482620">
        <w:t>ppendix 1.</w:t>
      </w:r>
      <w:r>
        <w:t xml:space="preserve"> </w:t>
      </w:r>
      <w:r w:rsidR="00482620">
        <w:t xml:space="preserve">The literature search will identify studies </w:t>
      </w:r>
      <w:r w:rsidR="003B05F0">
        <w:t xml:space="preserve">without language restriction. </w:t>
      </w:r>
    </w:p>
    <w:p w14:paraId="62581335" w14:textId="77777777" w:rsidR="00BC78EA" w:rsidRDefault="00BC78EA" w:rsidP="009E4EB9">
      <w:pPr>
        <w:jc w:val="both"/>
      </w:pPr>
      <w:r>
        <w:t xml:space="preserve">Two reviewers </w:t>
      </w:r>
      <w:r w:rsidR="003B05F0">
        <w:t>(KT and ER)</w:t>
      </w:r>
      <w:r>
        <w:t xml:space="preserve"> will verify the</w:t>
      </w:r>
      <w:r w:rsidR="003B05F0">
        <w:t xml:space="preserve"> inclusion and exclusion of studies independently and discuss if any discordances. If no consensus </w:t>
      </w:r>
      <w:proofErr w:type="gramStart"/>
      <w:r w:rsidR="003B05F0">
        <w:t>can be reached</w:t>
      </w:r>
      <w:proofErr w:type="gramEnd"/>
      <w:r w:rsidR="003B05F0">
        <w:t xml:space="preserve">, a third review author (JB) will be consulted. </w:t>
      </w:r>
      <w:r>
        <w:t xml:space="preserve"> </w:t>
      </w:r>
    </w:p>
    <w:p w14:paraId="67E5B982" w14:textId="0FB26A04" w:rsidR="009E4EB9" w:rsidRPr="001C1912" w:rsidRDefault="001C1912" w:rsidP="009E4EB9">
      <w:pPr>
        <w:jc w:val="both"/>
      </w:pPr>
      <w:r w:rsidRPr="001C1912">
        <w:rPr>
          <w:b/>
          <w:u w:val="single"/>
        </w:rPr>
        <w:t>Study eligibility:</w:t>
      </w:r>
      <w:r>
        <w:t xml:space="preserve"> T</w:t>
      </w:r>
      <w:r w:rsidR="00F16C3C" w:rsidRPr="001C1912">
        <w:t>he following</w:t>
      </w:r>
      <w:r w:rsidR="00EA64DA" w:rsidRPr="001C1912">
        <w:t xml:space="preserve"> criteria had to </w:t>
      </w:r>
      <w:proofErr w:type="gramStart"/>
      <w:r w:rsidR="00EA64DA" w:rsidRPr="001C1912">
        <w:t>be fulfilled</w:t>
      </w:r>
      <w:proofErr w:type="gramEnd"/>
      <w:r w:rsidR="00EA64DA" w:rsidRPr="001C1912">
        <w:t xml:space="preserve"> in order for articles to be included in the meta-analysis:</w:t>
      </w:r>
    </w:p>
    <w:p w14:paraId="730AA796" w14:textId="77777777" w:rsidR="009E4EB9" w:rsidRDefault="009E4EB9" w:rsidP="009E4EB9">
      <w:pPr>
        <w:pStyle w:val="ListParagraph"/>
        <w:numPr>
          <w:ilvl w:val="0"/>
          <w:numId w:val="3"/>
        </w:numPr>
        <w:jc w:val="both"/>
      </w:pPr>
      <w:r>
        <w:t xml:space="preserve">Study design: RCTs, </w:t>
      </w:r>
      <w:r w:rsidR="00F462DB">
        <w:t>c</w:t>
      </w:r>
      <w:r>
        <w:t xml:space="preserve">ohort, </w:t>
      </w:r>
      <w:r w:rsidR="00F462DB">
        <w:t>c</w:t>
      </w:r>
      <w:r>
        <w:t>ross sectional studies</w:t>
      </w:r>
    </w:p>
    <w:p w14:paraId="7ACC0CE4" w14:textId="77777777" w:rsidR="009E4EB9" w:rsidRDefault="009E4EB9" w:rsidP="009E4EB9">
      <w:pPr>
        <w:pStyle w:val="ListParagraph"/>
        <w:numPr>
          <w:ilvl w:val="0"/>
          <w:numId w:val="3"/>
        </w:numPr>
        <w:jc w:val="both"/>
      </w:pPr>
      <w:r>
        <w:t>Population: whenever mobile colposcopy could be used for cervical cancer screening purposes</w:t>
      </w:r>
    </w:p>
    <w:p w14:paraId="01177A26" w14:textId="77777777" w:rsidR="009E4EB9" w:rsidRDefault="009E4EB9" w:rsidP="009E4EB9">
      <w:pPr>
        <w:pStyle w:val="ListParagraph"/>
        <w:numPr>
          <w:ilvl w:val="0"/>
          <w:numId w:val="3"/>
        </w:numPr>
        <w:jc w:val="both"/>
      </w:pPr>
      <w:r>
        <w:t xml:space="preserve">Index test: </w:t>
      </w:r>
    </w:p>
    <w:p w14:paraId="7CB5A5E5" w14:textId="29361BA6" w:rsidR="009E4EB9" w:rsidRDefault="009E4EB9" w:rsidP="009E4EB9">
      <w:pPr>
        <w:pStyle w:val="ListParagraph"/>
        <w:numPr>
          <w:ilvl w:val="2"/>
          <w:numId w:val="3"/>
        </w:numPr>
        <w:jc w:val="both"/>
      </w:pPr>
      <w:r>
        <w:t>Sufficient optical magnification</w:t>
      </w:r>
      <w:r w:rsidR="00483F0A">
        <w:t xml:space="preserve"> (6-14X)</w:t>
      </w:r>
    </w:p>
    <w:p w14:paraId="5FAA34D5" w14:textId="77777777" w:rsidR="009E4EB9" w:rsidRDefault="009E4EB9" w:rsidP="009E4EB9">
      <w:pPr>
        <w:pStyle w:val="ListParagraph"/>
        <w:numPr>
          <w:ilvl w:val="2"/>
          <w:numId w:val="3"/>
        </w:numPr>
        <w:jc w:val="both"/>
      </w:pPr>
      <w:r>
        <w:t>Monocular and binocular acceptable</w:t>
      </w:r>
    </w:p>
    <w:p w14:paraId="2F3313E8" w14:textId="77777777" w:rsidR="00483F0A" w:rsidRDefault="00483F0A" w:rsidP="00483F0A">
      <w:pPr>
        <w:pStyle w:val="ListParagraph"/>
        <w:numPr>
          <w:ilvl w:val="2"/>
          <w:numId w:val="3"/>
        </w:numPr>
        <w:spacing w:line="252" w:lineRule="auto"/>
        <w:jc w:val="both"/>
      </w:pPr>
      <w:r>
        <w:t xml:space="preserve">Diagnostic procedure: visualization of cervix with high magnification, white light (+- green light) assessment, acetic acid, and </w:t>
      </w:r>
      <w:proofErr w:type="spellStart"/>
      <w:r>
        <w:t>lugols</w:t>
      </w:r>
      <w:proofErr w:type="spellEnd"/>
      <w:r>
        <w:t xml:space="preserve"> solution</w:t>
      </w:r>
    </w:p>
    <w:p w14:paraId="558F6AF8" w14:textId="77777777" w:rsidR="00483F0A" w:rsidRDefault="00483F0A" w:rsidP="00483F0A">
      <w:pPr>
        <w:pStyle w:val="ListParagraph"/>
        <w:numPr>
          <w:ilvl w:val="2"/>
          <w:numId w:val="3"/>
        </w:numPr>
        <w:spacing w:line="252" w:lineRule="auto"/>
        <w:jc w:val="both"/>
      </w:pPr>
      <w:r>
        <w:t>Device should be portable for use in the field settings</w:t>
      </w:r>
    </w:p>
    <w:p w14:paraId="2F056E09" w14:textId="77777777" w:rsidR="009E4EB9" w:rsidRDefault="009E4EB9" w:rsidP="009E4EB9">
      <w:pPr>
        <w:pStyle w:val="ListParagraph"/>
        <w:numPr>
          <w:ilvl w:val="0"/>
          <w:numId w:val="3"/>
        </w:numPr>
        <w:jc w:val="both"/>
      </w:pPr>
      <w:r>
        <w:t>Reference standard: punch biopsy or excision biopsy (LOOP or LEEP) of the cervix.</w:t>
      </w:r>
      <w:r w:rsidR="000C2CDE">
        <w:t xml:space="preserve"> This is required in all participants, or all those</w:t>
      </w:r>
      <w:r>
        <w:t xml:space="preserve"> considered to have a positive test should have the reference standard</w:t>
      </w:r>
      <w:r w:rsidR="00F16C3C">
        <w:t>.</w:t>
      </w:r>
    </w:p>
    <w:p w14:paraId="7E5B1F97" w14:textId="77777777" w:rsidR="00F16C3C" w:rsidRDefault="00F16C3C" w:rsidP="009E4EB9">
      <w:pPr>
        <w:pStyle w:val="ListParagraph"/>
        <w:numPr>
          <w:ilvl w:val="0"/>
          <w:numId w:val="3"/>
        </w:numPr>
        <w:jc w:val="both"/>
      </w:pPr>
      <w:r>
        <w:t>Target condition: histologically proven CIN2+</w:t>
      </w:r>
    </w:p>
    <w:p w14:paraId="154DFF45" w14:textId="4080F204" w:rsidR="00D06723" w:rsidRDefault="009E4EB9" w:rsidP="00603F1A">
      <w:pPr>
        <w:pStyle w:val="ListParagraph"/>
        <w:numPr>
          <w:ilvl w:val="0"/>
          <w:numId w:val="3"/>
        </w:numPr>
        <w:jc w:val="both"/>
      </w:pPr>
      <w:r>
        <w:t>Pre-test: not restricted</w:t>
      </w:r>
      <w:bookmarkStart w:id="0" w:name="_GoBack"/>
      <w:bookmarkEnd w:id="0"/>
    </w:p>
    <w:p w14:paraId="37024FBC" w14:textId="251959DA" w:rsidR="00F16C3C" w:rsidRDefault="001C1912" w:rsidP="00603F1A">
      <w:pPr>
        <w:jc w:val="both"/>
      </w:pPr>
      <w:r w:rsidRPr="001C1912">
        <w:rPr>
          <w:b/>
          <w:u w:val="single"/>
        </w:rPr>
        <w:t>Data Extraction:</w:t>
      </w:r>
      <w:r>
        <w:t xml:space="preserve"> One author will extract the data (KT</w:t>
      </w:r>
      <w:proofErr w:type="gramStart"/>
      <w:r>
        <w:t>)  and</w:t>
      </w:r>
      <w:proofErr w:type="gramEnd"/>
      <w:r>
        <w:t xml:space="preserve"> another person will fact-check it </w:t>
      </w:r>
      <w:r w:rsidR="003D62CF">
        <w:t>(</w:t>
      </w:r>
      <w:r>
        <w:t xml:space="preserve">ER). They will </w:t>
      </w:r>
      <w:r w:rsidR="003D62CF">
        <w:t xml:space="preserve">subsequently discuss in the case of differences. Where possible, the </w:t>
      </w:r>
      <w:r w:rsidR="00B55BF9">
        <w:t xml:space="preserve">absolute </w:t>
      </w:r>
      <w:r w:rsidR="003D62CF">
        <w:t>numbers of true-positives, false-negatives, true-positives, true-negatives</w:t>
      </w:r>
      <w:r w:rsidR="00B55BF9">
        <w:t xml:space="preserve"> </w:t>
      </w:r>
      <w:proofErr w:type="gramStart"/>
      <w:r w:rsidR="00B55BF9">
        <w:t>will be extracted</w:t>
      </w:r>
      <w:proofErr w:type="gramEnd"/>
      <w:r w:rsidR="00B55BF9">
        <w:t xml:space="preserve"> directly from the article. Where accuracy parameters </w:t>
      </w:r>
      <w:proofErr w:type="gramStart"/>
      <w:r w:rsidR="00B55BF9">
        <w:t>are reported</w:t>
      </w:r>
      <w:proofErr w:type="gramEnd"/>
      <w:r w:rsidR="00B55BF9">
        <w:t xml:space="preserve"> but not the absolute numbers of true and false, positives and negatives, it will be derived or computed from the reported data. </w:t>
      </w:r>
      <w:r w:rsidR="003D62CF">
        <w:t xml:space="preserve"> </w:t>
      </w:r>
      <w:r w:rsidR="00B55BF9">
        <w:t xml:space="preserve">If this data still </w:t>
      </w:r>
      <w:proofErr w:type="gramStart"/>
      <w:r w:rsidR="00B55BF9">
        <w:t>cannot be obtained</w:t>
      </w:r>
      <w:proofErr w:type="gramEnd"/>
      <w:r w:rsidR="00B55BF9">
        <w:t>, we will contact authors directly.</w:t>
      </w:r>
      <w:r>
        <w:t xml:space="preserve"> If there is data for multiple thresholds of the index test, this </w:t>
      </w:r>
      <w:proofErr w:type="gramStart"/>
      <w:r>
        <w:t>will all be reported</w:t>
      </w:r>
      <w:proofErr w:type="gramEnd"/>
      <w:r>
        <w:t xml:space="preserve"> as above. </w:t>
      </w:r>
      <w:r w:rsidR="00B55BF9">
        <w:t xml:space="preserve"> </w:t>
      </w:r>
    </w:p>
    <w:p w14:paraId="43892407" w14:textId="3FBC9E67" w:rsidR="001335DD" w:rsidRDefault="001C1912" w:rsidP="006A329C">
      <w:pPr>
        <w:jc w:val="both"/>
      </w:pPr>
      <w:r w:rsidRPr="001C1912">
        <w:rPr>
          <w:b/>
          <w:u w:val="single"/>
        </w:rPr>
        <w:t>Quality Assessment:</w:t>
      </w:r>
      <w:r>
        <w:t xml:space="preserve"> </w:t>
      </w:r>
      <w:r w:rsidR="00BF3279">
        <w:t>M</w:t>
      </w:r>
      <w:r w:rsidR="00B55BF9">
        <w:t>ethodological qualit</w:t>
      </w:r>
      <w:r w:rsidR="00FA0164">
        <w:t xml:space="preserve">y </w:t>
      </w:r>
      <w:r w:rsidR="00BF3279">
        <w:t>will be assessed against the Quality Assessment of Diagnostic Accuracy Studies checklist</w:t>
      </w:r>
      <w:r w:rsidR="00F462DB">
        <w:t xml:space="preserve"> </w:t>
      </w:r>
      <w:r w:rsidR="00BF3279">
        <w:fldChar w:fldCharType="begin" w:fldLock="1"/>
      </w:r>
      <w:r w:rsidR="001D5231">
        <w:instrText>ADDIN CSL_CITATION { "citationItems" : [ { "id" : "ITEM-1", "itemData" : { "DOI" : "10.7326/0003-4819-155-8-201110180-00009", "ISSN" : "0003-4819", "author" : [ { "dropping-particle" : "", "family" : "Whiting", "given" : "Penny F.", "non-dropping-particle" : "", "parse-names" : false, "suffix" : "" }, { "dropping-particle" : "", "family" : "Rutjes", "given" : "Anne W.S.", "non-dropping-particle" : "", "parse-names" : false, "suffix" : "" }, { "dropping-particle" : "", "family" : "Westwood", "given" : "Marie E.", "non-dropping-particle" : "", "parse-names" : false, "suffix" : "" }, { "dropping-particle" : "", "family" : "Mallett", "given" : "Susan", "non-dropping-particle" : "", "parse-names" : false, "suffix" : "" }, { "dropping-particle" : "", "family" : "Deeks", "given" : "Jonathan J.", "non-dropping-particle" : "", "parse-names" : false, "suffix" : "" }, { "dropping-particle" : "", "family" : "Reitsma", "given" : "Johannes B.", "non-dropping-particle" : "", "parse-names" : false, "suffix" : "" }, { "dropping-particle" : "", "family" : "Leeflang", "given" : "Mariska M.G.", "non-dropping-particle" : "", "parse-names" : false, "suffix" : "" }, { "dropping-particle" : "", "family" : "Sterne", "given" : "Jonathan A.C.", "non-dropping-particle" : "", "parse-names" : false, "suffix" : "" }, { "dropping-particle" : "", "family" : "Bossuyt", "given" : "Patrick M.M.", "non-dropping-particle" : "", "parse-names" : false, "suffix" : "" } ], "container-title" : "Annals of Internal Medicine", "id" : "ITEM-1", "issue" : "8", "issued" : { "date-parts" : [ [ "2011", "10", "18" ] ] }, "page" : "529", "publisher" : "American College of Physicians", "title" : "QUADAS-2: A Revised Tool for the Quality Assessment of Diagnostic Accuracy Studies", "type" : "article-journal", "volume" : "155" }, "uris" : [ "http://www.mendeley.com/documents/?uuid=32334508-e2af-36a5-ba0c-908b18c39129" ] } ], "mendeley" : { "formattedCitation" : "[7]", "plainTextFormattedCitation" : "[7]", "previouslyFormattedCitation" : "[7]" }, "properties" : { "noteIndex" : 3 }, "schema" : "https://github.com/citation-style-language/schema/raw/master/csl-citation.json" }</w:instrText>
      </w:r>
      <w:r w:rsidR="00BF3279">
        <w:fldChar w:fldCharType="separate"/>
      </w:r>
      <w:r w:rsidR="001D5231" w:rsidRPr="001D5231">
        <w:rPr>
          <w:noProof/>
        </w:rPr>
        <w:t>[7]</w:t>
      </w:r>
      <w:r w:rsidR="00BF3279">
        <w:fldChar w:fldCharType="end"/>
      </w:r>
      <w:r w:rsidR="00FA0164">
        <w:t xml:space="preserve">. </w:t>
      </w:r>
      <w:r w:rsidR="00BF3279">
        <w:t>For each study,</w:t>
      </w:r>
      <w:r w:rsidR="00BC2177">
        <w:t xml:space="preserve"> a methodological quality table </w:t>
      </w:r>
      <w:proofErr w:type="gramStart"/>
      <w:r w:rsidR="00BC2177">
        <w:t>will be completed</w:t>
      </w:r>
      <w:proofErr w:type="gramEnd"/>
      <w:r w:rsidR="00F462DB">
        <w:t>. T</w:t>
      </w:r>
      <w:r w:rsidR="00BC2177">
        <w:t xml:space="preserve">able 1 explains how </w:t>
      </w:r>
      <w:proofErr w:type="gramStart"/>
      <w:r w:rsidR="00BC2177">
        <w:t>the domains will be interpreted by reviewers</w:t>
      </w:r>
      <w:proofErr w:type="gramEnd"/>
      <w:r w:rsidR="007378BE">
        <w:t xml:space="preserve"> in order to achieve a score of “no-concerns”</w:t>
      </w:r>
      <w:r w:rsidR="00BC2177">
        <w:t xml:space="preserve">. </w:t>
      </w:r>
      <w:r w:rsidR="00105EBE">
        <w:t xml:space="preserve">Overall assessment </w:t>
      </w:r>
      <w:proofErr w:type="gramStart"/>
      <w:r w:rsidR="00105EBE">
        <w:t>is concluded</w:t>
      </w:r>
      <w:proofErr w:type="gramEnd"/>
      <w:r w:rsidR="00105EBE">
        <w:t xml:space="preserve"> by the sum of </w:t>
      </w:r>
      <w:r w:rsidR="00F84EF3">
        <w:t>assessments</w:t>
      </w:r>
      <w:r w:rsidR="00105EBE">
        <w:t xml:space="preserve"> in each domain (i</w:t>
      </w:r>
      <w:r w:rsidR="00F462DB">
        <w:t>.</w:t>
      </w:r>
      <w:r w:rsidR="00105EBE">
        <w:t>e</w:t>
      </w:r>
      <w:r w:rsidR="00F462DB">
        <w:t>.</w:t>
      </w:r>
      <w:r w:rsidR="00105EBE">
        <w:t xml:space="preserve"> if 2 out of 3 questions were unclear, overall assessment for that domain will be unclear).</w:t>
      </w:r>
    </w:p>
    <w:p w14:paraId="5D943CCB" w14:textId="09179E37" w:rsidR="006A329C" w:rsidRPr="006A329C" w:rsidRDefault="001335DD" w:rsidP="006A329C">
      <w:pPr>
        <w:jc w:val="both"/>
      </w:pPr>
      <w:r w:rsidRPr="001335DD">
        <w:rPr>
          <w:b/>
        </w:rPr>
        <w:t xml:space="preserve">Statistical </w:t>
      </w:r>
      <w:proofErr w:type="spellStart"/>
      <w:r w:rsidRPr="001335DD">
        <w:rPr>
          <w:b/>
        </w:rPr>
        <w:t>anaylsis</w:t>
      </w:r>
      <w:proofErr w:type="spellEnd"/>
      <w:r w:rsidR="00201A9F">
        <w:rPr>
          <w:b/>
        </w:rPr>
        <w:t xml:space="preserve">: </w:t>
      </w:r>
      <w:r w:rsidR="00475B44">
        <w:t xml:space="preserve">Using sensitivities and </w:t>
      </w:r>
      <w:proofErr w:type="spellStart"/>
      <w:r w:rsidR="00475B44">
        <w:t>specifities</w:t>
      </w:r>
      <w:proofErr w:type="spellEnd"/>
      <w:r w:rsidR="00475B44">
        <w:t xml:space="preserve"> as the main outcomes of interest</w:t>
      </w:r>
      <w:r w:rsidR="00201A9F">
        <w:t>, r</w:t>
      </w:r>
      <w:r w:rsidR="005E25A3">
        <w:t xml:space="preserve">esults from each study </w:t>
      </w:r>
      <w:proofErr w:type="gramStart"/>
      <w:r w:rsidR="005E25A3">
        <w:t xml:space="preserve">will be </w:t>
      </w:r>
      <w:r w:rsidR="00201A9F">
        <w:t>displayed</w:t>
      </w:r>
      <w:proofErr w:type="gramEnd"/>
      <w:r w:rsidR="00201A9F">
        <w:t xml:space="preserve"> on “paired” forest plots. Results </w:t>
      </w:r>
      <w:proofErr w:type="gramStart"/>
      <w:r w:rsidR="00201A9F">
        <w:t>will also</w:t>
      </w:r>
      <w:r w:rsidR="00475B44">
        <w:t xml:space="preserve"> be presented</w:t>
      </w:r>
      <w:proofErr w:type="gramEnd"/>
      <w:r w:rsidR="00475B44">
        <w:t xml:space="preserve"> graphically on </w:t>
      </w:r>
      <w:r w:rsidR="00201A9F">
        <w:t>summary ROC</w:t>
      </w:r>
      <w:r w:rsidR="005E25A3">
        <w:t xml:space="preserve"> (SROC)</w:t>
      </w:r>
      <w:r w:rsidR="00201A9F">
        <w:t xml:space="preserve"> curves. Data for all thresholds of the index test </w:t>
      </w:r>
      <w:proofErr w:type="gramStart"/>
      <w:r w:rsidR="00201A9F">
        <w:t>will be reviewed</w:t>
      </w:r>
      <w:proofErr w:type="gramEnd"/>
      <w:r w:rsidR="00201A9F">
        <w:t xml:space="preserve">. If </w:t>
      </w:r>
      <w:proofErr w:type="gramStart"/>
      <w:r w:rsidR="00201A9F">
        <w:t>appropriate</w:t>
      </w:r>
      <w:proofErr w:type="gramEnd"/>
      <w:r w:rsidR="005E25A3">
        <w:t xml:space="preserve"> </w:t>
      </w:r>
      <w:r w:rsidR="005E25A3">
        <w:lastRenderedPageBreak/>
        <w:t>we will perform a</w:t>
      </w:r>
      <w:r w:rsidR="005E25A3" w:rsidRPr="005E25A3">
        <w:t xml:space="preserve"> random-effects meta-analysis to derive the combined overall estimates of test accurac</w:t>
      </w:r>
      <w:r w:rsidR="005E25A3">
        <w:t>ies</w:t>
      </w:r>
      <w:r w:rsidR="005E25A3" w:rsidRPr="005E25A3">
        <w:t>. We</w:t>
      </w:r>
      <w:r w:rsidR="005E25A3">
        <w:t xml:space="preserve"> may also explore </w:t>
      </w:r>
      <w:r w:rsidR="005E25A3" w:rsidRPr="005E25A3">
        <w:t>causes of heterogeneity using meta-regression.</w:t>
      </w:r>
      <w:r w:rsidR="005E25A3">
        <w:t xml:space="preserve"> This includes a</w:t>
      </w:r>
      <w:r w:rsidR="00BC2177">
        <w:t>dditional c</w:t>
      </w:r>
      <w:r w:rsidR="00FA0164">
        <w:t xml:space="preserve">haracteristics considered to be potentially influential </w:t>
      </w:r>
      <w:r w:rsidR="00BF3279">
        <w:t>to the accuracy of screening tests</w:t>
      </w:r>
      <w:proofErr w:type="gramStart"/>
      <w:r w:rsidR="005E25A3">
        <w:t>.</w:t>
      </w:r>
      <w:r w:rsidR="006A329C">
        <w:t>.</w:t>
      </w:r>
      <w:proofErr w:type="gramEnd"/>
      <w:r w:rsidR="006A329C">
        <w:t xml:space="preserve"> </w:t>
      </w:r>
      <w:r w:rsidR="006A329C" w:rsidRPr="006A329C">
        <w:t xml:space="preserve">The following sources of between-study heterogeneity </w:t>
      </w:r>
      <w:proofErr w:type="gramStart"/>
      <w:r w:rsidR="006A329C" w:rsidRPr="006A329C">
        <w:t>will be investigated</w:t>
      </w:r>
      <w:proofErr w:type="gramEnd"/>
    </w:p>
    <w:p w14:paraId="1AED12F0" w14:textId="77777777" w:rsidR="006A329C" w:rsidRDefault="006A329C" w:rsidP="006A329C">
      <w:pPr>
        <w:pStyle w:val="ListParagraph"/>
        <w:numPr>
          <w:ilvl w:val="0"/>
          <w:numId w:val="2"/>
        </w:numPr>
      </w:pPr>
      <w:r>
        <w:t>Study design and quality issues (QUADAS checklist)</w:t>
      </w:r>
    </w:p>
    <w:p w14:paraId="13FC36D7" w14:textId="77777777" w:rsidR="006A329C" w:rsidRDefault="006A329C" w:rsidP="006A329C">
      <w:pPr>
        <w:pStyle w:val="ListParagraph"/>
        <w:numPr>
          <w:ilvl w:val="0"/>
          <w:numId w:val="2"/>
        </w:numPr>
      </w:pPr>
      <w:r>
        <w:t xml:space="preserve">Characteristics of the study population </w:t>
      </w:r>
    </w:p>
    <w:p w14:paraId="4DD08BAE" w14:textId="77777777" w:rsidR="006A329C" w:rsidRDefault="006A329C" w:rsidP="006A329C">
      <w:pPr>
        <w:pStyle w:val="ListParagraph"/>
        <w:numPr>
          <w:ilvl w:val="0"/>
          <w:numId w:val="2"/>
        </w:numPr>
      </w:pPr>
      <w:r>
        <w:t>Procedures of reference standard verification</w:t>
      </w:r>
    </w:p>
    <w:p w14:paraId="548B672E" w14:textId="77777777" w:rsidR="006A329C" w:rsidRDefault="006A329C" w:rsidP="006A329C">
      <w:pPr>
        <w:pStyle w:val="ListParagraph"/>
        <w:numPr>
          <w:ilvl w:val="0"/>
          <w:numId w:val="2"/>
        </w:numPr>
      </w:pPr>
      <w:r>
        <w:t>Qualification of test assessors</w:t>
      </w:r>
    </w:p>
    <w:p w14:paraId="16B149CA" w14:textId="77777777" w:rsidR="001335DD" w:rsidRDefault="006A329C" w:rsidP="00B94D83">
      <w:pPr>
        <w:pStyle w:val="ListParagraph"/>
        <w:numPr>
          <w:ilvl w:val="0"/>
          <w:numId w:val="2"/>
        </w:numPr>
      </w:pPr>
      <w:r>
        <w:t>Tests preceding the colposcopy examination (VIA, HR-HPV and PAP-smear)</w:t>
      </w:r>
    </w:p>
    <w:p w14:paraId="1240DE13" w14:textId="0FFDCD15" w:rsidR="006A329C" w:rsidRDefault="006A329C" w:rsidP="001335DD">
      <w:r>
        <w:t xml:space="preserve"> </w:t>
      </w:r>
    </w:p>
    <w:p w14:paraId="63CCDEBC" w14:textId="39D2C53D" w:rsidR="000C2CDE" w:rsidRPr="001335DD" w:rsidRDefault="006A329C" w:rsidP="00603F1A">
      <w:pPr>
        <w:jc w:val="both"/>
        <w:rPr>
          <w:b/>
        </w:rPr>
      </w:pPr>
      <w:r w:rsidRPr="001335DD">
        <w:rPr>
          <w:b/>
        </w:rPr>
        <w:t>Table 1: Use of the Quality Assessment of Diagnostic Accuracy Studies checklist in this Review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BC2177" w14:paraId="14597527" w14:textId="77777777" w:rsidTr="00D33D5F">
        <w:tc>
          <w:tcPr>
            <w:tcW w:w="3020" w:type="dxa"/>
            <w:tcBorders>
              <w:bottom w:val="single" w:sz="4" w:space="0" w:color="auto"/>
            </w:tcBorders>
          </w:tcPr>
          <w:p w14:paraId="4589ADEF" w14:textId="77777777" w:rsidR="00BC2177" w:rsidRPr="00D33D5F" w:rsidRDefault="00D33D5F" w:rsidP="00D33D5F">
            <w:pPr>
              <w:rPr>
                <w:b/>
              </w:rPr>
            </w:pPr>
            <w:r w:rsidRPr="00D33D5F">
              <w:rPr>
                <w:b/>
              </w:rPr>
              <w:t>Quality domain</w:t>
            </w:r>
          </w:p>
        </w:tc>
        <w:tc>
          <w:tcPr>
            <w:tcW w:w="3021" w:type="dxa"/>
            <w:tcBorders>
              <w:bottom w:val="single" w:sz="4" w:space="0" w:color="auto"/>
            </w:tcBorders>
          </w:tcPr>
          <w:p w14:paraId="4DE28948" w14:textId="77777777" w:rsidR="00BC2177" w:rsidRPr="00D33D5F" w:rsidRDefault="00D33D5F" w:rsidP="00D33D5F">
            <w:pPr>
              <w:rPr>
                <w:b/>
              </w:rPr>
            </w:pPr>
            <w:r w:rsidRPr="00D33D5F">
              <w:rPr>
                <w:b/>
              </w:rPr>
              <w:t>Definition</w:t>
            </w:r>
          </w:p>
        </w:tc>
        <w:tc>
          <w:tcPr>
            <w:tcW w:w="3021" w:type="dxa"/>
            <w:tcBorders>
              <w:bottom w:val="single" w:sz="4" w:space="0" w:color="auto"/>
            </w:tcBorders>
          </w:tcPr>
          <w:p w14:paraId="06B978BC" w14:textId="77777777" w:rsidR="00BC2177" w:rsidRPr="00D33D5F" w:rsidRDefault="00D33D5F" w:rsidP="00D33D5F">
            <w:pPr>
              <w:rPr>
                <w:b/>
              </w:rPr>
            </w:pPr>
            <w:r w:rsidRPr="00D33D5F">
              <w:rPr>
                <w:b/>
              </w:rPr>
              <w:t>Comment</w:t>
            </w:r>
          </w:p>
        </w:tc>
      </w:tr>
      <w:tr w:rsidR="00BC2177" w14:paraId="0080BD07" w14:textId="77777777" w:rsidTr="00D33D5F">
        <w:tc>
          <w:tcPr>
            <w:tcW w:w="3020" w:type="dxa"/>
            <w:tcBorders>
              <w:top w:val="single" w:sz="4" w:space="0" w:color="auto"/>
            </w:tcBorders>
          </w:tcPr>
          <w:p w14:paraId="46F01D21" w14:textId="77777777" w:rsidR="00BC2177" w:rsidRPr="000C2CDE" w:rsidRDefault="00D33D5F" w:rsidP="00D33D5F">
            <w:pPr>
              <w:rPr>
                <w:b/>
                <w:sz w:val="18"/>
                <w:szCs w:val="18"/>
              </w:rPr>
            </w:pPr>
            <w:r w:rsidRPr="000C2CDE">
              <w:rPr>
                <w:b/>
                <w:sz w:val="18"/>
                <w:szCs w:val="18"/>
              </w:rPr>
              <w:t>1.Patient selection</w:t>
            </w:r>
          </w:p>
        </w:tc>
        <w:tc>
          <w:tcPr>
            <w:tcW w:w="3021" w:type="dxa"/>
            <w:tcBorders>
              <w:top w:val="single" w:sz="4" w:space="0" w:color="auto"/>
            </w:tcBorders>
          </w:tcPr>
          <w:p w14:paraId="049A4B2A" w14:textId="77777777" w:rsidR="00BC2177" w:rsidRPr="000C2CDE" w:rsidRDefault="00F462DB" w:rsidP="00D33D5F">
            <w:pPr>
              <w:rPr>
                <w:sz w:val="18"/>
                <w:szCs w:val="18"/>
              </w:rPr>
            </w:pPr>
            <w:r w:rsidRPr="000C2CDE">
              <w:rPr>
                <w:sz w:val="18"/>
                <w:szCs w:val="18"/>
              </w:rPr>
              <w:t>C</w:t>
            </w:r>
            <w:r w:rsidR="00D33D5F" w:rsidRPr="000C2CDE">
              <w:rPr>
                <w:sz w:val="18"/>
                <w:szCs w:val="18"/>
              </w:rPr>
              <w:t>onsecutive or random sample of patients enrolled</w:t>
            </w:r>
          </w:p>
        </w:tc>
        <w:tc>
          <w:tcPr>
            <w:tcW w:w="3021" w:type="dxa"/>
            <w:tcBorders>
              <w:top w:val="single" w:sz="4" w:space="0" w:color="auto"/>
            </w:tcBorders>
          </w:tcPr>
          <w:p w14:paraId="2E424B5F" w14:textId="77777777" w:rsidR="00BC2177" w:rsidRPr="000C2CDE" w:rsidRDefault="000C2CDE" w:rsidP="00D33D5F">
            <w:pPr>
              <w:rPr>
                <w:sz w:val="18"/>
                <w:szCs w:val="18"/>
              </w:rPr>
            </w:pPr>
            <w:r>
              <w:rPr>
                <w:sz w:val="18"/>
                <w:szCs w:val="18"/>
              </w:rPr>
              <w:t xml:space="preserve">No concerns if </w:t>
            </w:r>
            <w:r w:rsidR="00BC2177" w:rsidRPr="000C2CDE">
              <w:rPr>
                <w:sz w:val="18"/>
                <w:szCs w:val="18"/>
              </w:rPr>
              <w:t xml:space="preserve">some information about the target population is </w:t>
            </w:r>
            <w:r>
              <w:rPr>
                <w:sz w:val="18"/>
                <w:szCs w:val="18"/>
              </w:rPr>
              <w:t xml:space="preserve">also </w:t>
            </w:r>
            <w:r w:rsidR="00BC2177" w:rsidRPr="000C2CDE">
              <w:rPr>
                <w:sz w:val="18"/>
                <w:szCs w:val="18"/>
              </w:rPr>
              <w:t>described</w:t>
            </w:r>
            <w:r>
              <w:rPr>
                <w:sz w:val="18"/>
                <w:szCs w:val="18"/>
              </w:rPr>
              <w:t>, for example</w:t>
            </w:r>
            <w:r w:rsidR="00BC2177" w:rsidRPr="000C2CDE">
              <w:rPr>
                <w:sz w:val="18"/>
                <w:szCs w:val="18"/>
              </w:rPr>
              <w:t>:</w:t>
            </w:r>
          </w:p>
          <w:p w14:paraId="40524F6F" w14:textId="77777777" w:rsidR="00BC2177" w:rsidRPr="000C2CDE" w:rsidRDefault="00BC2177" w:rsidP="00D33D5F">
            <w:pPr>
              <w:pStyle w:val="ListParagraph"/>
              <w:numPr>
                <w:ilvl w:val="0"/>
                <w:numId w:val="4"/>
              </w:numPr>
              <w:rPr>
                <w:sz w:val="18"/>
                <w:szCs w:val="18"/>
              </w:rPr>
            </w:pPr>
            <w:r w:rsidRPr="000C2CDE">
              <w:rPr>
                <w:sz w:val="18"/>
                <w:szCs w:val="18"/>
              </w:rPr>
              <w:t>Total number of target population</w:t>
            </w:r>
          </w:p>
          <w:p w14:paraId="30BE1996" w14:textId="77777777" w:rsidR="00BC2177" w:rsidRPr="000C2CDE" w:rsidRDefault="00BC2177" w:rsidP="00D33D5F">
            <w:pPr>
              <w:pStyle w:val="ListParagraph"/>
              <w:rPr>
                <w:sz w:val="18"/>
                <w:szCs w:val="18"/>
              </w:rPr>
            </w:pPr>
            <w:r w:rsidRPr="000C2CDE">
              <w:rPr>
                <w:sz w:val="18"/>
                <w:szCs w:val="18"/>
              </w:rPr>
              <w:t>and</w:t>
            </w:r>
          </w:p>
          <w:p w14:paraId="07E8552E" w14:textId="77777777" w:rsidR="000C2CDE" w:rsidRPr="000C2CDE" w:rsidRDefault="00BC2177" w:rsidP="000C2CDE">
            <w:pPr>
              <w:pStyle w:val="ListParagraph"/>
              <w:numPr>
                <w:ilvl w:val="0"/>
                <w:numId w:val="4"/>
              </w:numPr>
              <w:rPr>
                <w:sz w:val="18"/>
                <w:szCs w:val="18"/>
              </w:rPr>
            </w:pPr>
            <w:r w:rsidRPr="000C2CDE">
              <w:rPr>
                <w:sz w:val="18"/>
                <w:szCs w:val="18"/>
              </w:rPr>
              <w:t>Description of how sample population derived including the words “consecutive” or “random sample”</w:t>
            </w:r>
            <w:r w:rsidR="000C2CDE" w:rsidRPr="000C2CDE">
              <w:rPr>
                <w:sz w:val="18"/>
                <w:szCs w:val="18"/>
              </w:rPr>
              <w:t>.</w:t>
            </w:r>
          </w:p>
          <w:p w14:paraId="77187656" w14:textId="77777777" w:rsidR="000C2CDE" w:rsidRPr="000C2CDE" w:rsidRDefault="000C2CDE" w:rsidP="000C2CDE">
            <w:pPr>
              <w:pStyle w:val="ListParagraph"/>
              <w:rPr>
                <w:sz w:val="18"/>
                <w:szCs w:val="18"/>
              </w:rPr>
            </w:pPr>
          </w:p>
        </w:tc>
      </w:tr>
      <w:tr w:rsidR="00BC2177" w14:paraId="692D445C" w14:textId="77777777" w:rsidTr="00D33D5F">
        <w:tc>
          <w:tcPr>
            <w:tcW w:w="3020" w:type="dxa"/>
          </w:tcPr>
          <w:p w14:paraId="65E06BB7" w14:textId="77777777" w:rsidR="00BC2177" w:rsidRPr="000C2CDE" w:rsidRDefault="00D33D5F" w:rsidP="00D33D5F">
            <w:pPr>
              <w:rPr>
                <w:b/>
                <w:sz w:val="18"/>
                <w:szCs w:val="18"/>
              </w:rPr>
            </w:pPr>
            <w:r w:rsidRPr="000C2CDE">
              <w:rPr>
                <w:b/>
                <w:sz w:val="18"/>
                <w:szCs w:val="18"/>
              </w:rPr>
              <w:t>2.</w:t>
            </w:r>
            <w:r w:rsidR="00105EBE" w:rsidRPr="000C2CDE">
              <w:rPr>
                <w:b/>
                <w:sz w:val="18"/>
                <w:szCs w:val="18"/>
              </w:rPr>
              <w:t>Index test</w:t>
            </w:r>
          </w:p>
        </w:tc>
        <w:tc>
          <w:tcPr>
            <w:tcW w:w="3021" w:type="dxa"/>
          </w:tcPr>
          <w:p w14:paraId="6D9131D5" w14:textId="77777777" w:rsidR="00BC2177" w:rsidRPr="000C2CDE" w:rsidRDefault="00D33D5F" w:rsidP="00D33D5F">
            <w:pPr>
              <w:rPr>
                <w:sz w:val="18"/>
                <w:szCs w:val="18"/>
              </w:rPr>
            </w:pPr>
            <w:r w:rsidRPr="000C2CDE">
              <w:rPr>
                <w:sz w:val="18"/>
                <w:szCs w:val="18"/>
              </w:rPr>
              <w:t>Methods of assessing index test</w:t>
            </w:r>
          </w:p>
        </w:tc>
        <w:tc>
          <w:tcPr>
            <w:tcW w:w="3021" w:type="dxa"/>
          </w:tcPr>
          <w:p w14:paraId="7631A253" w14:textId="77777777" w:rsidR="00BC2177" w:rsidRPr="000C2CDE" w:rsidRDefault="000C2CDE" w:rsidP="000C2CDE">
            <w:pPr>
              <w:rPr>
                <w:sz w:val="18"/>
                <w:szCs w:val="18"/>
              </w:rPr>
            </w:pPr>
            <w:r>
              <w:rPr>
                <w:sz w:val="18"/>
                <w:szCs w:val="18"/>
              </w:rPr>
              <w:t>No concerns, if</w:t>
            </w:r>
            <w:r w:rsidR="00105EBE" w:rsidRPr="000C2CDE">
              <w:rPr>
                <w:sz w:val="18"/>
                <w:szCs w:val="18"/>
              </w:rPr>
              <w:t xml:space="preserve"> the index test interpreted without knowledge of the reference </w:t>
            </w:r>
          </w:p>
        </w:tc>
      </w:tr>
      <w:tr w:rsidR="00BC2177" w14:paraId="3B48122D" w14:textId="77777777" w:rsidTr="00D33D5F">
        <w:tc>
          <w:tcPr>
            <w:tcW w:w="3020" w:type="dxa"/>
          </w:tcPr>
          <w:p w14:paraId="08A46128" w14:textId="77777777" w:rsidR="00BC2177" w:rsidRPr="000C2CDE" w:rsidRDefault="00BC2177" w:rsidP="00D33D5F">
            <w:pPr>
              <w:rPr>
                <w:sz w:val="18"/>
                <w:szCs w:val="18"/>
              </w:rPr>
            </w:pPr>
          </w:p>
        </w:tc>
        <w:tc>
          <w:tcPr>
            <w:tcW w:w="3021" w:type="dxa"/>
          </w:tcPr>
          <w:p w14:paraId="252FE5F1" w14:textId="77777777" w:rsidR="00BC2177" w:rsidRPr="000C2CDE" w:rsidRDefault="00BC2177" w:rsidP="00D33D5F">
            <w:pPr>
              <w:rPr>
                <w:sz w:val="18"/>
                <w:szCs w:val="18"/>
              </w:rPr>
            </w:pPr>
          </w:p>
        </w:tc>
        <w:tc>
          <w:tcPr>
            <w:tcW w:w="3021" w:type="dxa"/>
          </w:tcPr>
          <w:p w14:paraId="3995210C" w14:textId="77777777" w:rsidR="000C2CDE" w:rsidRDefault="000C2CDE" w:rsidP="00D33D5F">
            <w:pPr>
              <w:rPr>
                <w:sz w:val="18"/>
                <w:szCs w:val="18"/>
              </w:rPr>
            </w:pPr>
            <w:r>
              <w:rPr>
                <w:sz w:val="18"/>
                <w:szCs w:val="18"/>
              </w:rPr>
              <w:t xml:space="preserve">Also to distinguish in the data extraction: </w:t>
            </w:r>
          </w:p>
          <w:p w14:paraId="2921A2AD" w14:textId="77777777" w:rsidR="000C2CDE" w:rsidRDefault="000C2CDE" w:rsidP="000C2CDE">
            <w:pPr>
              <w:pStyle w:val="ListParagraph"/>
              <w:numPr>
                <w:ilvl w:val="0"/>
                <w:numId w:val="4"/>
              </w:numPr>
              <w:rPr>
                <w:sz w:val="18"/>
                <w:szCs w:val="18"/>
              </w:rPr>
            </w:pPr>
            <w:r>
              <w:rPr>
                <w:sz w:val="18"/>
                <w:szCs w:val="18"/>
              </w:rPr>
              <w:t xml:space="preserve">Were different </w:t>
            </w:r>
            <w:r w:rsidR="00105EBE" w:rsidRPr="000C2CDE">
              <w:rPr>
                <w:sz w:val="18"/>
                <w:szCs w:val="18"/>
              </w:rPr>
              <w:t>threshold</w:t>
            </w:r>
            <w:r>
              <w:rPr>
                <w:sz w:val="18"/>
                <w:szCs w:val="18"/>
              </w:rPr>
              <w:t>s</w:t>
            </w:r>
            <w:r w:rsidR="00105EBE" w:rsidRPr="000C2CDE">
              <w:rPr>
                <w:sz w:val="18"/>
                <w:szCs w:val="18"/>
              </w:rPr>
              <w:t xml:space="preserve"> used</w:t>
            </w:r>
            <w:r>
              <w:rPr>
                <w:sz w:val="18"/>
                <w:szCs w:val="18"/>
              </w:rPr>
              <w:t xml:space="preserve"> for interpretation of the index test </w:t>
            </w:r>
          </w:p>
          <w:p w14:paraId="0A6A8E1C" w14:textId="4215A837" w:rsidR="000C2CDE" w:rsidRDefault="000C2CDE" w:rsidP="000C2CDE">
            <w:pPr>
              <w:pStyle w:val="ListParagraph"/>
              <w:numPr>
                <w:ilvl w:val="0"/>
                <w:numId w:val="4"/>
              </w:numPr>
              <w:rPr>
                <w:sz w:val="18"/>
                <w:szCs w:val="18"/>
              </w:rPr>
            </w:pPr>
            <w:r>
              <w:rPr>
                <w:sz w:val="18"/>
                <w:szCs w:val="18"/>
              </w:rPr>
              <w:t>Was is pre</w:t>
            </w:r>
            <w:r w:rsidR="00F84EF3">
              <w:rPr>
                <w:sz w:val="18"/>
                <w:szCs w:val="18"/>
              </w:rPr>
              <w:t>-</w:t>
            </w:r>
            <w:r>
              <w:rPr>
                <w:sz w:val="18"/>
                <w:szCs w:val="18"/>
              </w:rPr>
              <w:t>specified</w:t>
            </w:r>
          </w:p>
          <w:p w14:paraId="34DA71AF" w14:textId="77777777" w:rsidR="00BC2177" w:rsidRPr="000C2CDE" w:rsidRDefault="000C2CDE" w:rsidP="000C2CDE">
            <w:pPr>
              <w:pStyle w:val="ListParagraph"/>
              <w:numPr>
                <w:ilvl w:val="0"/>
                <w:numId w:val="4"/>
              </w:numPr>
              <w:rPr>
                <w:sz w:val="18"/>
                <w:szCs w:val="18"/>
              </w:rPr>
            </w:pPr>
            <w:r w:rsidRPr="000C2CDE">
              <w:rPr>
                <w:sz w:val="18"/>
                <w:szCs w:val="18"/>
              </w:rPr>
              <w:t>Could the conduct or interpretation of the index test introduce bias</w:t>
            </w:r>
            <w:r>
              <w:rPr>
                <w:sz w:val="18"/>
                <w:szCs w:val="18"/>
              </w:rPr>
              <w:t xml:space="preserve"> (i.e. by knowledge of preceding tests)</w:t>
            </w:r>
          </w:p>
        </w:tc>
      </w:tr>
      <w:tr w:rsidR="00BC2177" w14:paraId="52219320" w14:textId="77777777" w:rsidTr="00D33D5F">
        <w:tc>
          <w:tcPr>
            <w:tcW w:w="3020" w:type="dxa"/>
          </w:tcPr>
          <w:p w14:paraId="56EE2CC0" w14:textId="77777777" w:rsidR="00BC2177" w:rsidRPr="000C2CDE" w:rsidRDefault="00BC2177" w:rsidP="00D33D5F">
            <w:pPr>
              <w:rPr>
                <w:sz w:val="18"/>
                <w:szCs w:val="18"/>
              </w:rPr>
            </w:pPr>
          </w:p>
        </w:tc>
        <w:tc>
          <w:tcPr>
            <w:tcW w:w="3021" w:type="dxa"/>
          </w:tcPr>
          <w:p w14:paraId="0A37AAE1" w14:textId="77777777" w:rsidR="00BC2177" w:rsidRPr="000C2CDE" w:rsidRDefault="00BC2177" w:rsidP="00D33D5F">
            <w:pPr>
              <w:rPr>
                <w:sz w:val="18"/>
                <w:szCs w:val="18"/>
              </w:rPr>
            </w:pPr>
          </w:p>
        </w:tc>
        <w:tc>
          <w:tcPr>
            <w:tcW w:w="3021" w:type="dxa"/>
          </w:tcPr>
          <w:p w14:paraId="14A32726" w14:textId="77777777" w:rsidR="00BC2177" w:rsidRPr="000C2CDE" w:rsidRDefault="00BC2177" w:rsidP="00D33D5F">
            <w:pPr>
              <w:rPr>
                <w:sz w:val="18"/>
                <w:szCs w:val="18"/>
              </w:rPr>
            </w:pPr>
          </w:p>
        </w:tc>
      </w:tr>
      <w:tr w:rsidR="00BC2177" w14:paraId="17AAE960" w14:textId="77777777" w:rsidTr="00D33D5F">
        <w:tc>
          <w:tcPr>
            <w:tcW w:w="3020" w:type="dxa"/>
          </w:tcPr>
          <w:p w14:paraId="6D1626E9" w14:textId="77777777" w:rsidR="00BC2177" w:rsidRPr="000C2CDE" w:rsidRDefault="00BC2177" w:rsidP="00D33D5F">
            <w:pPr>
              <w:rPr>
                <w:sz w:val="18"/>
                <w:szCs w:val="18"/>
              </w:rPr>
            </w:pPr>
          </w:p>
        </w:tc>
        <w:tc>
          <w:tcPr>
            <w:tcW w:w="3021" w:type="dxa"/>
          </w:tcPr>
          <w:p w14:paraId="05DFB541" w14:textId="77777777" w:rsidR="00BC2177" w:rsidRPr="000C2CDE" w:rsidRDefault="00BC2177" w:rsidP="00D33D5F">
            <w:pPr>
              <w:rPr>
                <w:sz w:val="18"/>
                <w:szCs w:val="18"/>
              </w:rPr>
            </w:pPr>
          </w:p>
        </w:tc>
        <w:tc>
          <w:tcPr>
            <w:tcW w:w="3021" w:type="dxa"/>
          </w:tcPr>
          <w:p w14:paraId="723934C9" w14:textId="77777777" w:rsidR="00BC2177" w:rsidRPr="000C2CDE" w:rsidRDefault="00BC2177" w:rsidP="000C2CDE">
            <w:pPr>
              <w:rPr>
                <w:sz w:val="18"/>
                <w:szCs w:val="18"/>
              </w:rPr>
            </w:pPr>
          </w:p>
        </w:tc>
      </w:tr>
      <w:tr w:rsidR="00AB3CFA" w14:paraId="66B17362" w14:textId="77777777" w:rsidTr="00D33D5F">
        <w:tc>
          <w:tcPr>
            <w:tcW w:w="3020" w:type="dxa"/>
          </w:tcPr>
          <w:p w14:paraId="12C7C026" w14:textId="77777777" w:rsidR="00D33D5F" w:rsidRPr="000C2CDE" w:rsidRDefault="00D33D5F" w:rsidP="00D33D5F">
            <w:pPr>
              <w:rPr>
                <w:b/>
                <w:sz w:val="18"/>
                <w:szCs w:val="18"/>
              </w:rPr>
            </w:pPr>
            <w:r w:rsidRPr="000C2CDE">
              <w:rPr>
                <w:b/>
                <w:sz w:val="18"/>
                <w:szCs w:val="18"/>
              </w:rPr>
              <w:t>3.</w:t>
            </w:r>
            <w:r w:rsidR="00AB3CFA" w:rsidRPr="000C2CDE">
              <w:rPr>
                <w:b/>
                <w:sz w:val="18"/>
                <w:szCs w:val="18"/>
              </w:rPr>
              <w:t xml:space="preserve">Reference standard </w:t>
            </w:r>
          </w:p>
          <w:p w14:paraId="14233518" w14:textId="77777777" w:rsidR="00D33D5F" w:rsidRPr="000C2CDE" w:rsidRDefault="00D33D5F" w:rsidP="00D33D5F">
            <w:pPr>
              <w:rPr>
                <w:sz w:val="18"/>
                <w:szCs w:val="18"/>
              </w:rPr>
            </w:pPr>
          </w:p>
          <w:p w14:paraId="25B8918B" w14:textId="77777777" w:rsidR="008B4222" w:rsidRPr="000C2CDE" w:rsidRDefault="00D33D5F" w:rsidP="00D33D5F">
            <w:pPr>
              <w:rPr>
                <w:sz w:val="18"/>
                <w:szCs w:val="18"/>
              </w:rPr>
            </w:pPr>
            <w:r w:rsidRPr="000C2CDE">
              <w:rPr>
                <w:sz w:val="18"/>
                <w:szCs w:val="18"/>
              </w:rPr>
              <w:t xml:space="preserve">3a. </w:t>
            </w:r>
            <w:r w:rsidR="008B4222" w:rsidRPr="000C2CDE">
              <w:rPr>
                <w:sz w:val="18"/>
                <w:szCs w:val="18"/>
              </w:rPr>
              <w:t xml:space="preserve">was partial verification </w:t>
            </w:r>
            <w:proofErr w:type="gramStart"/>
            <w:r w:rsidR="008B4222" w:rsidRPr="000C2CDE">
              <w:rPr>
                <w:sz w:val="18"/>
                <w:szCs w:val="18"/>
              </w:rPr>
              <w:t>avoided?</w:t>
            </w:r>
            <w:proofErr w:type="gramEnd"/>
          </w:p>
        </w:tc>
        <w:tc>
          <w:tcPr>
            <w:tcW w:w="3021" w:type="dxa"/>
          </w:tcPr>
          <w:p w14:paraId="34B44156" w14:textId="77777777" w:rsidR="000C2CDE" w:rsidRDefault="000C2CDE" w:rsidP="00F462DB">
            <w:pPr>
              <w:rPr>
                <w:sz w:val="18"/>
                <w:szCs w:val="18"/>
              </w:rPr>
            </w:pPr>
          </w:p>
          <w:p w14:paraId="023B50CB" w14:textId="77777777" w:rsidR="007378BE" w:rsidRDefault="007378BE" w:rsidP="007378BE">
            <w:pPr>
              <w:rPr>
                <w:sz w:val="18"/>
                <w:szCs w:val="18"/>
              </w:rPr>
            </w:pPr>
            <w:r>
              <w:rPr>
                <w:sz w:val="18"/>
                <w:szCs w:val="18"/>
              </w:rPr>
              <w:t>Histopathology obtained from c</w:t>
            </w:r>
            <w:r w:rsidR="00AB3CFA" w:rsidRPr="000C2CDE">
              <w:rPr>
                <w:sz w:val="18"/>
                <w:szCs w:val="18"/>
              </w:rPr>
              <w:t xml:space="preserve">olposcopy followed by a targeted biopsy will be the reference standard. If it is possible </w:t>
            </w:r>
            <w:proofErr w:type="gramStart"/>
            <w:r w:rsidR="00AB3CFA" w:rsidRPr="000C2CDE">
              <w:rPr>
                <w:sz w:val="18"/>
                <w:szCs w:val="18"/>
              </w:rPr>
              <w:t>to further classify</w:t>
            </w:r>
            <w:proofErr w:type="gramEnd"/>
            <w:r w:rsidR="00AB3CFA" w:rsidRPr="000C2CDE">
              <w:rPr>
                <w:sz w:val="18"/>
                <w:szCs w:val="18"/>
              </w:rPr>
              <w:t xml:space="preserve"> the biopsies as </w:t>
            </w:r>
            <w:proofErr w:type="spellStart"/>
            <w:r w:rsidR="00AB3CFA" w:rsidRPr="000C2CDE">
              <w:rPr>
                <w:sz w:val="18"/>
                <w:szCs w:val="18"/>
              </w:rPr>
              <w:t>i</w:t>
            </w:r>
            <w:proofErr w:type="spellEnd"/>
            <w:r w:rsidR="00AB3CFA" w:rsidRPr="000C2CDE">
              <w:rPr>
                <w:sz w:val="18"/>
                <w:szCs w:val="18"/>
              </w:rPr>
              <w:t>) those that were targeted and</w:t>
            </w:r>
            <w:r w:rsidR="00D33D5F" w:rsidRPr="000C2CDE">
              <w:rPr>
                <w:sz w:val="18"/>
                <w:szCs w:val="18"/>
              </w:rPr>
              <w:t xml:space="preserve"> </w:t>
            </w:r>
            <w:r w:rsidR="00AB3CFA" w:rsidRPr="000C2CDE">
              <w:rPr>
                <w:sz w:val="18"/>
                <w:szCs w:val="18"/>
              </w:rPr>
              <w:t xml:space="preserve">ii) those taken when no lesion was seen, this will be distinguished in the data collection. </w:t>
            </w:r>
          </w:p>
          <w:p w14:paraId="38973957" w14:textId="77777777" w:rsidR="00AB3CFA" w:rsidRPr="000C2CDE" w:rsidRDefault="00AB3CFA" w:rsidP="007378BE">
            <w:pPr>
              <w:rPr>
                <w:sz w:val="18"/>
                <w:szCs w:val="18"/>
              </w:rPr>
            </w:pPr>
            <w:r w:rsidRPr="000C2CDE">
              <w:rPr>
                <w:sz w:val="18"/>
                <w:szCs w:val="18"/>
              </w:rPr>
              <w:t xml:space="preserve">Histology results from excision biopsies will also </w:t>
            </w:r>
            <w:proofErr w:type="gramStart"/>
            <w:r w:rsidRPr="000C2CDE">
              <w:rPr>
                <w:sz w:val="18"/>
                <w:szCs w:val="18"/>
              </w:rPr>
              <w:t xml:space="preserve">be </w:t>
            </w:r>
            <w:r w:rsidR="00F462DB" w:rsidRPr="000C2CDE">
              <w:rPr>
                <w:sz w:val="18"/>
                <w:szCs w:val="18"/>
              </w:rPr>
              <w:t xml:space="preserve"> noted</w:t>
            </w:r>
            <w:proofErr w:type="gramEnd"/>
            <w:r w:rsidR="00F462DB" w:rsidRPr="000C2CDE">
              <w:rPr>
                <w:sz w:val="18"/>
                <w:szCs w:val="18"/>
              </w:rPr>
              <w:t>.</w:t>
            </w:r>
            <w:r w:rsidRPr="000C2CDE">
              <w:rPr>
                <w:sz w:val="18"/>
                <w:szCs w:val="18"/>
              </w:rPr>
              <w:t xml:space="preserve"> </w:t>
            </w:r>
          </w:p>
        </w:tc>
        <w:tc>
          <w:tcPr>
            <w:tcW w:w="3021" w:type="dxa"/>
          </w:tcPr>
          <w:p w14:paraId="1C7F7DED" w14:textId="77777777" w:rsidR="00D33D5F" w:rsidRPr="000C2CDE" w:rsidRDefault="00D33D5F" w:rsidP="00D33D5F">
            <w:pPr>
              <w:rPr>
                <w:sz w:val="18"/>
                <w:szCs w:val="18"/>
              </w:rPr>
            </w:pPr>
          </w:p>
          <w:p w14:paraId="620EA3DE" w14:textId="77777777" w:rsidR="00AB3CFA" w:rsidRPr="000C2CDE" w:rsidRDefault="007378BE" w:rsidP="007378BE">
            <w:pPr>
              <w:rPr>
                <w:sz w:val="18"/>
                <w:szCs w:val="18"/>
              </w:rPr>
            </w:pPr>
            <w:r>
              <w:rPr>
                <w:sz w:val="18"/>
                <w:szCs w:val="18"/>
              </w:rPr>
              <w:t>No concerns if a</w:t>
            </w:r>
            <w:r w:rsidR="00D33D5F" w:rsidRPr="000C2CDE">
              <w:rPr>
                <w:sz w:val="18"/>
                <w:szCs w:val="18"/>
              </w:rPr>
              <w:t>ll included participants received the same reference st</w:t>
            </w:r>
            <w:r>
              <w:rPr>
                <w:sz w:val="18"/>
                <w:szCs w:val="18"/>
              </w:rPr>
              <w:t>andard</w:t>
            </w:r>
            <w:r w:rsidR="00D33D5F" w:rsidRPr="000C2CDE">
              <w:rPr>
                <w:sz w:val="18"/>
                <w:szCs w:val="18"/>
              </w:rPr>
              <w:t>. However, depending on the colposcopy results, the policy of taking a biopsy may differ between studies.</w:t>
            </w:r>
            <w:r>
              <w:rPr>
                <w:sz w:val="18"/>
                <w:szCs w:val="18"/>
              </w:rPr>
              <w:t xml:space="preserve"> To elaborate further, i</w:t>
            </w:r>
            <w:r w:rsidR="00D33D5F" w:rsidRPr="000C2CDE">
              <w:rPr>
                <w:sz w:val="18"/>
                <w:szCs w:val="18"/>
              </w:rPr>
              <w:t xml:space="preserve">f </w:t>
            </w:r>
            <w:proofErr w:type="gramStart"/>
            <w:r w:rsidR="00D33D5F" w:rsidRPr="000C2CDE">
              <w:rPr>
                <w:sz w:val="18"/>
                <w:szCs w:val="18"/>
              </w:rPr>
              <w:t>all participants</w:t>
            </w:r>
            <w:r w:rsidR="00AB3CFA" w:rsidRPr="000C2CDE">
              <w:rPr>
                <w:sz w:val="18"/>
                <w:szCs w:val="18"/>
              </w:rPr>
              <w:t xml:space="preserve"> did not receive</w:t>
            </w:r>
            <w:proofErr w:type="gramEnd"/>
            <w:r w:rsidR="00AB3CFA" w:rsidRPr="000C2CDE">
              <w:rPr>
                <w:sz w:val="18"/>
                <w:szCs w:val="18"/>
              </w:rPr>
              <w:t xml:space="preserve"> the reference standard, the risk that this could have introduced bias will still be considered low if it affect</w:t>
            </w:r>
            <w:r w:rsidR="00D33D5F" w:rsidRPr="000C2CDE">
              <w:rPr>
                <w:sz w:val="18"/>
                <w:szCs w:val="18"/>
              </w:rPr>
              <w:t>ed</w:t>
            </w:r>
            <w:r w:rsidR="00AB3CFA" w:rsidRPr="000C2CDE">
              <w:rPr>
                <w:sz w:val="18"/>
                <w:szCs w:val="18"/>
              </w:rPr>
              <w:t xml:space="preserve"> 10% of the sample population</w:t>
            </w:r>
            <w:r w:rsidR="00D33D5F" w:rsidRPr="000C2CDE">
              <w:rPr>
                <w:sz w:val="18"/>
                <w:szCs w:val="18"/>
              </w:rPr>
              <w:t xml:space="preserve"> or less</w:t>
            </w:r>
            <w:r w:rsidR="00AB3CFA" w:rsidRPr="000C2CDE">
              <w:rPr>
                <w:sz w:val="18"/>
                <w:szCs w:val="18"/>
              </w:rPr>
              <w:t xml:space="preserve">. </w:t>
            </w:r>
          </w:p>
        </w:tc>
      </w:tr>
      <w:tr w:rsidR="008B4222" w14:paraId="4418982E" w14:textId="77777777" w:rsidTr="00D33D5F">
        <w:tc>
          <w:tcPr>
            <w:tcW w:w="3020" w:type="dxa"/>
          </w:tcPr>
          <w:p w14:paraId="40A45A7B" w14:textId="77777777" w:rsidR="00D33D5F" w:rsidRPr="000C2CDE" w:rsidRDefault="00D33D5F" w:rsidP="00D33D5F">
            <w:pPr>
              <w:rPr>
                <w:sz w:val="18"/>
                <w:szCs w:val="18"/>
              </w:rPr>
            </w:pPr>
          </w:p>
          <w:p w14:paraId="7C2FFF64" w14:textId="77777777" w:rsidR="008B4222" w:rsidRPr="000C2CDE" w:rsidRDefault="00D33D5F" w:rsidP="00D33D5F">
            <w:pPr>
              <w:rPr>
                <w:sz w:val="18"/>
                <w:szCs w:val="18"/>
              </w:rPr>
            </w:pPr>
            <w:r w:rsidRPr="000C2CDE">
              <w:rPr>
                <w:sz w:val="18"/>
                <w:szCs w:val="18"/>
              </w:rPr>
              <w:t>3b. was incorporation avoided</w:t>
            </w:r>
          </w:p>
        </w:tc>
        <w:tc>
          <w:tcPr>
            <w:tcW w:w="3021" w:type="dxa"/>
          </w:tcPr>
          <w:p w14:paraId="58658FF2" w14:textId="77777777" w:rsidR="00D33D5F" w:rsidRPr="000C2CDE" w:rsidRDefault="00D33D5F" w:rsidP="00D33D5F">
            <w:pPr>
              <w:rPr>
                <w:sz w:val="18"/>
                <w:szCs w:val="18"/>
              </w:rPr>
            </w:pPr>
          </w:p>
          <w:p w14:paraId="4B50110D" w14:textId="77777777" w:rsidR="008B4222" w:rsidRPr="000C2CDE" w:rsidRDefault="00D33D5F" w:rsidP="00D33D5F">
            <w:pPr>
              <w:rPr>
                <w:sz w:val="18"/>
                <w:szCs w:val="18"/>
              </w:rPr>
            </w:pPr>
            <w:r w:rsidRPr="000C2CDE">
              <w:rPr>
                <w:sz w:val="18"/>
                <w:szCs w:val="18"/>
              </w:rPr>
              <w:t>Was the reference standard independent of the index test (did the index test form part of the reference standard</w:t>
            </w:r>
            <w:r w:rsidR="00F462DB" w:rsidRPr="000C2CDE">
              <w:rPr>
                <w:sz w:val="18"/>
                <w:szCs w:val="18"/>
              </w:rPr>
              <w:t>?</w:t>
            </w:r>
            <w:r w:rsidRPr="000C2CDE">
              <w:rPr>
                <w:sz w:val="18"/>
                <w:szCs w:val="18"/>
              </w:rPr>
              <w:t>).</w:t>
            </w:r>
          </w:p>
        </w:tc>
        <w:tc>
          <w:tcPr>
            <w:tcW w:w="3021" w:type="dxa"/>
          </w:tcPr>
          <w:p w14:paraId="59AB0D44" w14:textId="77777777" w:rsidR="00D33D5F" w:rsidRPr="000C2CDE" w:rsidRDefault="00D33D5F" w:rsidP="00D33D5F">
            <w:pPr>
              <w:rPr>
                <w:sz w:val="18"/>
                <w:szCs w:val="18"/>
              </w:rPr>
            </w:pPr>
          </w:p>
          <w:p w14:paraId="1228D8FA" w14:textId="77777777" w:rsidR="008B4222" w:rsidRPr="000C2CDE" w:rsidRDefault="007378BE" w:rsidP="007378BE">
            <w:pPr>
              <w:rPr>
                <w:sz w:val="18"/>
                <w:szCs w:val="18"/>
              </w:rPr>
            </w:pPr>
            <w:r>
              <w:rPr>
                <w:sz w:val="18"/>
                <w:szCs w:val="18"/>
              </w:rPr>
              <w:t>No concerns i</w:t>
            </w:r>
            <w:r w:rsidR="00D33D5F" w:rsidRPr="000C2CDE">
              <w:rPr>
                <w:sz w:val="18"/>
                <w:szCs w:val="18"/>
              </w:rPr>
              <w:t>f the reference standard was dependent on the index test</w:t>
            </w:r>
            <w:r w:rsidR="000C2CDE" w:rsidRPr="000C2CDE">
              <w:rPr>
                <w:sz w:val="18"/>
                <w:szCs w:val="18"/>
              </w:rPr>
              <w:t>.</w:t>
            </w:r>
            <w:r w:rsidR="00D33D5F" w:rsidRPr="000C2CDE">
              <w:rPr>
                <w:sz w:val="18"/>
                <w:szCs w:val="18"/>
              </w:rPr>
              <w:t xml:space="preserve"> </w:t>
            </w:r>
          </w:p>
        </w:tc>
      </w:tr>
      <w:tr w:rsidR="00D33D5F" w14:paraId="32718FAC" w14:textId="77777777" w:rsidTr="00D33D5F">
        <w:tc>
          <w:tcPr>
            <w:tcW w:w="3020" w:type="dxa"/>
          </w:tcPr>
          <w:p w14:paraId="7E9300BD" w14:textId="77777777" w:rsidR="00D33D5F" w:rsidRPr="000C2CDE" w:rsidRDefault="00D33D5F" w:rsidP="00D33D5F">
            <w:pPr>
              <w:rPr>
                <w:sz w:val="18"/>
                <w:szCs w:val="18"/>
              </w:rPr>
            </w:pPr>
            <w:r w:rsidRPr="000C2CDE">
              <w:rPr>
                <w:sz w:val="18"/>
                <w:szCs w:val="18"/>
              </w:rPr>
              <w:lastRenderedPageBreak/>
              <w:t xml:space="preserve">3c. blinding </w:t>
            </w:r>
          </w:p>
        </w:tc>
        <w:tc>
          <w:tcPr>
            <w:tcW w:w="3021" w:type="dxa"/>
          </w:tcPr>
          <w:p w14:paraId="68903F4E" w14:textId="77777777" w:rsidR="00D33D5F" w:rsidRPr="000C2CDE" w:rsidRDefault="00D33D5F" w:rsidP="00D33D5F">
            <w:pPr>
              <w:rPr>
                <w:sz w:val="18"/>
                <w:szCs w:val="18"/>
              </w:rPr>
            </w:pPr>
          </w:p>
        </w:tc>
        <w:tc>
          <w:tcPr>
            <w:tcW w:w="3021" w:type="dxa"/>
          </w:tcPr>
          <w:p w14:paraId="00D97BDD" w14:textId="77777777" w:rsidR="00D33D5F" w:rsidRPr="000C2CDE" w:rsidRDefault="007378BE" w:rsidP="007378BE">
            <w:pPr>
              <w:rPr>
                <w:sz w:val="18"/>
                <w:szCs w:val="18"/>
              </w:rPr>
            </w:pPr>
            <w:r>
              <w:rPr>
                <w:sz w:val="18"/>
                <w:szCs w:val="18"/>
              </w:rPr>
              <w:t xml:space="preserve">No concerns if </w:t>
            </w:r>
            <w:r w:rsidR="00D33D5F" w:rsidRPr="000C2CDE">
              <w:rPr>
                <w:sz w:val="18"/>
                <w:szCs w:val="18"/>
              </w:rPr>
              <w:t xml:space="preserve">colposcopy and histological interpretation of biopsies </w:t>
            </w:r>
            <w:proofErr w:type="gramStart"/>
            <w:r w:rsidR="00D33D5F" w:rsidRPr="000C2CDE">
              <w:rPr>
                <w:sz w:val="18"/>
                <w:szCs w:val="18"/>
              </w:rPr>
              <w:t>were executed</w:t>
            </w:r>
            <w:proofErr w:type="gramEnd"/>
            <w:r w:rsidR="00D33D5F" w:rsidRPr="000C2CDE">
              <w:rPr>
                <w:sz w:val="18"/>
                <w:szCs w:val="18"/>
              </w:rPr>
              <w:t xml:space="preserve"> with or without knowledge of the index or comparator tests</w:t>
            </w:r>
            <w:r w:rsidR="000C2CDE" w:rsidRPr="000C2CDE">
              <w:rPr>
                <w:sz w:val="18"/>
                <w:szCs w:val="18"/>
              </w:rPr>
              <w:t>.</w:t>
            </w:r>
          </w:p>
        </w:tc>
      </w:tr>
      <w:tr w:rsidR="00D33D5F" w14:paraId="01EB5B9D" w14:textId="77777777" w:rsidTr="00D33D5F">
        <w:tc>
          <w:tcPr>
            <w:tcW w:w="3020" w:type="dxa"/>
          </w:tcPr>
          <w:p w14:paraId="49A190C7" w14:textId="77777777" w:rsidR="00D33D5F" w:rsidRPr="000C2CDE" w:rsidRDefault="00D33D5F" w:rsidP="00D33D5F">
            <w:pPr>
              <w:rPr>
                <w:sz w:val="18"/>
                <w:szCs w:val="18"/>
              </w:rPr>
            </w:pPr>
            <w:r w:rsidRPr="000C2CDE">
              <w:rPr>
                <w:sz w:val="18"/>
                <w:szCs w:val="18"/>
              </w:rPr>
              <w:t>3d. were uninterpretable results reported</w:t>
            </w:r>
          </w:p>
        </w:tc>
        <w:tc>
          <w:tcPr>
            <w:tcW w:w="3021" w:type="dxa"/>
          </w:tcPr>
          <w:p w14:paraId="563BF8B9" w14:textId="77777777" w:rsidR="00D33D5F" w:rsidRPr="000C2CDE" w:rsidRDefault="00D33D5F" w:rsidP="00D33D5F">
            <w:pPr>
              <w:rPr>
                <w:sz w:val="18"/>
                <w:szCs w:val="18"/>
              </w:rPr>
            </w:pPr>
          </w:p>
        </w:tc>
        <w:tc>
          <w:tcPr>
            <w:tcW w:w="3021" w:type="dxa"/>
          </w:tcPr>
          <w:p w14:paraId="55C1ABDF" w14:textId="77777777" w:rsidR="00D33D5F" w:rsidRPr="000C2CDE" w:rsidRDefault="00D33D5F" w:rsidP="00D33D5F">
            <w:pPr>
              <w:rPr>
                <w:sz w:val="18"/>
                <w:szCs w:val="18"/>
              </w:rPr>
            </w:pPr>
          </w:p>
        </w:tc>
      </w:tr>
      <w:tr w:rsidR="00AB3CFA" w14:paraId="5C380E1F" w14:textId="77777777" w:rsidTr="00D33D5F">
        <w:tc>
          <w:tcPr>
            <w:tcW w:w="3020" w:type="dxa"/>
          </w:tcPr>
          <w:p w14:paraId="3D264218" w14:textId="77777777" w:rsidR="00D33D5F" w:rsidRPr="000C2CDE" w:rsidRDefault="00D33D5F" w:rsidP="00D33D5F">
            <w:pPr>
              <w:rPr>
                <w:b/>
                <w:sz w:val="18"/>
                <w:szCs w:val="18"/>
              </w:rPr>
            </w:pPr>
          </w:p>
          <w:p w14:paraId="7FC26510" w14:textId="77777777" w:rsidR="00D33D5F" w:rsidRPr="000C2CDE" w:rsidRDefault="00D33D5F" w:rsidP="00D33D5F">
            <w:pPr>
              <w:rPr>
                <w:sz w:val="18"/>
                <w:szCs w:val="18"/>
              </w:rPr>
            </w:pPr>
            <w:r w:rsidRPr="000C2CDE">
              <w:rPr>
                <w:b/>
                <w:sz w:val="18"/>
                <w:szCs w:val="18"/>
              </w:rPr>
              <w:t>4. Flow and timing</w:t>
            </w:r>
            <w:r w:rsidRPr="000C2CDE">
              <w:rPr>
                <w:sz w:val="18"/>
                <w:szCs w:val="18"/>
              </w:rPr>
              <w:t xml:space="preserve"> </w:t>
            </w:r>
          </w:p>
          <w:p w14:paraId="5FAC1F8E" w14:textId="77777777" w:rsidR="00AB3CFA" w:rsidRPr="000C2CDE" w:rsidRDefault="00D33D5F" w:rsidP="00D33D5F">
            <w:pPr>
              <w:rPr>
                <w:sz w:val="18"/>
                <w:szCs w:val="18"/>
              </w:rPr>
            </w:pPr>
            <w:r w:rsidRPr="000C2CDE">
              <w:rPr>
                <w:sz w:val="18"/>
                <w:szCs w:val="18"/>
              </w:rPr>
              <w:t>4a. a</w:t>
            </w:r>
            <w:r w:rsidR="008B4222" w:rsidRPr="000C2CDE">
              <w:rPr>
                <w:sz w:val="18"/>
                <w:szCs w:val="18"/>
              </w:rPr>
              <w:t>cceptable delay between test</w:t>
            </w:r>
          </w:p>
        </w:tc>
        <w:tc>
          <w:tcPr>
            <w:tcW w:w="3021" w:type="dxa"/>
          </w:tcPr>
          <w:p w14:paraId="69437774" w14:textId="77777777" w:rsidR="00D33D5F" w:rsidRPr="000C2CDE" w:rsidRDefault="00D33D5F" w:rsidP="00D33D5F">
            <w:pPr>
              <w:rPr>
                <w:sz w:val="18"/>
                <w:szCs w:val="18"/>
              </w:rPr>
            </w:pPr>
          </w:p>
          <w:p w14:paraId="5C4A9A6B" w14:textId="77777777" w:rsidR="00D33D5F" w:rsidRPr="000C2CDE" w:rsidRDefault="00D33D5F" w:rsidP="00D33D5F">
            <w:pPr>
              <w:rPr>
                <w:sz w:val="18"/>
                <w:szCs w:val="18"/>
              </w:rPr>
            </w:pPr>
          </w:p>
          <w:p w14:paraId="3512EFAF" w14:textId="77777777" w:rsidR="008B4222" w:rsidRPr="000C2CDE" w:rsidRDefault="008B4222" w:rsidP="00D33D5F">
            <w:pPr>
              <w:rPr>
                <w:sz w:val="18"/>
                <w:szCs w:val="18"/>
              </w:rPr>
            </w:pPr>
            <w:r w:rsidRPr="000C2CDE">
              <w:rPr>
                <w:sz w:val="18"/>
                <w:szCs w:val="18"/>
              </w:rPr>
              <w:t xml:space="preserve">Normally the reference test </w:t>
            </w:r>
            <w:proofErr w:type="gramStart"/>
            <w:r w:rsidRPr="000C2CDE">
              <w:rPr>
                <w:sz w:val="18"/>
                <w:szCs w:val="18"/>
              </w:rPr>
              <w:t>should be done</w:t>
            </w:r>
            <w:proofErr w:type="gramEnd"/>
            <w:r w:rsidRPr="000C2CDE">
              <w:rPr>
                <w:sz w:val="18"/>
                <w:szCs w:val="18"/>
              </w:rPr>
              <w:t xml:space="preserve"> at the same time as </w:t>
            </w:r>
            <w:r w:rsidR="00F462DB" w:rsidRPr="000C2CDE">
              <w:rPr>
                <w:sz w:val="18"/>
                <w:szCs w:val="18"/>
              </w:rPr>
              <w:t>c</w:t>
            </w:r>
            <w:r w:rsidRPr="000C2CDE">
              <w:rPr>
                <w:sz w:val="18"/>
                <w:szCs w:val="18"/>
              </w:rPr>
              <w:t>olposcopy.</w:t>
            </w:r>
          </w:p>
        </w:tc>
        <w:tc>
          <w:tcPr>
            <w:tcW w:w="3021" w:type="dxa"/>
          </w:tcPr>
          <w:p w14:paraId="3281ED3C" w14:textId="77777777" w:rsidR="00D33D5F" w:rsidRPr="000C2CDE" w:rsidRDefault="00D33D5F" w:rsidP="00D33D5F">
            <w:pPr>
              <w:rPr>
                <w:sz w:val="18"/>
                <w:szCs w:val="18"/>
              </w:rPr>
            </w:pPr>
          </w:p>
          <w:p w14:paraId="3D76D669" w14:textId="77777777" w:rsidR="00D33D5F" w:rsidRPr="000C2CDE" w:rsidRDefault="00D33D5F" w:rsidP="00D33D5F">
            <w:pPr>
              <w:rPr>
                <w:sz w:val="18"/>
                <w:szCs w:val="18"/>
              </w:rPr>
            </w:pPr>
          </w:p>
          <w:p w14:paraId="130C5C27" w14:textId="77777777" w:rsidR="00AB3CFA" w:rsidRPr="000C2CDE" w:rsidRDefault="008B4222" w:rsidP="00D33D5F">
            <w:pPr>
              <w:rPr>
                <w:sz w:val="18"/>
                <w:szCs w:val="18"/>
              </w:rPr>
            </w:pPr>
            <w:r w:rsidRPr="000C2CDE">
              <w:rPr>
                <w:sz w:val="18"/>
                <w:szCs w:val="18"/>
              </w:rPr>
              <w:t>A delay between index test and reference standard will be recorded.</w:t>
            </w:r>
          </w:p>
        </w:tc>
      </w:tr>
      <w:tr w:rsidR="00D33D5F" w14:paraId="0AD6C5FA" w14:textId="77777777" w:rsidTr="00D33D5F">
        <w:tc>
          <w:tcPr>
            <w:tcW w:w="3020" w:type="dxa"/>
          </w:tcPr>
          <w:p w14:paraId="6D829FD0" w14:textId="77777777" w:rsidR="00D33D5F" w:rsidRPr="000C2CDE" w:rsidRDefault="00D33D5F" w:rsidP="00D33D5F">
            <w:pPr>
              <w:rPr>
                <w:sz w:val="18"/>
                <w:szCs w:val="18"/>
              </w:rPr>
            </w:pPr>
          </w:p>
          <w:p w14:paraId="4739E5A0" w14:textId="77777777" w:rsidR="00D33D5F" w:rsidRPr="000C2CDE" w:rsidRDefault="00D33D5F" w:rsidP="00D33D5F">
            <w:pPr>
              <w:rPr>
                <w:sz w:val="18"/>
                <w:szCs w:val="18"/>
              </w:rPr>
            </w:pPr>
            <w:r w:rsidRPr="000C2CDE">
              <w:rPr>
                <w:sz w:val="18"/>
                <w:szCs w:val="18"/>
              </w:rPr>
              <w:t>4b. Withdraw</w:t>
            </w:r>
            <w:r w:rsidR="00F462DB" w:rsidRPr="000C2CDE">
              <w:rPr>
                <w:sz w:val="18"/>
                <w:szCs w:val="18"/>
              </w:rPr>
              <w:t>a</w:t>
            </w:r>
            <w:r w:rsidRPr="000C2CDE">
              <w:rPr>
                <w:sz w:val="18"/>
                <w:szCs w:val="18"/>
              </w:rPr>
              <w:t xml:space="preserve">ls explained </w:t>
            </w:r>
          </w:p>
        </w:tc>
        <w:tc>
          <w:tcPr>
            <w:tcW w:w="3021" w:type="dxa"/>
          </w:tcPr>
          <w:p w14:paraId="132AF6BB" w14:textId="77777777" w:rsidR="00D33D5F" w:rsidRPr="000C2CDE" w:rsidRDefault="00D33D5F" w:rsidP="00D33D5F">
            <w:pPr>
              <w:rPr>
                <w:sz w:val="18"/>
                <w:szCs w:val="18"/>
              </w:rPr>
            </w:pPr>
          </w:p>
        </w:tc>
        <w:tc>
          <w:tcPr>
            <w:tcW w:w="3021" w:type="dxa"/>
          </w:tcPr>
          <w:p w14:paraId="724821F9" w14:textId="77777777" w:rsidR="00D33D5F" w:rsidRPr="000C2CDE" w:rsidRDefault="00D33D5F" w:rsidP="00D33D5F">
            <w:pPr>
              <w:rPr>
                <w:sz w:val="18"/>
                <w:szCs w:val="18"/>
              </w:rPr>
            </w:pPr>
          </w:p>
          <w:p w14:paraId="544C3695" w14:textId="77777777" w:rsidR="00D33D5F" w:rsidRPr="000C2CDE" w:rsidRDefault="007378BE" w:rsidP="007378BE">
            <w:pPr>
              <w:rPr>
                <w:sz w:val="18"/>
                <w:szCs w:val="18"/>
              </w:rPr>
            </w:pPr>
            <w:r>
              <w:rPr>
                <w:sz w:val="18"/>
                <w:szCs w:val="18"/>
              </w:rPr>
              <w:t>No concerns if l</w:t>
            </w:r>
            <w:r w:rsidR="00D33D5F" w:rsidRPr="000C2CDE">
              <w:rPr>
                <w:sz w:val="18"/>
                <w:szCs w:val="18"/>
              </w:rPr>
              <w:t xml:space="preserve">oss of </w:t>
            </w:r>
            <w:proofErr w:type="gramStart"/>
            <w:r w:rsidR="00D33D5F" w:rsidRPr="000C2CDE">
              <w:rPr>
                <w:sz w:val="18"/>
                <w:szCs w:val="18"/>
              </w:rPr>
              <w:t>patients</w:t>
            </w:r>
            <w:r>
              <w:rPr>
                <w:sz w:val="18"/>
                <w:szCs w:val="18"/>
              </w:rPr>
              <w:t>,</w:t>
            </w:r>
            <w:proofErr w:type="gramEnd"/>
            <w:r>
              <w:rPr>
                <w:sz w:val="18"/>
                <w:szCs w:val="18"/>
              </w:rPr>
              <w:t xml:space="preserve"> and missing or uninterpretable test results is explained. </w:t>
            </w:r>
          </w:p>
        </w:tc>
      </w:tr>
    </w:tbl>
    <w:p w14:paraId="6C75C51C" w14:textId="77777777" w:rsidR="00BC2177" w:rsidRPr="00F16C3C" w:rsidRDefault="00BC2177" w:rsidP="00603F1A">
      <w:pPr>
        <w:jc w:val="both"/>
      </w:pPr>
    </w:p>
    <w:p w14:paraId="7D17B356" w14:textId="58D8C659" w:rsidR="00D33D5F" w:rsidRPr="00D33D5F" w:rsidRDefault="00D46326" w:rsidP="00603F1A">
      <w:pPr>
        <w:jc w:val="both"/>
        <w:rPr>
          <w:b/>
        </w:rPr>
      </w:pPr>
      <w:r>
        <w:rPr>
          <w:b/>
        </w:rPr>
        <w:t>References:</w:t>
      </w:r>
    </w:p>
    <w:p w14:paraId="610C7D10" w14:textId="12710980" w:rsidR="00B94D83" w:rsidRPr="00B94D83" w:rsidRDefault="002D6383" w:rsidP="00B94D83">
      <w:pPr>
        <w:widowControl w:val="0"/>
        <w:autoSpaceDE w:val="0"/>
        <w:autoSpaceDN w:val="0"/>
        <w:adjustRightInd w:val="0"/>
        <w:spacing w:line="240" w:lineRule="auto"/>
        <w:ind w:left="640" w:hanging="640"/>
        <w:rPr>
          <w:rFonts w:ascii="Calibri" w:hAnsi="Calibri" w:cs="Calibri"/>
          <w:noProof/>
          <w:szCs w:val="24"/>
        </w:rPr>
      </w:pPr>
      <w:r>
        <w:fldChar w:fldCharType="begin" w:fldLock="1"/>
      </w:r>
      <w:r w:rsidRPr="00483F0A">
        <w:instrText xml:space="preserve">ADDIN Mendeley Bibliography CSL_BIBLIOGRAPHY </w:instrText>
      </w:r>
      <w:r>
        <w:fldChar w:fldCharType="separate"/>
      </w:r>
      <w:r w:rsidR="00B94D83" w:rsidRPr="00B94D83">
        <w:rPr>
          <w:rFonts w:ascii="Calibri" w:hAnsi="Calibri" w:cs="Calibri"/>
          <w:noProof/>
          <w:szCs w:val="24"/>
        </w:rPr>
        <w:t xml:space="preserve">1 </w:t>
      </w:r>
      <w:r w:rsidR="00B94D83" w:rsidRPr="00B94D83">
        <w:rPr>
          <w:rFonts w:ascii="Calibri" w:hAnsi="Calibri" w:cs="Calibri"/>
          <w:noProof/>
          <w:szCs w:val="24"/>
        </w:rPr>
        <w:tab/>
        <w:t xml:space="preserve">Arbyn M, Raifu AO, Weiderpass E, </w:t>
      </w:r>
      <w:r w:rsidR="00B94D83" w:rsidRPr="00B94D83">
        <w:rPr>
          <w:rFonts w:ascii="Calibri" w:hAnsi="Calibri" w:cs="Calibri"/>
          <w:i/>
          <w:iCs/>
          <w:noProof/>
          <w:szCs w:val="24"/>
        </w:rPr>
        <w:t>et al.</w:t>
      </w:r>
      <w:r w:rsidR="00B94D83" w:rsidRPr="00B94D83">
        <w:rPr>
          <w:rFonts w:ascii="Calibri" w:hAnsi="Calibri" w:cs="Calibri"/>
          <w:noProof/>
          <w:szCs w:val="24"/>
        </w:rPr>
        <w:t xml:space="preserve"> Trends of cervical cancer mortality in the member states of the European Union. Published Online First: 2009. doi:10.1016/j.ejca.2009.07.018</w:t>
      </w:r>
    </w:p>
    <w:p w14:paraId="3726B4B7" w14:textId="77777777" w:rsidR="00B94D83" w:rsidRPr="00483F0A" w:rsidRDefault="00B94D83" w:rsidP="00B94D83">
      <w:pPr>
        <w:widowControl w:val="0"/>
        <w:autoSpaceDE w:val="0"/>
        <w:autoSpaceDN w:val="0"/>
        <w:adjustRightInd w:val="0"/>
        <w:spacing w:line="240" w:lineRule="auto"/>
        <w:ind w:left="640" w:hanging="640"/>
        <w:rPr>
          <w:rFonts w:ascii="Calibri" w:hAnsi="Calibri" w:cs="Calibri"/>
          <w:noProof/>
          <w:szCs w:val="24"/>
          <w:lang w:val="fr-CH"/>
        </w:rPr>
      </w:pPr>
      <w:r w:rsidRPr="00B94D83">
        <w:rPr>
          <w:rFonts w:ascii="Calibri" w:hAnsi="Calibri" w:cs="Calibri"/>
          <w:noProof/>
          <w:szCs w:val="24"/>
        </w:rPr>
        <w:t xml:space="preserve">2 </w:t>
      </w:r>
      <w:r w:rsidRPr="00B94D83">
        <w:rPr>
          <w:rFonts w:ascii="Calibri" w:hAnsi="Calibri" w:cs="Calibri"/>
          <w:noProof/>
          <w:szCs w:val="24"/>
        </w:rPr>
        <w:tab/>
        <w:t xml:space="preserve">Fitzmaurice C, Allen C, Barber RM, </w:t>
      </w:r>
      <w:r w:rsidRPr="00B94D83">
        <w:rPr>
          <w:rFonts w:ascii="Calibri" w:hAnsi="Calibri" w:cs="Calibri"/>
          <w:i/>
          <w:iCs/>
          <w:noProof/>
          <w:szCs w:val="24"/>
        </w:rPr>
        <w:t>et al.</w:t>
      </w:r>
      <w:r w:rsidRPr="00B94D83">
        <w:rPr>
          <w:rFonts w:ascii="Calibri" w:hAnsi="Calibri" w:cs="Calibri"/>
          <w:noProof/>
          <w:szCs w:val="24"/>
        </w:rPr>
        <w:t xml:space="preserve"> Global, Regional, and National Cancer Incidence, Mortality, Years of Life Lost, Years Lived With Disability, and Disability-Adjusted Life-years for 32 Cancer Groups, 1990 to 2015. </w:t>
      </w:r>
      <w:r w:rsidRPr="00483F0A">
        <w:rPr>
          <w:rFonts w:ascii="Calibri" w:hAnsi="Calibri" w:cs="Calibri"/>
          <w:i/>
          <w:iCs/>
          <w:noProof/>
          <w:szCs w:val="24"/>
          <w:lang w:val="fr-CH"/>
        </w:rPr>
        <w:t>JAMA Oncol</w:t>
      </w:r>
      <w:r w:rsidRPr="00483F0A">
        <w:rPr>
          <w:rFonts w:ascii="Calibri" w:hAnsi="Calibri" w:cs="Calibri"/>
          <w:noProof/>
          <w:szCs w:val="24"/>
          <w:lang w:val="fr-CH"/>
        </w:rPr>
        <w:t xml:space="preserve"> 2017;</w:t>
      </w:r>
      <w:r w:rsidRPr="00483F0A">
        <w:rPr>
          <w:rFonts w:ascii="Calibri" w:hAnsi="Calibri" w:cs="Calibri"/>
          <w:b/>
          <w:bCs/>
          <w:noProof/>
          <w:szCs w:val="24"/>
          <w:lang w:val="fr-CH"/>
        </w:rPr>
        <w:t>3</w:t>
      </w:r>
      <w:r w:rsidRPr="00483F0A">
        <w:rPr>
          <w:rFonts w:ascii="Calibri" w:hAnsi="Calibri" w:cs="Calibri"/>
          <w:noProof/>
          <w:szCs w:val="24"/>
          <w:lang w:val="fr-CH"/>
        </w:rPr>
        <w:t>:524. doi:10.1001/jamaoncol.2016.5688</w:t>
      </w:r>
    </w:p>
    <w:p w14:paraId="62EFAB84" w14:textId="77777777" w:rsidR="00B94D83" w:rsidRPr="00B94D83" w:rsidRDefault="00B94D83" w:rsidP="00B94D83">
      <w:pPr>
        <w:widowControl w:val="0"/>
        <w:autoSpaceDE w:val="0"/>
        <w:autoSpaceDN w:val="0"/>
        <w:adjustRightInd w:val="0"/>
        <w:spacing w:line="240" w:lineRule="auto"/>
        <w:ind w:left="640" w:hanging="640"/>
        <w:rPr>
          <w:rFonts w:ascii="Calibri" w:hAnsi="Calibri" w:cs="Calibri"/>
          <w:noProof/>
          <w:szCs w:val="24"/>
        </w:rPr>
      </w:pPr>
      <w:r w:rsidRPr="00483F0A">
        <w:rPr>
          <w:rFonts w:ascii="Calibri" w:hAnsi="Calibri" w:cs="Calibri"/>
          <w:noProof/>
          <w:szCs w:val="24"/>
          <w:lang w:val="fr-CH"/>
        </w:rPr>
        <w:t xml:space="preserve">3 </w:t>
      </w:r>
      <w:r w:rsidRPr="00483F0A">
        <w:rPr>
          <w:rFonts w:ascii="Calibri" w:hAnsi="Calibri" w:cs="Calibri"/>
          <w:noProof/>
          <w:szCs w:val="24"/>
          <w:lang w:val="fr-CH"/>
        </w:rPr>
        <w:tab/>
        <w:t xml:space="preserve">Paul C, Sharples KJ, Baranyai J, </w:t>
      </w:r>
      <w:r w:rsidRPr="00483F0A">
        <w:rPr>
          <w:rFonts w:ascii="Calibri" w:hAnsi="Calibri" w:cs="Calibri"/>
          <w:i/>
          <w:iCs/>
          <w:noProof/>
          <w:szCs w:val="24"/>
          <w:lang w:val="fr-CH"/>
        </w:rPr>
        <w:t>et al.</w:t>
      </w:r>
      <w:r w:rsidRPr="00483F0A">
        <w:rPr>
          <w:rFonts w:ascii="Calibri" w:hAnsi="Calibri" w:cs="Calibri"/>
          <w:noProof/>
          <w:szCs w:val="24"/>
          <w:lang w:val="fr-CH"/>
        </w:rPr>
        <w:t xml:space="preserve"> </w:t>
      </w:r>
      <w:r w:rsidRPr="00B94D83">
        <w:rPr>
          <w:rFonts w:ascii="Calibri" w:hAnsi="Calibri" w:cs="Calibri"/>
          <w:noProof/>
          <w:szCs w:val="24"/>
        </w:rPr>
        <w:t xml:space="preserve">Outcomes for women without conventional treatment for stage 1A (microinvasive) carcinoma of the cervix. </w:t>
      </w:r>
      <w:r w:rsidRPr="00B94D83">
        <w:rPr>
          <w:rFonts w:ascii="Calibri" w:hAnsi="Calibri" w:cs="Calibri"/>
          <w:i/>
          <w:iCs/>
          <w:noProof/>
          <w:szCs w:val="24"/>
        </w:rPr>
        <w:t>Aust New Zeal J Obstet Gynaecol</w:t>
      </w:r>
      <w:r w:rsidRPr="00B94D83">
        <w:rPr>
          <w:rFonts w:ascii="Calibri" w:hAnsi="Calibri" w:cs="Calibri"/>
          <w:noProof/>
          <w:szCs w:val="24"/>
        </w:rPr>
        <w:t xml:space="preserve"> 2018;</w:t>
      </w:r>
      <w:r w:rsidRPr="00B94D83">
        <w:rPr>
          <w:rFonts w:ascii="Calibri" w:hAnsi="Calibri" w:cs="Calibri"/>
          <w:b/>
          <w:bCs/>
          <w:noProof/>
          <w:szCs w:val="24"/>
        </w:rPr>
        <w:t>58</w:t>
      </w:r>
      <w:r w:rsidRPr="00B94D83">
        <w:rPr>
          <w:rFonts w:ascii="Calibri" w:hAnsi="Calibri" w:cs="Calibri"/>
          <w:noProof/>
          <w:szCs w:val="24"/>
        </w:rPr>
        <w:t>:321–9. doi:10.1111/ajo.12753</w:t>
      </w:r>
    </w:p>
    <w:p w14:paraId="1F93DB65" w14:textId="77777777" w:rsidR="00B94D83" w:rsidRPr="00B94D83" w:rsidRDefault="00B94D83" w:rsidP="00B94D83">
      <w:pPr>
        <w:widowControl w:val="0"/>
        <w:autoSpaceDE w:val="0"/>
        <w:autoSpaceDN w:val="0"/>
        <w:adjustRightInd w:val="0"/>
        <w:spacing w:line="240" w:lineRule="auto"/>
        <w:ind w:left="640" w:hanging="640"/>
        <w:rPr>
          <w:rFonts w:ascii="Calibri" w:hAnsi="Calibri" w:cs="Calibri"/>
          <w:noProof/>
          <w:szCs w:val="24"/>
        </w:rPr>
      </w:pPr>
      <w:r w:rsidRPr="00B94D83">
        <w:rPr>
          <w:rFonts w:ascii="Calibri" w:hAnsi="Calibri" w:cs="Calibri"/>
          <w:noProof/>
          <w:szCs w:val="24"/>
        </w:rPr>
        <w:t xml:space="preserve">4 </w:t>
      </w:r>
      <w:r w:rsidRPr="00B94D83">
        <w:rPr>
          <w:rFonts w:ascii="Calibri" w:hAnsi="Calibri" w:cs="Calibri"/>
          <w:noProof/>
          <w:szCs w:val="24"/>
        </w:rPr>
        <w:tab/>
        <w:t xml:space="preserve">Flannelly G, Bolger B, Fawzi H, </w:t>
      </w:r>
      <w:r w:rsidRPr="00B94D83">
        <w:rPr>
          <w:rFonts w:ascii="Calibri" w:hAnsi="Calibri" w:cs="Calibri"/>
          <w:i/>
          <w:iCs/>
          <w:noProof/>
          <w:szCs w:val="24"/>
        </w:rPr>
        <w:t>et al.</w:t>
      </w:r>
      <w:r w:rsidRPr="00B94D83">
        <w:rPr>
          <w:rFonts w:ascii="Calibri" w:hAnsi="Calibri" w:cs="Calibri"/>
          <w:noProof/>
          <w:szCs w:val="24"/>
        </w:rPr>
        <w:t xml:space="preserve"> Follow up after LLETZ: could schedules be modified according to risk of recurrence? </w:t>
      </w:r>
      <w:r w:rsidRPr="00B94D83">
        <w:rPr>
          <w:rFonts w:ascii="Calibri" w:hAnsi="Calibri" w:cs="Calibri"/>
          <w:i/>
          <w:iCs/>
          <w:noProof/>
          <w:szCs w:val="24"/>
        </w:rPr>
        <w:t>BJOG</w:t>
      </w:r>
      <w:r w:rsidRPr="00B94D83">
        <w:rPr>
          <w:rFonts w:ascii="Calibri" w:hAnsi="Calibri" w:cs="Calibri"/>
          <w:noProof/>
          <w:szCs w:val="24"/>
        </w:rPr>
        <w:t xml:space="preserve"> 2001;</w:t>
      </w:r>
      <w:r w:rsidRPr="00B94D83">
        <w:rPr>
          <w:rFonts w:ascii="Calibri" w:hAnsi="Calibri" w:cs="Calibri"/>
          <w:b/>
          <w:bCs/>
          <w:noProof/>
          <w:szCs w:val="24"/>
        </w:rPr>
        <w:t>108</w:t>
      </w:r>
      <w:r w:rsidRPr="00B94D83">
        <w:rPr>
          <w:rFonts w:ascii="Calibri" w:hAnsi="Calibri" w:cs="Calibri"/>
          <w:noProof/>
          <w:szCs w:val="24"/>
        </w:rPr>
        <w:t>:1025–30.http://www.ncbi.nlm.nih.gov/pubmed/11702832 (accessed 5 Jul 2018).</w:t>
      </w:r>
    </w:p>
    <w:p w14:paraId="06546F83" w14:textId="77777777" w:rsidR="00B94D83" w:rsidRPr="00B94D83" w:rsidRDefault="00B94D83" w:rsidP="00B94D83">
      <w:pPr>
        <w:widowControl w:val="0"/>
        <w:autoSpaceDE w:val="0"/>
        <w:autoSpaceDN w:val="0"/>
        <w:adjustRightInd w:val="0"/>
        <w:spacing w:line="240" w:lineRule="auto"/>
        <w:ind w:left="640" w:hanging="640"/>
        <w:rPr>
          <w:rFonts w:ascii="Calibri" w:hAnsi="Calibri" w:cs="Calibri"/>
          <w:noProof/>
          <w:szCs w:val="24"/>
        </w:rPr>
      </w:pPr>
      <w:r w:rsidRPr="00483F0A">
        <w:rPr>
          <w:rFonts w:ascii="Calibri" w:hAnsi="Calibri" w:cs="Calibri"/>
          <w:noProof/>
          <w:szCs w:val="24"/>
          <w:lang w:val="fr-CH"/>
        </w:rPr>
        <w:t xml:space="preserve">5 </w:t>
      </w:r>
      <w:r w:rsidRPr="00483F0A">
        <w:rPr>
          <w:rFonts w:ascii="Calibri" w:hAnsi="Calibri" w:cs="Calibri"/>
          <w:noProof/>
          <w:szCs w:val="24"/>
          <w:lang w:val="fr-CH"/>
        </w:rPr>
        <w:tab/>
        <w:t xml:space="preserve">Kocken M, Uijterwaal MH, de Vries ALM, </w:t>
      </w:r>
      <w:r w:rsidRPr="00483F0A">
        <w:rPr>
          <w:rFonts w:ascii="Calibri" w:hAnsi="Calibri" w:cs="Calibri"/>
          <w:i/>
          <w:iCs/>
          <w:noProof/>
          <w:szCs w:val="24"/>
          <w:lang w:val="fr-CH"/>
        </w:rPr>
        <w:t>et al.</w:t>
      </w:r>
      <w:r w:rsidRPr="00483F0A">
        <w:rPr>
          <w:rFonts w:ascii="Calibri" w:hAnsi="Calibri" w:cs="Calibri"/>
          <w:noProof/>
          <w:szCs w:val="24"/>
          <w:lang w:val="fr-CH"/>
        </w:rPr>
        <w:t xml:space="preserve"> </w:t>
      </w:r>
      <w:r w:rsidRPr="00B94D83">
        <w:rPr>
          <w:rFonts w:ascii="Calibri" w:hAnsi="Calibri" w:cs="Calibri"/>
          <w:noProof/>
          <w:szCs w:val="24"/>
        </w:rPr>
        <w:t xml:space="preserve">High-risk human papillomavirus testing versus cytology in predicting post-treatment disease in women treated for high-grade cervical disease: a systematic review and meta-analysis. </w:t>
      </w:r>
      <w:r w:rsidRPr="00B94D83">
        <w:rPr>
          <w:rFonts w:ascii="Calibri" w:hAnsi="Calibri" w:cs="Calibri"/>
          <w:i/>
          <w:iCs/>
          <w:noProof/>
          <w:szCs w:val="24"/>
        </w:rPr>
        <w:t>Gynecol Oncol</w:t>
      </w:r>
      <w:r w:rsidRPr="00B94D83">
        <w:rPr>
          <w:rFonts w:ascii="Calibri" w:hAnsi="Calibri" w:cs="Calibri"/>
          <w:noProof/>
          <w:szCs w:val="24"/>
        </w:rPr>
        <w:t xml:space="preserve"> 2012;</w:t>
      </w:r>
      <w:r w:rsidRPr="00B94D83">
        <w:rPr>
          <w:rFonts w:ascii="Calibri" w:hAnsi="Calibri" w:cs="Calibri"/>
          <w:b/>
          <w:bCs/>
          <w:noProof/>
          <w:szCs w:val="24"/>
        </w:rPr>
        <w:t>125</w:t>
      </w:r>
      <w:r w:rsidRPr="00B94D83">
        <w:rPr>
          <w:rFonts w:ascii="Calibri" w:hAnsi="Calibri" w:cs="Calibri"/>
          <w:noProof/>
          <w:szCs w:val="24"/>
        </w:rPr>
        <w:t>:500–7. doi:10.1016/j.ygyno.2012.01.015</w:t>
      </w:r>
    </w:p>
    <w:p w14:paraId="7046A271" w14:textId="77777777" w:rsidR="00B94D83" w:rsidRPr="00B94D83" w:rsidRDefault="00B94D83" w:rsidP="00B94D83">
      <w:pPr>
        <w:widowControl w:val="0"/>
        <w:autoSpaceDE w:val="0"/>
        <w:autoSpaceDN w:val="0"/>
        <w:adjustRightInd w:val="0"/>
        <w:spacing w:line="240" w:lineRule="auto"/>
        <w:ind w:left="640" w:hanging="640"/>
        <w:rPr>
          <w:rFonts w:ascii="Calibri" w:hAnsi="Calibri" w:cs="Calibri"/>
          <w:noProof/>
          <w:szCs w:val="24"/>
        </w:rPr>
      </w:pPr>
      <w:r w:rsidRPr="00B94D83">
        <w:rPr>
          <w:rFonts w:ascii="Calibri" w:hAnsi="Calibri" w:cs="Calibri"/>
          <w:noProof/>
          <w:szCs w:val="24"/>
        </w:rPr>
        <w:t xml:space="preserve">6 </w:t>
      </w:r>
      <w:r w:rsidRPr="00B94D83">
        <w:rPr>
          <w:rFonts w:ascii="Calibri" w:hAnsi="Calibri" w:cs="Calibri"/>
          <w:noProof/>
          <w:szCs w:val="24"/>
        </w:rPr>
        <w:tab/>
        <w:t>Sellors JW, Sankaranarayanan R. Colposcopy and Treatment of Cervical Intraepithelial Neoplasia: A Beginners’ Manual. https://screening.iarc.fr/doc/Colposcopymanual.pdf (accessed 5 Jul 2018).</w:t>
      </w:r>
    </w:p>
    <w:p w14:paraId="60D2CF8C" w14:textId="77777777" w:rsidR="00B94D83" w:rsidRPr="00B94D83" w:rsidRDefault="00B94D83" w:rsidP="00B94D83">
      <w:pPr>
        <w:widowControl w:val="0"/>
        <w:autoSpaceDE w:val="0"/>
        <w:autoSpaceDN w:val="0"/>
        <w:adjustRightInd w:val="0"/>
        <w:spacing w:line="240" w:lineRule="auto"/>
        <w:ind w:left="640" w:hanging="640"/>
        <w:rPr>
          <w:rFonts w:ascii="Calibri" w:hAnsi="Calibri" w:cs="Calibri"/>
          <w:noProof/>
        </w:rPr>
      </w:pPr>
      <w:r w:rsidRPr="00B94D83">
        <w:rPr>
          <w:rFonts w:ascii="Calibri" w:hAnsi="Calibri" w:cs="Calibri"/>
          <w:noProof/>
          <w:szCs w:val="24"/>
        </w:rPr>
        <w:t xml:space="preserve">7 </w:t>
      </w:r>
      <w:r w:rsidRPr="00B94D83">
        <w:rPr>
          <w:rFonts w:ascii="Calibri" w:hAnsi="Calibri" w:cs="Calibri"/>
          <w:noProof/>
          <w:szCs w:val="24"/>
        </w:rPr>
        <w:tab/>
        <w:t xml:space="preserve">Whiting PF, Rutjes AWS, Westwood ME, </w:t>
      </w:r>
      <w:r w:rsidRPr="00B94D83">
        <w:rPr>
          <w:rFonts w:ascii="Calibri" w:hAnsi="Calibri" w:cs="Calibri"/>
          <w:i/>
          <w:iCs/>
          <w:noProof/>
          <w:szCs w:val="24"/>
        </w:rPr>
        <w:t>et al.</w:t>
      </w:r>
      <w:r w:rsidRPr="00B94D83">
        <w:rPr>
          <w:rFonts w:ascii="Calibri" w:hAnsi="Calibri" w:cs="Calibri"/>
          <w:noProof/>
          <w:szCs w:val="24"/>
        </w:rPr>
        <w:t xml:space="preserve"> QUADAS-2: A Revised Tool for the Quality Assessment of Diagnostic Accuracy Studies. </w:t>
      </w:r>
      <w:r w:rsidRPr="00B94D83">
        <w:rPr>
          <w:rFonts w:ascii="Calibri" w:hAnsi="Calibri" w:cs="Calibri"/>
          <w:i/>
          <w:iCs/>
          <w:noProof/>
          <w:szCs w:val="24"/>
        </w:rPr>
        <w:t>Ann Intern Med</w:t>
      </w:r>
      <w:r w:rsidRPr="00B94D83">
        <w:rPr>
          <w:rFonts w:ascii="Calibri" w:hAnsi="Calibri" w:cs="Calibri"/>
          <w:noProof/>
          <w:szCs w:val="24"/>
        </w:rPr>
        <w:t xml:space="preserve"> 2011;</w:t>
      </w:r>
      <w:r w:rsidRPr="00B94D83">
        <w:rPr>
          <w:rFonts w:ascii="Calibri" w:hAnsi="Calibri" w:cs="Calibri"/>
          <w:b/>
          <w:bCs/>
          <w:noProof/>
          <w:szCs w:val="24"/>
        </w:rPr>
        <w:t>155</w:t>
      </w:r>
      <w:r w:rsidRPr="00B94D83">
        <w:rPr>
          <w:rFonts w:ascii="Calibri" w:hAnsi="Calibri" w:cs="Calibri"/>
          <w:noProof/>
          <w:szCs w:val="24"/>
        </w:rPr>
        <w:t>:529. doi:10.7326/0003-4819-155-8-201110180-00009</w:t>
      </w:r>
    </w:p>
    <w:p w14:paraId="1BB1F825" w14:textId="77777777" w:rsidR="00603F1A" w:rsidRDefault="002D6383" w:rsidP="00603F1A">
      <w:pPr>
        <w:jc w:val="both"/>
      </w:pPr>
      <w:r>
        <w:fldChar w:fldCharType="end"/>
      </w:r>
      <w:r w:rsidR="002A432D">
        <w:t xml:space="preserve"> </w:t>
      </w:r>
    </w:p>
    <w:p w14:paraId="15895F89" w14:textId="77777777" w:rsidR="002272AB" w:rsidRPr="00603F1A" w:rsidRDefault="002272AB" w:rsidP="002272AB"/>
    <w:sectPr w:rsidR="002272AB" w:rsidRPr="00603F1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667C5"/>
    <w:multiLevelType w:val="hybridMultilevel"/>
    <w:tmpl w:val="CF546190"/>
    <w:lvl w:ilvl="0" w:tplc="BD422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E92F49"/>
    <w:multiLevelType w:val="hybridMultilevel"/>
    <w:tmpl w:val="954AB2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F4255E"/>
    <w:multiLevelType w:val="hybridMultilevel"/>
    <w:tmpl w:val="8B907C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02326A"/>
    <w:multiLevelType w:val="hybridMultilevel"/>
    <w:tmpl w:val="64E4DB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C22C2E"/>
    <w:multiLevelType w:val="hybridMultilevel"/>
    <w:tmpl w:val="C0A075DA"/>
    <w:lvl w:ilvl="0" w:tplc="92986A6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3F5853"/>
    <w:multiLevelType w:val="hybridMultilevel"/>
    <w:tmpl w:val="511282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4"/>
  </w:num>
  <w:num w:numId="5">
    <w:abstractNumId w:val="0"/>
  </w:num>
  <w:num w:numId="6">
    <w:abstractNumId w:val="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13A6"/>
    <w:rsid w:val="00017037"/>
    <w:rsid w:val="000400DC"/>
    <w:rsid w:val="000A344D"/>
    <w:rsid w:val="000C2CDE"/>
    <w:rsid w:val="00105EBE"/>
    <w:rsid w:val="0011014A"/>
    <w:rsid w:val="001335DD"/>
    <w:rsid w:val="00143A3A"/>
    <w:rsid w:val="0015624F"/>
    <w:rsid w:val="00175F55"/>
    <w:rsid w:val="001C1912"/>
    <w:rsid w:val="001C287B"/>
    <w:rsid w:val="001D5231"/>
    <w:rsid w:val="001F02AD"/>
    <w:rsid w:val="001F0D61"/>
    <w:rsid w:val="00201A9F"/>
    <w:rsid w:val="002249C7"/>
    <w:rsid w:val="002272AB"/>
    <w:rsid w:val="00252FDC"/>
    <w:rsid w:val="002A432D"/>
    <w:rsid w:val="002D6383"/>
    <w:rsid w:val="003314C2"/>
    <w:rsid w:val="0033549F"/>
    <w:rsid w:val="00362BC9"/>
    <w:rsid w:val="00397B52"/>
    <w:rsid w:val="003B05F0"/>
    <w:rsid w:val="003D62CF"/>
    <w:rsid w:val="00437860"/>
    <w:rsid w:val="0047104E"/>
    <w:rsid w:val="00475B44"/>
    <w:rsid w:val="00482620"/>
    <w:rsid w:val="00483F0A"/>
    <w:rsid w:val="004E13A6"/>
    <w:rsid w:val="00540E5A"/>
    <w:rsid w:val="005B100A"/>
    <w:rsid w:val="005E25A3"/>
    <w:rsid w:val="00603F1A"/>
    <w:rsid w:val="006A329C"/>
    <w:rsid w:val="007378BE"/>
    <w:rsid w:val="00802958"/>
    <w:rsid w:val="008B4222"/>
    <w:rsid w:val="008E1E35"/>
    <w:rsid w:val="0095435D"/>
    <w:rsid w:val="009B4A1C"/>
    <w:rsid w:val="009E4EB9"/>
    <w:rsid w:val="009E575B"/>
    <w:rsid w:val="009F5256"/>
    <w:rsid w:val="00A421E5"/>
    <w:rsid w:val="00AB3CFA"/>
    <w:rsid w:val="00AB3F5B"/>
    <w:rsid w:val="00B2576D"/>
    <w:rsid w:val="00B55BF9"/>
    <w:rsid w:val="00B94D83"/>
    <w:rsid w:val="00BA73D9"/>
    <w:rsid w:val="00BC2177"/>
    <w:rsid w:val="00BC78EA"/>
    <w:rsid w:val="00BF3279"/>
    <w:rsid w:val="00C407BB"/>
    <w:rsid w:val="00CB3343"/>
    <w:rsid w:val="00CB7C40"/>
    <w:rsid w:val="00D06723"/>
    <w:rsid w:val="00D12FDF"/>
    <w:rsid w:val="00D33D5F"/>
    <w:rsid w:val="00D46326"/>
    <w:rsid w:val="00E32A97"/>
    <w:rsid w:val="00EA64DA"/>
    <w:rsid w:val="00EB1BE5"/>
    <w:rsid w:val="00EE3459"/>
    <w:rsid w:val="00F16C3C"/>
    <w:rsid w:val="00F31C3D"/>
    <w:rsid w:val="00F462DB"/>
    <w:rsid w:val="00F84EF3"/>
    <w:rsid w:val="00FA0164"/>
    <w:rsid w:val="00FE534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D90FD"/>
  <w15:docId w15:val="{E5148D47-D99F-4160-83E8-FD5B13FD2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3A6"/>
    <w:pPr>
      <w:ind w:left="720"/>
      <w:contextualSpacing/>
    </w:pPr>
  </w:style>
  <w:style w:type="character" w:styleId="CommentReference">
    <w:name w:val="annotation reference"/>
    <w:basedOn w:val="DefaultParagraphFont"/>
    <w:uiPriority w:val="99"/>
    <w:semiHidden/>
    <w:unhideWhenUsed/>
    <w:rsid w:val="003B05F0"/>
    <w:rPr>
      <w:sz w:val="16"/>
      <w:szCs w:val="16"/>
    </w:rPr>
  </w:style>
  <w:style w:type="paragraph" w:styleId="CommentText">
    <w:name w:val="annotation text"/>
    <w:basedOn w:val="Normal"/>
    <w:link w:val="CommentTextChar"/>
    <w:uiPriority w:val="99"/>
    <w:semiHidden/>
    <w:unhideWhenUsed/>
    <w:rsid w:val="003B05F0"/>
    <w:pPr>
      <w:spacing w:line="240" w:lineRule="auto"/>
    </w:pPr>
    <w:rPr>
      <w:sz w:val="20"/>
      <w:szCs w:val="20"/>
    </w:rPr>
  </w:style>
  <w:style w:type="character" w:customStyle="1" w:styleId="CommentTextChar">
    <w:name w:val="Comment Text Char"/>
    <w:basedOn w:val="DefaultParagraphFont"/>
    <w:link w:val="CommentText"/>
    <w:uiPriority w:val="99"/>
    <w:semiHidden/>
    <w:rsid w:val="003B05F0"/>
    <w:rPr>
      <w:sz w:val="20"/>
      <w:szCs w:val="20"/>
      <w:lang w:val="en-US"/>
    </w:rPr>
  </w:style>
  <w:style w:type="paragraph" w:styleId="CommentSubject">
    <w:name w:val="annotation subject"/>
    <w:basedOn w:val="CommentText"/>
    <w:next w:val="CommentText"/>
    <w:link w:val="CommentSubjectChar"/>
    <w:uiPriority w:val="99"/>
    <w:semiHidden/>
    <w:unhideWhenUsed/>
    <w:rsid w:val="003B05F0"/>
    <w:rPr>
      <w:b/>
      <w:bCs/>
    </w:rPr>
  </w:style>
  <w:style w:type="character" w:customStyle="1" w:styleId="CommentSubjectChar">
    <w:name w:val="Comment Subject Char"/>
    <w:basedOn w:val="CommentTextChar"/>
    <w:link w:val="CommentSubject"/>
    <w:uiPriority w:val="99"/>
    <w:semiHidden/>
    <w:rsid w:val="003B05F0"/>
    <w:rPr>
      <w:b/>
      <w:bCs/>
      <w:sz w:val="20"/>
      <w:szCs w:val="20"/>
      <w:lang w:val="en-US"/>
    </w:rPr>
  </w:style>
  <w:style w:type="paragraph" w:styleId="BalloonText">
    <w:name w:val="Balloon Text"/>
    <w:basedOn w:val="Normal"/>
    <w:link w:val="BalloonTextChar"/>
    <w:uiPriority w:val="99"/>
    <w:semiHidden/>
    <w:unhideWhenUsed/>
    <w:rsid w:val="003B05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05F0"/>
    <w:rPr>
      <w:rFonts w:ascii="Segoe UI" w:hAnsi="Segoe UI" w:cs="Segoe UI"/>
      <w:sz w:val="18"/>
      <w:szCs w:val="18"/>
      <w:lang w:val="en-US"/>
    </w:rPr>
  </w:style>
  <w:style w:type="table" w:styleId="TableGrid">
    <w:name w:val="Table Grid"/>
    <w:basedOn w:val="TableNormal"/>
    <w:uiPriority w:val="39"/>
    <w:rsid w:val="00BC21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22688">
      <w:bodyDiv w:val="1"/>
      <w:marLeft w:val="0"/>
      <w:marRight w:val="0"/>
      <w:marTop w:val="0"/>
      <w:marBottom w:val="0"/>
      <w:divBdr>
        <w:top w:val="none" w:sz="0" w:space="0" w:color="auto"/>
        <w:left w:val="none" w:sz="0" w:space="0" w:color="auto"/>
        <w:bottom w:val="none" w:sz="0" w:space="0" w:color="auto"/>
        <w:right w:val="none" w:sz="0" w:space="0" w:color="auto"/>
      </w:divBdr>
      <w:divsChild>
        <w:div w:id="307782108">
          <w:marLeft w:val="0"/>
          <w:marRight w:val="0"/>
          <w:marTop w:val="0"/>
          <w:marBottom w:val="0"/>
          <w:divBdr>
            <w:top w:val="none" w:sz="0" w:space="0" w:color="auto"/>
            <w:left w:val="none" w:sz="0" w:space="0" w:color="auto"/>
            <w:bottom w:val="none" w:sz="0" w:space="0" w:color="auto"/>
            <w:right w:val="none" w:sz="0" w:space="0" w:color="auto"/>
          </w:divBdr>
        </w:div>
        <w:div w:id="539632350">
          <w:marLeft w:val="0"/>
          <w:marRight w:val="0"/>
          <w:marTop w:val="30"/>
          <w:marBottom w:val="0"/>
          <w:divBdr>
            <w:top w:val="none" w:sz="0" w:space="0" w:color="auto"/>
            <w:left w:val="none" w:sz="0" w:space="0" w:color="auto"/>
            <w:bottom w:val="none" w:sz="0" w:space="0" w:color="auto"/>
            <w:right w:val="none" w:sz="0" w:space="0" w:color="auto"/>
          </w:divBdr>
          <w:divsChild>
            <w:div w:id="159208147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465123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205056-7307-424F-B7CC-5502786EC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8543</Words>
  <Characters>48697</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Taghavi, Katayoun (ISPM)</dc:creator>
  <cp:keywords/>
  <dc:description/>
  <cp:lastModifiedBy>Taghavi, Katayoun (ISPM)</cp:lastModifiedBy>
  <cp:revision>4</cp:revision>
  <cp:lastPrinted>2018-07-05T09:28:00Z</cp:lastPrinted>
  <dcterms:created xsi:type="dcterms:W3CDTF">2018-07-05T14:25:00Z</dcterms:created>
  <dcterms:modified xsi:type="dcterms:W3CDTF">2018-11-26T16:08:00Z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054c367a-9580-3cd0-8ca7-785f9c006fe6</vt:lpwstr>
  </property>
  <property fmtid="{D5CDD505-2E9C-101B-9397-08002B2CF9AE}" pid="4" name="Mendeley Citation Style_1">
    <vt:lpwstr>http://www.zotero.org/styles/archives-of-disease-in-childhood</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http://www.zotero.org/styles/archives-of-disease-in-childhood</vt:lpwstr>
  </property>
  <property fmtid="{D5CDD505-2E9C-101B-9397-08002B2CF9AE}" pid="14" name="Mendeley Recent Style Name 4_1">
    <vt:lpwstr>Archives of Disease in Childhood</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http://www.zotero.org/styles/clinical-infectious-diseases</vt:lpwstr>
  </property>
  <property fmtid="{D5CDD505-2E9C-101B-9397-08002B2CF9AE}" pid="20" name="Mendeley Recent Style Name 7_1">
    <vt:lpwstr>Clinical Infectious Diseases</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