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2FE81" w14:textId="238A013D" w:rsidR="008D3601" w:rsidRPr="005D4BA0" w:rsidRDefault="007B76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4BA0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5D4BA0" w:rsidRPr="005D4BA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D4BA0">
        <w:rPr>
          <w:rFonts w:ascii="Times New Roman" w:hAnsi="Times New Roman" w:cs="Times New Roman"/>
          <w:sz w:val="24"/>
          <w:szCs w:val="24"/>
          <w:lang w:val="en-US"/>
        </w:rPr>
        <w:t>: Uni- and multi-variate analysis of factors associated with patient ove</w:t>
      </w:r>
      <w:r w:rsidR="005D4B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D4BA0">
        <w:rPr>
          <w:rFonts w:ascii="Times New Roman" w:hAnsi="Times New Roman" w:cs="Times New Roman"/>
          <w:sz w:val="24"/>
          <w:szCs w:val="24"/>
          <w:lang w:val="en-US"/>
        </w:rPr>
        <w:t>all survival.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47"/>
        <w:gridCol w:w="425"/>
        <w:gridCol w:w="475"/>
        <w:gridCol w:w="804"/>
        <w:gridCol w:w="690"/>
        <w:gridCol w:w="506"/>
        <w:gridCol w:w="863"/>
        <w:gridCol w:w="738"/>
        <w:gridCol w:w="499"/>
        <w:gridCol w:w="851"/>
        <w:gridCol w:w="728"/>
      </w:tblGrid>
      <w:tr w:rsidR="007B76C9" w14:paraId="593201AF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</w:tcBorders>
          </w:tcPr>
          <w:p w14:paraId="76383E7A" w14:textId="77777777" w:rsidR="007B76C9" w:rsidRDefault="007B76C9" w:rsidP="007022EB">
            <w:pPr>
              <w:keepNext/>
              <w:spacing w:after="60"/>
            </w:pPr>
          </w:p>
        </w:tc>
        <w:tc>
          <w:tcPr>
            <w:tcW w:w="0" w:type="auto"/>
            <w:gridSpan w:val="4"/>
            <w:tcBorders>
              <w:top w:val="single" w:sz="16" w:space="0" w:color="D3D3D3"/>
              <w:bottom w:val="single" w:sz="16" w:space="0" w:color="D3D3D3"/>
            </w:tcBorders>
          </w:tcPr>
          <w:p w14:paraId="66C1B83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Univariable</w:t>
            </w:r>
          </w:p>
        </w:tc>
        <w:tc>
          <w:tcPr>
            <w:tcW w:w="0" w:type="auto"/>
            <w:gridSpan w:val="3"/>
            <w:tcBorders>
              <w:top w:val="single" w:sz="16" w:space="0" w:color="D3D3D3"/>
              <w:bottom w:val="single" w:sz="16" w:space="0" w:color="D3D3D3"/>
            </w:tcBorders>
          </w:tcPr>
          <w:p w14:paraId="30C422F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Multivariable trastuzumab</w:t>
            </w:r>
          </w:p>
        </w:tc>
        <w:tc>
          <w:tcPr>
            <w:tcW w:w="0" w:type="auto"/>
            <w:gridSpan w:val="3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6F7E3E89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Multivariable pertuzumab</w:t>
            </w:r>
          </w:p>
        </w:tc>
      </w:tr>
      <w:tr w:rsidR="007B76C9" w14:paraId="6800330A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left w:val="single" w:sz="0" w:space="0" w:color="D3D3D3"/>
              <w:bottom w:val="single" w:sz="16" w:space="0" w:color="D3D3D3"/>
            </w:tcBorders>
          </w:tcPr>
          <w:p w14:paraId="6E777069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Characteristic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7720642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N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30B01240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HR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6DB8FD7C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95% CI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6CE16EE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1F67E99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HR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7078E15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95% CI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686A2CE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4C4AB4C0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HR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6905011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95% CI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  <w:right w:val="single" w:sz="0" w:space="0" w:color="D3D3D3"/>
            </w:tcBorders>
          </w:tcPr>
          <w:p w14:paraId="0008ADC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</w:tr>
      <w:tr w:rsidR="007B76C9" w14:paraId="6B23D9AB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B2EEDB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Histology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82486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184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21B45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10951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33AC1B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5E561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1A42E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85130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38949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AA426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C20417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49FA04B8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6263DD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Invasive ductal carcinoma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9E011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9D514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4332C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FF17F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47305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15D8E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30418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4EF03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62912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68365A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5D15DB0A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93E183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Invasive lobular carcinoma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3F09D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68B61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1DC93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0.51, 2.67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BE67A0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9A5AFE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A16B1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0.32, 1.85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96EAC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BA042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3E0B8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0.36, 2.05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4E3A0E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0.73</w:t>
            </w:r>
          </w:p>
        </w:tc>
      </w:tr>
      <w:tr w:rsidR="007B76C9" w14:paraId="6FC0807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80F210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Other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D32B1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285AE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3367EB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1.15, 3.13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2677B7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0.012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CB7D0C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1.89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91FD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1.15, 3.13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70C7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0.012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C6F6A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1.93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F0EC9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1.17, 3.19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B20040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0.010</w:t>
            </w:r>
          </w:p>
        </w:tc>
      </w:tr>
      <w:tr w:rsidR="007B76C9" w14:paraId="677F7626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0C9684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Systemic disease status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71E9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5D827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63C40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636F5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B27A8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13497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F5109A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8A9F4A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0DAE5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E59B31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5DD7E84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E4775C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Extracranial metastases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C3B8F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9B026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B888E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9E5E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A6C2A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85C5A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FB5FD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99B23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560D3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46DEA2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4E061391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F60C1C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 extracranial metastases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B69B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5429CB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D3F1B7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0.59, 1.37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ECDEB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283BF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9047F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25D08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BCD5C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62293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D49287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2509F53B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29894D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KPS at SRS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8530D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AF176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216A7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FF0D5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B054F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B9748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B9551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01FD3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5D071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E50553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41AB6CD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119521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60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92CB6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924C5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88881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D9C14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D9BD3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3C54F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95A40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C3C31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203C1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AD5BE7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74610F9B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7AFEE5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70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91770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90073B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724B69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0.29, 2.41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C3C0FB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CF1BC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6861E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819E6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A5F4E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B16A4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472B9D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19BCE9BC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A0AAF7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80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CB90B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7C4F5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FBBA27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0.24, 1.88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21616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A19FC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7B717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BC590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AFBB2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ACAD8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8ACBE5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1F33BB48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5F8718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CE8D9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ACD0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3819A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0.16, 1.30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3BDCA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8DB29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09FBB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0B5F2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4EE8D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7290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FD5F08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5B62CEA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A478EC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100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BFBF5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B4824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AB4C0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0.21, 1.89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902579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A5BA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9A5D6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FDDC1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F0FD2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2C8DD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49843B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337F75A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9DF8C9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Age at SRS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5E325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BE7FE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3EDA7B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1.00, 1.03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504E5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0.030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D944A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2BA29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09789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63E46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3D985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09E413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00C82C1B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D1962F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GPA score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7B4EFB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91DF1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27F1B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6FA45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FF4D7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4B446A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8C783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ECAA6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52E64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58DAA2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07419E4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50C494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1.5-2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92212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0ED42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ED015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58644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0B732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4D489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E726F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CDD41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4DC5A7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A46EF5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133357E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6295A9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2.5-3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145C4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23AD6E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C15F4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0.32, 0.86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710CA0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0.010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FE03D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E5D49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0.31, 0.90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18EF3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0.020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9D9C00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765404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0.34, 0.97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81D0C7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0.038</w:t>
            </w:r>
          </w:p>
        </w:tc>
      </w:tr>
      <w:tr w:rsidR="007B76C9" w14:paraId="56BAA1E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BFB612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3.5-4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B8AE2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FCD67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BB9E9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0.21, 0.70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BF01A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0.002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AE7F5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57FE20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0.20, 0.75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BD037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39DC84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CDA55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0.19, 0.72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4C0DCF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0.003</w:t>
            </w:r>
          </w:p>
        </w:tc>
      </w:tr>
      <w:tr w:rsidR="007B76C9" w14:paraId="0A1E3B18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E2F83C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trastuzumab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59E84B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315E8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05819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488DE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79159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3EE61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0D500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C3F05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E709C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6DD8AD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74DD717F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CDBDD1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F7DA5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7EEB4D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15EAAC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D8B28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44FFF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1C7F4B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4C550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68011B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FF4ECA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7E5706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065C24BE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57F9B0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12CC2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2EA75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D6B72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0.42, 0.92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3C56DE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0.018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DD2904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7B31EE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0.45, 1.04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37492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0.072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FD8DB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339D8B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2FD070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1440CC2F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FA4E83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pertuzumab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A2C7FC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DF0AE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B3140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13C93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1A8B0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53B1A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D2488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35311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AA301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03437D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35816F3B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E5DC47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4041EB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2DC21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7ADD04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7DD04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ACD86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F6339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25273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5DD48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AF0254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F92EB4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1A6AE021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94FAFB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6D532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1B4B64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2827D3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0.26, 0.89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8CA41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0.020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7FE96A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2A3FE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E35EA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B4358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75EFE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0.27, 0.94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160C9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0.032</w:t>
            </w:r>
          </w:p>
        </w:tc>
      </w:tr>
      <w:tr w:rsidR="007B76C9" w14:paraId="12BC0440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25150D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lapatinib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A55D00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EDBB9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41791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CFA29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9DC4B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90612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EB98E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5625F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FC6B2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A75D88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57A3866E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FBB68F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97655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1788D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E91F2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5C275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DA26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2BF79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C5980B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66CF7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30D5D4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87ED32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34FF04D1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692020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02304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023C8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1.48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D7E34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0.89, 2.47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35E58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B3D06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4FB1A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5F152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BB701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C7933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67B106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2D50CFA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68889D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emtasine trastuzumab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4DBBD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2BE18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78ABC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62A4B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550B5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A1F2A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E70B3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A73F29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2EE87A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996F55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2DBA1897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3AB686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lastRenderedPageBreak/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78F46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4485A2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C76181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F480E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02259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69D00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5D734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1C5E7B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617FE8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74BE6D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7475216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4E2D26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26F1E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1B28B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F61A2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0.43, 2.56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55EE9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AEAE9C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6D606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181F1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6CAC3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186A9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BCFE50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5838AF5C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F13D4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Concurrented targeted therapy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F89AD6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58D00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31263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93A9A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E042D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6FE2A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5615C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8D49BB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5262BF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A33517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433942F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AC4DDE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33F147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BBEA0A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0E52C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8A91A2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01B89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123571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9914AE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BB2EE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023526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BDAA40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72F0A873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CB2FB0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F135A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A307EE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73EFE8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0.58, 1.16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764D5" w14:textId="77777777" w:rsidR="007B76C9" w:rsidRDefault="007B76C9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74192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F56B25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1C47F3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01297D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A19620" w14:textId="77777777" w:rsidR="007B76C9" w:rsidRDefault="007B76C9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090AD1" w14:textId="77777777" w:rsidR="007B76C9" w:rsidRDefault="007B76C9" w:rsidP="007022EB">
            <w:pPr>
              <w:keepNext/>
              <w:spacing w:after="60"/>
              <w:jc w:val="center"/>
            </w:pPr>
          </w:p>
        </w:tc>
      </w:tr>
      <w:tr w:rsidR="007B76C9" w14:paraId="3111D237" w14:textId="77777777" w:rsidTr="007022EB">
        <w:trPr>
          <w:cantSplit/>
          <w:jc w:val="center"/>
        </w:trPr>
        <w:tc>
          <w:tcPr>
            <w:tcW w:w="0" w:type="auto"/>
            <w:gridSpan w:val="11"/>
          </w:tcPr>
          <w:p w14:paraId="157B2A48" w14:textId="77777777" w:rsidR="007B76C9" w:rsidRDefault="007B76C9" w:rsidP="007022EB">
            <w:pPr>
              <w:keepNext/>
              <w:spacing w:after="60"/>
            </w:pP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  <w:r>
              <w:rPr>
                <w:rFonts w:ascii="Calibri" w:hAnsi="Calibri"/>
                <w:sz w:val="20"/>
              </w:rPr>
              <w:t>HR = Hazard Ratio, CI = Confidence Interval</w:t>
            </w:r>
          </w:p>
        </w:tc>
      </w:tr>
    </w:tbl>
    <w:p w14:paraId="13BA5B74" w14:textId="77777777" w:rsidR="007B76C9" w:rsidRDefault="007B76C9" w:rsidP="007B76C9">
      <w:pPr>
        <w:pStyle w:val="FirstParagraph"/>
      </w:pPr>
    </w:p>
    <w:p w14:paraId="60960485" w14:textId="77777777" w:rsidR="007B76C9" w:rsidRPr="007B76C9" w:rsidRDefault="007B76C9">
      <w:pPr>
        <w:rPr>
          <w:lang w:val="en-US"/>
        </w:rPr>
      </w:pPr>
    </w:p>
    <w:sectPr w:rsidR="007B76C9" w:rsidRPr="007B7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C9"/>
    <w:rsid w:val="00101D09"/>
    <w:rsid w:val="001F6069"/>
    <w:rsid w:val="002359FC"/>
    <w:rsid w:val="00535629"/>
    <w:rsid w:val="005D4BA0"/>
    <w:rsid w:val="007B76C9"/>
    <w:rsid w:val="00847F1A"/>
    <w:rsid w:val="008D3601"/>
    <w:rsid w:val="00961F78"/>
    <w:rsid w:val="00C82F91"/>
    <w:rsid w:val="00D35EE2"/>
    <w:rsid w:val="00DA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74604"/>
  <w15:chartTrackingRefBased/>
  <w15:docId w15:val="{C7AAE33E-6E31-4E9E-AB2A-41124C93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6C9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7B76C9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table" w:customStyle="1" w:styleId="Table">
    <w:name w:val="Table"/>
    <w:semiHidden/>
    <w:unhideWhenUsed/>
    <w:qFormat/>
    <w:rsid w:val="007B76C9"/>
    <w:pPr>
      <w:spacing w:after="200" w:line="240" w:lineRule="auto"/>
    </w:pPr>
    <w:rPr>
      <w:kern w:val="0"/>
      <w:sz w:val="24"/>
      <w:szCs w:val="24"/>
      <w:lang w:val="en-US" w:eastAsia="en-CY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7B76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 pikis</dc:creator>
  <cp:keywords/>
  <dc:description/>
  <cp:lastModifiedBy>stelios pikis</cp:lastModifiedBy>
  <cp:revision>2</cp:revision>
  <dcterms:created xsi:type="dcterms:W3CDTF">2024-05-01T09:07:00Z</dcterms:created>
  <dcterms:modified xsi:type="dcterms:W3CDTF">2024-05-26T16:42:00Z</dcterms:modified>
</cp:coreProperties>
</file>