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9A8B" w14:textId="13696BAD" w:rsidR="00860061" w:rsidRDefault="00963980" w:rsidP="00963980">
      <w:pPr>
        <w:pStyle w:val="Heading1"/>
        <w:numPr>
          <w:ilvl w:val="0"/>
          <w:numId w:val="0"/>
        </w:numPr>
      </w:pPr>
      <w:r>
        <w:t xml:space="preserve">Supplementary </w:t>
      </w:r>
      <w:r w:rsidR="00B17742">
        <w:t>Text</w:t>
      </w:r>
    </w:p>
    <w:p w14:paraId="66D6A9D3" w14:textId="01E4094D" w:rsidR="000602CF" w:rsidRPr="00B17742" w:rsidRDefault="00B17742" w:rsidP="00B17742">
      <w:pPr>
        <w:pStyle w:val="Heading2"/>
        <w:numPr>
          <w:ilvl w:val="0"/>
          <w:numId w:val="0"/>
        </w:numPr>
      </w:pPr>
      <w:r w:rsidRPr="00B17742">
        <w:t>Protein System Network</w:t>
      </w:r>
    </w:p>
    <w:p w14:paraId="0DF04A33" w14:textId="1CA7F9AB" w:rsidR="00B17742" w:rsidRDefault="00B17742" w:rsidP="00B17742">
      <w:r>
        <w:t>The 6-layer BC protein system network (</w:t>
      </w:r>
      <w:r w:rsidRPr="00B17742">
        <w:rPr>
          <w:b/>
          <w:bCs/>
        </w:rPr>
        <w:t>Data S1</w:t>
      </w:r>
      <w:r>
        <w:t xml:space="preserve">) generated by the MPGNN-HiLander model contained a gene column, followed by five additional columns which map to nodes in various levels of the hierarchical tree. The root level, “level 0”, is omitted from the data as only one root node exists. Downwards traversal of the tree is followed by an increase in level number (i.e. Level 0 </w:t>
      </w:r>
      <w:r w:rsidRPr="00B17742">
        <w:t xml:space="preserve">→ </w:t>
      </w:r>
      <w:r>
        <w:t xml:space="preserve">Level 1 </w:t>
      </w:r>
      <w:r w:rsidRPr="00B17742">
        <w:t>→</w:t>
      </w:r>
      <w:r>
        <w:t xml:space="preserve"> … </w:t>
      </w:r>
      <w:r w:rsidRPr="00B17742">
        <w:t>→</w:t>
      </w:r>
      <w:r>
        <w:t xml:space="preserve"> Level N). Each layer contains clusters of protein systems indicated by a cluster number from zero (0) ascending. HOST system IDs were </w:t>
      </w:r>
      <w:r w:rsidR="003F13DA">
        <w:t>numbered in ascending order of the six levels, continuing the numbering of the previous level.</w:t>
      </w:r>
    </w:p>
    <w:p w14:paraId="6DBB9CFA" w14:textId="6DE53D10" w:rsidR="00C356C1" w:rsidRPr="00C356C1" w:rsidRDefault="00C356C1" w:rsidP="00C356C1">
      <w:pPr>
        <w:pStyle w:val="Heading2"/>
        <w:numPr>
          <w:ilvl w:val="0"/>
          <w:numId w:val="0"/>
        </w:numPr>
      </w:pPr>
      <w:r w:rsidRPr="00C356C1">
        <w:t>GNN Performance Metrics</w:t>
      </w:r>
    </w:p>
    <w:p w14:paraId="3F90A3A6" w14:textId="30690782" w:rsidR="00C356C1" w:rsidRDefault="00C356C1" w:rsidP="007F266F">
      <w:r>
        <w:t>Pairwise F-score (</w:t>
      </w:r>
      <w:proofErr w:type="spellStart"/>
      <w:r>
        <w:t>Fp</w:t>
      </w:r>
      <w:proofErr w:type="spellEnd"/>
      <w:r>
        <w:t>) was used to measure predictive performance using precision and recall of the results.</w:t>
      </w:r>
      <w:r w:rsidR="009551F2">
        <w:t xml:space="preserve"> </w:t>
      </w:r>
      <w:proofErr w:type="spellStart"/>
      <w:r w:rsidR="009551F2">
        <w:t>Fp</w:t>
      </w:r>
      <w:proofErr w:type="spellEnd"/>
      <w:r w:rsidR="009551F2">
        <w:t xml:space="preserve"> is calculated using the following equations, </w:t>
      </w:r>
      <w:r w:rsidR="009551F2">
        <w:rPr>
          <w:rFonts w:eastAsiaTheme="minorEastAsia"/>
        </w:rPr>
        <w:t xml:space="preserve">where </w:t>
      </w:r>
      <w:bookmarkStart w:id="0" w:name="_Hlk163170612"/>
      <m:oMath>
        <m:r>
          <w:rPr>
            <w:rFonts w:ascii="Cambria Math" w:eastAsiaTheme="minorEastAsia" w:hAnsi="Cambria Math"/>
          </w:rPr>
          <m:t>T</m:t>
        </m:r>
      </m:oMath>
      <w:bookmarkEnd w:id="0"/>
      <w:r w:rsidR="008A3CA1">
        <w:rPr>
          <w:rFonts w:eastAsiaTheme="minorEastAsia"/>
        </w:rPr>
        <w:t xml:space="preserve"> represents truth cluster</w:t>
      </w:r>
      <w:r w:rsidR="006238E0">
        <w:rPr>
          <w:rFonts w:eastAsiaTheme="minorEastAsia"/>
        </w:rPr>
        <w:t xml:space="preserve">, </w:t>
      </w:r>
      <m:oMath>
        <m:r>
          <w:rPr>
            <w:rFonts w:ascii="Cambria Math" w:eastAsiaTheme="minorEastAsia" w:hAnsi="Cambria Math"/>
          </w:rPr>
          <m:t>P</m:t>
        </m:r>
      </m:oMath>
      <w:r w:rsidR="008A3CA1">
        <w:rPr>
          <w:rFonts w:eastAsiaTheme="minorEastAsia"/>
        </w:rPr>
        <w:t xml:space="preserve"> represents predicted cluster</w:t>
      </w:r>
      <w:r w:rsidR="006238E0">
        <w:rPr>
          <w:rFonts w:eastAsiaTheme="minorEastAsia"/>
        </w:rPr>
        <w:t xml:space="preserve">, and </w:t>
      </w:r>
      <m:oMath>
        <m:r>
          <w:rPr>
            <w:rFonts w:ascii="Cambria Math" w:eastAsiaTheme="minorEastAsia" w:hAnsi="Cambria Math"/>
          </w:rPr>
          <m:t>pairs(…)</m:t>
        </m:r>
      </m:oMath>
      <w:r w:rsidR="006238E0">
        <w:rPr>
          <w:rFonts w:eastAsiaTheme="minorEastAsia"/>
        </w:rPr>
        <w:t xml:space="preserve"> represents </w:t>
      </w:r>
      <w:r w:rsidR="00D67B55">
        <w:rPr>
          <w:rFonts w:eastAsiaTheme="minorEastAsia"/>
        </w:rPr>
        <w:t>instance pairs</w:t>
      </w:r>
      <w:r w:rsidR="003B1390">
        <w:rPr>
          <w:rFonts w:eastAsiaTheme="minorEastAsia"/>
        </w:rPr>
        <w:t xml:space="preserve"> generated from the same cluster</w:t>
      </w:r>
      <w:r w:rsidR="009551F2">
        <w:rPr>
          <w:rFonts w:eastAsiaTheme="minorEastAsia"/>
        </w:rPr>
        <w:t>.</w:t>
      </w:r>
    </w:p>
    <w:p w14:paraId="651E5CEE" w14:textId="5B707842" w:rsidR="00BA477C" w:rsidRPr="00502FE8" w:rsidRDefault="00502FE8" w:rsidP="00502FE8">
      <w:pPr>
        <w:pStyle w:val="Caption"/>
        <w:keepNext/>
      </w:pPr>
      <w:r>
        <w:t xml:space="preserve">Equation </w:t>
      </w:r>
      <w:r>
        <w:fldChar w:fldCharType="begin"/>
      </w:r>
      <w:r>
        <w:instrText xml:space="preserve"> SEQ Equation \* ARABIC </w:instrText>
      </w:r>
      <w:r>
        <w:fldChar w:fldCharType="separate"/>
      </w:r>
      <w:r w:rsidR="00E828FF">
        <w:rPr>
          <w:noProof/>
        </w:rPr>
        <w:t>1</w:t>
      </w:r>
      <w:r>
        <w:fldChar w:fldCharType="end"/>
      </w:r>
    </w:p>
    <w:p w14:paraId="7D62F203" w14:textId="37E8AB7C" w:rsidR="00BA477C" w:rsidRPr="00BA477C" w:rsidRDefault="003B769C">
      <w:pPr>
        <w:spacing w:line="278" w:lineRule="auto"/>
        <w:rPr>
          <w:rFonts w:eastAsiaTheme="minorEastAsia"/>
        </w:rPr>
      </w:pPr>
      <m:oMathPara>
        <m:oMath>
          <m:r>
            <w:rPr>
              <w:rFonts w:ascii="Cambria Math" w:eastAsiaTheme="minorEastAsia" w:hAnsi="Cambria Math"/>
            </w:rPr>
            <m:t>pR=</m:t>
          </m:r>
          <m:f>
            <m:fPr>
              <m:ctrlPr>
                <w:rPr>
                  <w:rFonts w:ascii="Cambria Math" w:eastAsiaTheme="minorEastAsia" w:hAnsi="Cambria Math"/>
                  <w:i/>
                </w:rPr>
              </m:ctrlPr>
            </m:fPr>
            <m:num>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P</m:t>
                  </m:r>
                </m:e>
              </m:d>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num>
            <m:den>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en>
          </m:f>
        </m:oMath>
      </m:oMathPara>
    </w:p>
    <w:p w14:paraId="6FD8613E" w14:textId="43BA70AA" w:rsidR="00BA477C" w:rsidRDefault="00502FE8" w:rsidP="00502FE8">
      <w:pPr>
        <w:pStyle w:val="Caption"/>
        <w:rPr>
          <w:rFonts w:eastAsiaTheme="minorEastAsia"/>
        </w:rPr>
      </w:pPr>
      <w:r>
        <w:t xml:space="preserve">Equation </w:t>
      </w:r>
      <w:r>
        <w:fldChar w:fldCharType="begin"/>
      </w:r>
      <w:r>
        <w:instrText xml:space="preserve"> SEQ Equation \* ARABIC </w:instrText>
      </w:r>
      <w:r>
        <w:fldChar w:fldCharType="separate"/>
      </w:r>
      <w:r w:rsidR="00E828FF">
        <w:rPr>
          <w:noProof/>
        </w:rPr>
        <w:t>2</w:t>
      </w:r>
      <w:r>
        <w:fldChar w:fldCharType="end"/>
      </w:r>
    </w:p>
    <w:p w14:paraId="28D84BCE" w14:textId="260D7AFD" w:rsidR="00BA477C" w:rsidRPr="00E00D34" w:rsidRDefault="003B769C">
      <w:pPr>
        <w:spacing w:line="278" w:lineRule="auto"/>
        <w:rPr>
          <w:rFonts w:eastAsiaTheme="minorEastAsia"/>
        </w:rPr>
      </w:pPr>
      <m:oMathPara>
        <m:oMath>
          <m:r>
            <w:rPr>
              <w:rFonts w:ascii="Cambria Math" w:eastAsiaTheme="minorEastAsia" w:hAnsi="Cambria Math"/>
            </w:rPr>
            <m:t>pP=</m:t>
          </m:r>
          <m:f>
            <m:fPr>
              <m:ctrlPr>
                <w:rPr>
                  <w:rFonts w:ascii="Cambria Math" w:eastAsiaTheme="minorEastAsia" w:hAnsi="Cambria Math"/>
                  <w:i/>
                </w:rPr>
              </m:ctrlPr>
            </m:fPr>
            <m:num>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P</m:t>
                  </m:r>
                </m:e>
              </m:d>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num>
            <m:den>
              <m:r>
                <w:rPr>
                  <w:rFonts w:ascii="Cambria Math" w:eastAsiaTheme="minorEastAsia" w:hAnsi="Cambria Math"/>
                </w:rPr>
                <m:t>|pairs</m:t>
              </m:r>
              <m:d>
                <m:dPr>
                  <m:ctrlPr>
                    <w:rPr>
                      <w:rFonts w:ascii="Cambria Math" w:eastAsiaTheme="minorEastAsia" w:hAnsi="Cambria Math"/>
                      <w:i/>
                    </w:rPr>
                  </m:ctrlPr>
                </m:dPr>
                <m:e>
                  <m:r>
                    <w:rPr>
                      <w:rFonts w:ascii="Cambria Math" w:eastAsiaTheme="minorEastAsia" w:hAnsi="Cambria Math"/>
                    </w:rPr>
                    <m:t>P</m:t>
                  </m:r>
                </m:e>
              </m:d>
              <m:r>
                <w:rPr>
                  <w:rFonts w:ascii="Cambria Math" w:eastAsiaTheme="minorEastAsia" w:hAnsi="Cambria Math"/>
                </w:rPr>
                <m:t>|</m:t>
              </m:r>
            </m:den>
          </m:f>
        </m:oMath>
      </m:oMathPara>
    </w:p>
    <w:p w14:paraId="75F20693" w14:textId="6E06599F" w:rsidR="00E00D34" w:rsidRDefault="00E00D34" w:rsidP="00E00D34">
      <w:pPr>
        <w:pStyle w:val="Caption"/>
      </w:pPr>
      <w:r>
        <w:t xml:space="preserve">Equation </w:t>
      </w:r>
      <w:r>
        <w:fldChar w:fldCharType="begin"/>
      </w:r>
      <w:r>
        <w:instrText xml:space="preserve"> SEQ Equation \* ARABIC </w:instrText>
      </w:r>
      <w:r>
        <w:fldChar w:fldCharType="separate"/>
      </w:r>
      <w:r w:rsidR="00E828FF">
        <w:rPr>
          <w:noProof/>
        </w:rPr>
        <w:t>3</w:t>
      </w:r>
      <w:r>
        <w:fldChar w:fldCharType="end"/>
      </w:r>
    </w:p>
    <w:p w14:paraId="60F33B73" w14:textId="37992355" w:rsidR="00E00D34" w:rsidRPr="00BA477C" w:rsidRDefault="00E00D34" w:rsidP="00E00D34">
      <w:pPr>
        <w:spacing w:line="278" w:lineRule="auto"/>
        <w:rPr>
          <w:rFonts w:eastAsiaTheme="minorEastAsia"/>
        </w:rPr>
      </w:pPr>
      <m:oMathPara>
        <m:oMath>
          <m:r>
            <w:rPr>
              <w:rFonts w:ascii="Cambria Math" w:hAnsi="Cambria Math"/>
            </w:rPr>
            <w:lastRenderedPageBreak/>
            <m:t>Fp=</m:t>
          </m:r>
          <m:f>
            <m:fPr>
              <m:ctrlPr>
                <w:rPr>
                  <w:rFonts w:ascii="Cambria Math" w:hAnsi="Cambria Math"/>
                  <w:i/>
                </w:rPr>
              </m:ctrlPr>
            </m:fPr>
            <m:num>
              <m:r>
                <w:rPr>
                  <w:rFonts w:ascii="Cambria Math" w:hAnsi="Cambria Math"/>
                </w:rPr>
                <m:t>2×pR×pP</m:t>
              </m:r>
            </m:num>
            <m:den>
              <m:r>
                <w:rPr>
                  <w:rFonts w:ascii="Cambria Math" w:hAnsi="Cambria Math"/>
                </w:rPr>
                <m:t>pR+pP</m:t>
              </m:r>
            </m:den>
          </m:f>
        </m:oMath>
      </m:oMathPara>
    </w:p>
    <w:p w14:paraId="7A890782" w14:textId="77777777" w:rsidR="00E00D34" w:rsidRPr="00171AFC" w:rsidRDefault="00E00D34">
      <w:pPr>
        <w:spacing w:line="278" w:lineRule="auto"/>
        <w:rPr>
          <w:rFonts w:eastAsiaTheme="minorEastAsia"/>
        </w:rPr>
      </w:pPr>
    </w:p>
    <w:p w14:paraId="38C6C4FD" w14:textId="770422EC" w:rsidR="00995048" w:rsidRDefault="00995048" w:rsidP="007F266F">
      <w:pPr>
        <w:rPr>
          <w:rFonts w:eastAsiaTheme="minorEastAsia"/>
        </w:rPr>
      </w:pPr>
      <w:r>
        <w:t xml:space="preserve">B-Cubed F-score </w:t>
      </w:r>
      <w:r w:rsidR="00E768D2">
        <w:t xml:space="preserve">(Fb) </w:t>
      </w:r>
      <w:r w:rsidR="00F01866">
        <w:t xml:space="preserve">is another variant of F-score </w:t>
      </w:r>
      <w:r w:rsidR="0042641A">
        <w:t xml:space="preserve">to measure predictive performance using precision and recall of the results. Fb is calculated using the following equations, </w:t>
      </w:r>
      <w:r w:rsidR="00481CBC">
        <w:rPr>
          <w:rFonts w:eastAsiaTheme="minorEastAsia"/>
        </w:rPr>
        <w:t xml:space="preserve">where </w:t>
      </w:r>
      <m:oMath>
        <m:r>
          <w:rPr>
            <w:rFonts w:ascii="Cambria Math" w:eastAsiaTheme="minorEastAsia" w:hAnsi="Cambria Math"/>
          </w:rPr>
          <m:t>t</m:t>
        </m:r>
      </m:oMath>
      <w:r w:rsidR="00481CBC">
        <w:rPr>
          <w:rFonts w:eastAsiaTheme="minorEastAsia"/>
        </w:rPr>
        <w:t xml:space="preserve"> </w:t>
      </w:r>
      <w:r w:rsidR="00512E1B">
        <w:rPr>
          <w:rFonts w:eastAsiaTheme="minorEastAsia"/>
        </w:rPr>
        <w:t>represents a specific instance in the truth cluster</w:t>
      </w:r>
      <w:r w:rsidR="00481CBC">
        <w:rPr>
          <w:rFonts w:eastAsiaTheme="minorEastAsia"/>
        </w:rPr>
        <w:t xml:space="preserve">, </w:t>
      </w:r>
      <m:oMath>
        <m:r>
          <w:rPr>
            <w:rFonts w:ascii="Cambria Math" w:eastAsiaTheme="minorEastAsia" w:hAnsi="Cambria Math"/>
          </w:rPr>
          <m:t>T(t)</m:t>
        </m:r>
      </m:oMath>
      <w:r w:rsidR="0079796C">
        <w:rPr>
          <w:rFonts w:eastAsiaTheme="minorEastAsia"/>
        </w:rPr>
        <w:t xml:space="preserve"> represents </w:t>
      </w:r>
      <w:r w:rsidR="003B769C">
        <w:rPr>
          <w:rFonts w:eastAsiaTheme="minorEastAsia"/>
        </w:rPr>
        <w:t>a</w:t>
      </w:r>
      <w:r w:rsidR="0079796C">
        <w:rPr>
          <w:rFonts w:eastAsiaTheme="minorEastAsia"/>
        </w:rPr>
        <w:t xml:space="preserve"> truth cluster</w:t>
      </w:r>
      <w:r w:rsidR="003B769C">
        <w:rPr>
          <w:rFonts w:eastAsiaTheme="minorEastAsia"/>
        </w:rPr>
        <w:t xml:space="preserve"> with same instance </w:t>
      </w:r>
      <m:oMath>
        <m:r>
          <w:rPr>
            <w:rFonts w:ascii="Cambria Math" w:eastAsiaTheme="minorEastAsia" w:hAnsi="Cambria Math"/>
          </w:rPr>
          <m:t>t</m:t>
        </m:r>
      </m:oMath>
      <w:r w:rsidR="0079796C">
        <w:rPr>
          <w:rFonts w:eastAsiaTheme="minorEastAsia"/>
        </w:rPr>
        <w:t xml:space="preserve">, </w:t>
      </w:r>
      <w:r w:rsidR="00481CBC">
        <w:rPr>
          <w:rFonts w:eastAsiaTheme="minorEastAsia"/>
        </w:rPr>
        <w:t xml:space="preserve">and </w:t>
      </w:r>
      <m:oMath>
        <m:r>
          <w:rPr>
            <w:rFonts w:ascii="Cambria Math" w:eastAsiaTheme="minorEastAsia" w:hAnsi="Cambria Math"/>
          </w:rPr>
          <m:t>P(t)</m:t>
        </m:r>
      </m:oMath>
      <w:r w:rsidR="00481CBC">
        <w:rPr>
          <w:rFonts w:eastAsiaTheme="minorEastAsia"/>
        </w:rPr>
        <w:t xml:space="preserve"> represents a predicted cluster </w:t>
      </w:r>
      <w:r w:rsidR="00996D53">
        <w:rPr>
          <w:rFonts w:eastAsiaTheme="minorEastAsia"/>
        </w:rPr>
        <w:t xml:space="preserve">with same instance </w:t>
      </w:r>
      <m:oMath>
        <m:r>
          <w:rPr>
            <w:rFonts w:ascii="Cambria Math" w:eastAsiaTheme="minorEastAsia" w:hAnsi="Cambria Math"/>
          </w:rPr>
          <m:t>t</m:t>
        </m:r>
      </m:oMath>
      <w:r w:rsidR="00481CBC">
        <w:rPr>
          <w:rFonts w:eastAsiaTheme="minorEastAsia"/>
        </w:rPr>
        <w:t>.</w:t>
      </w:r>
    </w:p>
    <w:p w14:paraId="2D04A726" w14:textId="3F84D57E" w:rsidR="00996D53" w:rsidRPr="00502FE8" w:rsidRDefault="00996D53" w:rsidP="00996D53">
      <w:pPr>
        <w:pStyle w:val="Caption"/>
      </w:pPr>
      <w:r>
        <w:t xml:space="preserve">Equation </w:t>
      </w:r>
      <w:r>
        <w:fldChar w:fldCharType="begin"/>
      </w:r>
      <w:r>
        <w:instrText xml:space="preserve"> SEQ Equation \* ARABIC </w:instrText>
      </w:r>
      <w:r>
        <w:fldChar w:fldCharType="separate"/>
      </w:r>
      <w:r w:rsidR="00E828FF">
        <w:rPr>
          <w:noProof/>
        </w:rPr>
        <w:t>4</w:t>
      </w:r>
      <w:r>
        <w:fldChar w:fldCharType="end"/>
      </w:r>
    </w:p>
    <w:p w14:paraId="268D2D94" w14:textId="0014CE37" w:rsidR="00996D53" w:rsidRPr="00BA477C" w:rsidRDefault="00996D53" w:rsidP="00996D53">
      <w:pPr>
        <w:spacing w:line="278" w:lineRule="auto"/>
        <w:rPr>
          <w:rFonts w:eastAsiaTheme="minorEastAsia"/>
        </w:rPr>
      </w:pPr>
      <m:oMathPara>
        <m:oMath>
          <m:r>
            <w:rPr>
              <w:rFonts w:ascii="Cambria Math" w:eastAsiaTheme="minorEastAsia" w:hAnsi="Cambria Math"/>
            </w:rPr>
            <m:t>bR=</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nary>
            <m:naryPr>
              <m:chr m:val="∑"/>
              <m:limLoc m:val="undOvr"/>
              <m:supHide m:val="1"/>
              <m:ctrlPr>
                <w:rPr>
                  <w:rFonts w:ascii="Cambria Math" w:eastAsiaTheme="minorEastAsia" w:hAnsi="Cambria Math"/>
                  <w:i/>
                </w:rPr>
              </m:ctrlPr>
            </m:naryPr>
            <m:sub>
              <m:r>
                <w:rPr>
                  <w:rFonts w:ascii="Cambria Math" w:eastAsiaTheme="minorEastAsia" w:hAnsi="Cambria Math"/>
                </w:rPr>
                <m:t>t∈T</m:t>
              </m:r>
            </m:sub>
            <m:sup/>
            <m:e>
              <m:f>
                <m:fPr>
                  <m:ctrlPr>
                    <w:rPr>
                      <w:rFonts w:ascii="Cambria Math" w:eastAsiaTheme="minorEastAsia" w:hAnsi="Cambria Math"/>
                      <w:i/>
                    </w:rPr>
                  </m:ctrlPr>
                </m:fPr>
                <m:num>
                  <m:r>
                    <w:rPr>
                      <w:rFonts w:ascii="Cambria Math" w:eastAsiaTheme="minorEastAsia" w:hAnsi="Cambria Math"/>
                    </w:rPr>
                    <m:t>|P(t)∩T(t)|</m:t>
                  </m:r>
                </m:num>
                <m:den>
                  <m:r>
                    <w:rPr>
                      <w:rFonts w:ascii="Cambria Math" w:eastAsiaTheme="minorEastAsia" w:hAnsi="Cambria Math"/>
                    </w:rPr>
                    <m:t>|T</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en>
              </m:f>
            </m:e>
          </m:nary>
        </m:oMath>
      </m:oMathPara>
    </w:p>
    <w:p w14:paraId="111A5944" w14:textId="4E7CA5BF" w:rsidR="00996D53" w:rsidRDefault="00996D53" w:rsidP="00996D53">
      <w:pPr>
        <w:pStyle w:val="Caption"/>
        <w:rPr>
          <w:rFonts w:eastAsiaTheme="minorEastAsia"/>
        </w:rPr>
      </w:pPr>
      <w:r>
        <w:t xml:space="preserve">Equation </w:t>
      </w:r>
      <w:r>
        <w:fldChar w:fldCharType="begin"/>
      </w:r>
      <w:r>
        <w:instrText xml:space="preserve"> SEQ Equation \* ARABIC </w:instrText>
      </w:r>
      <w:r>
        <w:fldChar w:fldCharType="separate"/>
      </w:r>
      <w:r w:rsidR="00E828FF">
        <w:rPr>
          <w:noProof/>
        </w:rPr>
        <w:t>5</w:t>
      </w:r>
      <w:r>
        <w:fldChar w:fldCharType="end"/>
      </w:r>
    </w:p>
    <w:p w14:paraId="7CC542ED" w14:textId="30DF647D" w:rsidR="006E493A" w:rsidRPr="00BA477C" w:rsidRDefault="006E493A" w:rsidP="006E493A">
      <w:pPr>
        <w:spacing w:line="278" w:lineRule="auto"/>
        <w:rPr>
          <w:rFonts w:eastAsiaTheme="minorEastAsia"/>
        </w:rPr>
      </w:pPr>
      <m:oMathPara>
        <m:oMath>
          <m:r>
            <w:rPr>
              <w:rFonts w:ascii="Cambria Math" w:eastAsiaTheme="minorEastAsia" w:hAnsi="Cambria Math"/>
            </w:rPr>
            <m:t>bP=</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nary>
            <m:naryPr>
              <m:chr m:val="∑"/>
              <m:limLoc m:val="undOvr"/>
              <m:supHide m:val="1"/>
              <m:ctrlPr>
                <w:rPr>
                  <w:rFonts w:ascii="Cambria Math" w:eastAsiaTheme="minorEastAsia" w:hAnsi="Cambria Math"/>
                  <w:i/>
                </w:rPr>
              </m:ctrlPr>
            </m:naryPr>
            <m:sub>
              <m:r>
                <w:rPr>
                  <w:rFonts w:ascii="Cambria Math" w:eastAsiaTheme="minorEastAsia" w:hAnsi="Cambria Math"/>
                </w:rPr>
                <m:t>t∈T</m:t>
              </m:r>
            </m:sub>
            <m:sup/>
            <m:e>
              <m:f>
                <m:fPr>
                  <m:ctrlPr>
                    <w:rPr>
                      <w:rFonts w:ascii="Cambria Math" w:eastAsiaTheme="minorEastAsia" w:hAnsi="Cambria Math"/>
                      <w:i/>
                    </w:rPr>
                  </m:ctrlPr>
                </m:fPr>
                <m:num>
                  <m:r>
                    <w:rPr>
                      <w:rFonts w:ascii="Cambria Math" w:eastAsiaTheme="minorEastAsia" w:hAnsi="Cambria Math"/>
                    </w:rPr>
                    <m:t>|P(t)∩T(t)|</m:t>
                  </m:r>
                </m:num>
                <m:den>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en>
              </m:f>
            </m:e>
          </m:nary>
        </m:oMath>
      </m:oMathPara>
    </w:p>
    <w:p w14:paraId="208D4C4A" w14:textId="1EC9D4FC" w:rsidR="00996D53" w:rsidRDefault="00996D53" w:rsidP="00996D53">
      <w:pPr>
        <w:pStyle w:val="Caption"/>
      </w:pPr>
      <w:r>
        <w:t xml:space="preserve">Equation </w:t>
      </w:r>
      <w:r>
        <w:fldChar w:fldCharType="begin"/>
      </w:r>
      <w:r>
        <w:instrText xml:space="preserve"> SEQ Equation \* ARABIC </w:instrText>
      </w:r>
      <w:r>
        <w:fldChar w:fldCharType="separate"/>
      </w:r>
      <w:r w:rsidR="00E828FF">
        <w:rPr>
          <w:noProof/>
        </w:rPr>
        <w:t>6</w:t>
      </w:r>
      <w:r>
        <w:fldChar w:fldCharType="end"/>
      </w:r>
    </w:p>
    <w:p w14:paraId="67B482C1" w14:textId="1EDE9121" w:rsidR="00996D53" w:rsidRPr="00BA477C" w:rsidRDefault="00996D53" w:rsidP="00996D53">
      <w:pPr>
        <w:spacing w:line="278" w:lineRule="auto"/>
        <w:rPr>
          <w:rFonts w:eastAsiaTheme="minorEastAsia"/>
        </w:rPr>
      </w:pPr>
      <m:oMathPara>
        <m:oMath>
          <m:r>
            <w:rPr>
              <w:rFonts w:ascii="Cambria Math" w:hAnsi="Cambria Math"/>
            </w:rPr>
            <m:t>Fb=</m:t>
          </m:r>
          <m:f>
            <m:fPr>
              <m:ctrlPr>
                <w:rPr>
                  <w:rFonts w:ascii="Cambria Math" w:hAnsi="Cambria Math"/>
                  <w:i/>
                </w:rPr>
              </m:ctrlPr>
            </m:fPr>
            <m:num>
              <m:r>
                <w:rPr>
                  <w:rFonts w:ascii="Cambria Math" w:hAnsi="Cambria Math"/>
                </w:rPr>
                <m:t>2×bR×bP</m:t>
              </m:r>
            </m:num>
            <m:den>
              <m:r>
                <w:rPr>
                  <w:rFonts w:ascii="Cambria Math" w:hAnsi="Cambria Math"/>
                </w:rPr>
                <m:t>bR+bP</m:t>
              </m:r>
            </m:den>
          </m:f>
        </m:oMath>
      </m:oMathPara>
    </w:p>
    <w:p w14:paraId="07DC6468" w14:textId="77777777" w:rsidR="00996D53" w:rsidRDefault="00996D53">
      <w:pPr>
        <w:spacing w:line="278" w:lineRule="auto"/>
      </w:pPr>
    </w:p>
    <w:p w14:paraId="33D2E8F8" w14:textId="692792CF" w:rsidR="00196B14" w:rsidRDefault="00196B14" w:rsidP="007F266F">
      <w:r>
        <w:t xml:space="preserve">Normalized Mutual Information (NMI) was used to </w:t>
      </w:r>
      <w:r w:rsidR="00B54E05">
        <w:t>measure dependence between clusters of information.</w:t>
      </w:r>
      <w:r w:rsidR="00E828FF">
        <w:t xml:space="preserve"> NMI is calculated as shown below, where</w:t>
      </w:r>
      <w:r w:rsidR="00A2305A">
        <w:t xml:space="preserve"> </w:t>
      </w:r>
      <m:oMath>
        <m:r>
          <w:rPr>
            <w:rFonts w:ascii="Cambria Math" w:hAnsi="Cambria Math"/>
          </w:rPr>
          <m:t>Y</m:t>
        </m:r>
      </m:oMath>
      <w:r w:rsidR="00A2305A">
        <w:rPr>
          <w:rFonts w:eastAsiaTheme="minorEastAsia"/>
        </w:rPr>
        <w:t xml:space="preserve"> represents class labels, C represents cluster labels, </w:t>
      </w: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m:t>
            </m:r>
          </m:e>
        </m:d>
      </m:oMath>
      <w:r w:rsidR="00E13F9E">
        <w:rPr>
          <w:rFonts w:eastAsiaTheme="minorEastAsia"/>
        </w:rPr>
        <w:t xml:space="preserve"> represents entropy, and </w:t>
      </w:r>
      <m:oMath>
        <m:r>
          <w:rPr>
            <w:rFonts w:ascii="Cambria Math" w:eastAsiaTheme="minorEastAsia" w:hAnsi="Cambria Math"/>
          </w:rPr>
          <m:t>I(Y;C)</m:t>
        </m:r>
      </m:oMath>
      <w:r w:rsidR="00E13F9E">
        <w:rPr>
          <w:rFonts w:eastAsiaTheme="minorEastAsia"/>
        </w:rPr>
        <w:t xml:space="preserve"> represents </w:t>
      </w:r>
      <w:r w:rsidR="00624A05">
        <w:rPr>
          <w:rFonts w:eastAsiaTheme="minorEastAsia"/>
        </w:rPr>
        <w:t>mutual information between Y and C.</w:t>
      </w:r>
    </w:p>
    <w:p w14:paraId="0CE08AB6" w14:textId="6F9500ED" w:rsidR="00E828FF" w:rsidRDefault="00E828FF" w:rsidP="00E828FF">
      <w:pPr>
        <w:pStyle w:val="Caption"/>
      </w:pPr>
      <w:r>
        <w:t xml:space="preserve">Equation </w:t>
      </w:r>
      <w:r>
        <w:fldChar w:fldCharType="begin"/>
      </w:r>
      <w:r>
        <w:instrText xml:space="preserve"> SEQ Equation \* ARABIC </w:instrText>
      </w:r>
      <w:r>
        <w:fldChar w:fldCharType="separate"/>
      </w:r>
      <w:r>
        <w:rPr>
          <w:noProof/>
        </w:rPr>
        <w:t>7</w:t>
      </w:r>
      <w:r>
        <w:fldChar w:fldCharType="end"/>
      </w:r>
    </w:p>
    <w:p w14:paraId="4C0B329E" w14:textId="5A5B1DB1" w:rsidR="00E828FF" w:rsidRPr="00E828FF" w:rsidRDefault="00423410" w:rsidP="00E828FF">
      <w:pPr>
        <w:rPr>
          <w:lang w:val="en-CA"/>
        </w:rPr>
      </w:pPr>
      <m:oMathPara>
        <m:oMath>
          <m:r>
            <w:rPr>
              <w:rFonts w:ascii="Cambria Math" w:hAnsi="Cambria Math"/>
              <w:lang w:val="en-CA"/>
            </w:rPr>
            <m:t>NMI(Y,C)=</m:t>
          </m:r>
          <m:f>
            <m:fPr>
              <m:ctrlPr>
                <w:rPr>
                  <w:rFonts w:ascii="Cambria Math" w:hAnsi="Cambria Math"/>
                  <w:i/>
                  <w:lang w:val="en-CA"/>
                </w:rPr>
              </m:ctrlPr>
            </m:fPr>
            <m:num>
              <m:r>
                <w:rPr>
                  <w:rFonts w:ascii="Cambria Math" w:hAnsi="Cambria Math"/>
                  <w:lang w:val="en-CA"/>
                </w:rPr>
                <m:t>2×I(Y;C)</m:t>
              </m:r>
            </m:num>
            <m:den>
              <m:r>
                <w:rPr>
                  <w:rFonts w:ascii="Cambria Math" w:hAnsi="Cambria Math"/>
                  <w:lang w:val="en-CA"/>
                </w:rPr>
                <m:t>[H</m:t>
              </m:r>
              <m:d>
                <m:dPr>
                  <m:ctrlPr>
                    <w:rPr>
                      <w:rFonts w:ascii="Cambria Math" w:hAnsi="Cambria Math"/>
                      <w:i/>
                      <w:lang w:val="en-CA"/>
                    </w:rPr>
                  </m:ctrlPr>
                </m:dPr>
                <m:e>
                  <m:r>
                    <w:rPr>
                      <w:rFonts w:ascii="Cambria Math" w:hAnsi="Cambria Math"/>
                      <w:lang w:val="en-CA"/>
                    </w:rPr>
                    <m:t>Y</m:t>
                  </m:r>
                </m:e>
              </m:d>
              <m:r>
                <w:rPr>
                  <w:rFonts w:ascii="Cambria Math" w:hAnsi="Cambria Math"/>
                  <w:lang w:val="en-CA"/>
                </w:rPr>
                <m:t>+H</m:t>
              </m:r>
              <m:d>
                <m:dPr>
                  <m:ctrlPr>
                    <w:rPr>
                      <w:rFonts w:ascii="Cambria Math" w:hAnsi="Cambria Math"/>
                      <w:i/>
                      <w:lang w:val="en-CA"/>
                    </w:rPr>
                  </m:ctrlPr>
                </m:dPr>
                <m:e>
                  <m:r>
                    <w:rPr>
                      <w:rFonts w:ascii="Cambria Math" w:hAnsi="Cambria Math"/>
                      <w:lang w:val="en-CA"/>
                    </w:rPr>
                    <m:t>C</m:t>
                  </m:r>
                </m:e>
              </m:d>
              <m:r>
                <w:rPr>
                  <w:rFonts w:ascii="Cambria Math" w:hAnsi="Cambria Math"/>
                  <w:lang w:val="en-CA"/>
                </w:rPr>
                <m:t>]</m:t>
              </m:r>
            </m:den>
          </m:f>
        </m:oMath>
      </m:oMathPara>
    </w:p>
    <w:p w14:paraId="6BBE866E" w14:textId="2583FFA5" w:rsidR="001E511E" w:rsidRDefault="00A26AE9" w:rsidP="001E511E">
      <w:pPr>
        <w:pStyle w:val="Heading2"/>
        <w:numPr>
          <w:ilvl w:val="0"/>
          <w:numId w:val="0"/>
        </w:numPr>
      </w:pPr>
      <w:r>
        <w:lastRenderedPageBreak/>
        <w:t>Cytoscape Network Setup</w:t>
      </w:r>
    </w:p>
    <w:p w14:paraId="3F053590" w14:textId="7501083F" w:rsidR="00B77017" w:rsidRDefault="007F266F" w:rsidP="007F266F">
      <w:r w:rsidRPr="007F266F">
        <w:t>The hierarchical node output of the MPGNN-HiLander model was transformed into a network input containing parent node (source node</w:t>
      </w:r>
      <w:r w:rsidR="009A749E">
        <w:t>,</w:t>
      </w:r>
      <w:r w:rsidRPr="007F266F">
        <w:t xml:space="preserve"> </w:t>
      </w:r>
      <w:r w:rsidR="009A749E">
        <w:t>number</w:t>
      </w:r>
      <w:r w:rsidRPr="007F266F">
        <w:t>),</w:t>
      </w:r>
      <w:r>
        <w:t xml:space="preserve"> </w:t>
      </w:r>
      <w:r w:rsidRPr="007F266F">
        <w:t>child node (target node</w:t>
      </w:r>
      <w:r w:rsidR="009A749E">
        <w:t>,</w:t>
      </w:r>
      <w:r w:rsidRPr="007F266F">
        <w:t xml:space="preserve"> </w:t>
      </w:r>
      <w:r w:rsidR="009A749E">
        <w:t>number</w:t>
      </w:r>
      <w:r w:rsidRPr="007F266F">
        <w:t>), genes (target attribute</w:t>
      </w:r>
      <w:r w:rsidR="009A749E">
        <w:t>,</w:t>
      </w:r>
      <w:r w:rsidRPr="007F266F">
        <w:t xml:space="preserve"> </w:t>
      </w:r>
      <w:proofErr w:type="gramStart"/>
      <w:r w:rsidRPr="007F266F">
        <w:t>string[</w:t>
      </w:r>
      <w:proofErr w:type="gramEnd"/>
      <w:r w:rsidRPr="007F266F">
        <w:t>]), and size (target attribute</w:t>
      </w:r>
      <w:r w:rsidR="009A749E">
        <w:t>,</w:t>
      </w:r>
      <w:r w:rsidRPr="007F266F">
        <w:t xml:space="preserve"> </w:t>
      </w:r>
      <w:r w:rsidR="009A749E">
        <w:t>number</w:t>
      </w:r>
      <w:r w:rsidRPr="007F266F">
        <w:t>). Significance (target attribute</w:t>
      </w:r>
      <w:r w:rsidR="009A749E">
        <w:t>,</w:t>
      </w:r>
      <w:r w:rsidRPr="007F266F">
        <w:t xml:space="preserve"> string) was added to the node table to represent hotspots as a combination of survival/mutation burden</w:t>
      </w:r>
      <w:r w:rsidR="00A7000C">
        <w:t xml:space="preserve"> (</w:t>
      </w:r>
      <w:r w:rsidR="00A7000C">
        <w:rPr>
          <w:b/>
          <w:bCs/>
        </w:rPr>
        <w:t>Table</w:t>
      </w:r>
      <w:r w:rsidR="00A7000C" w:rsidRPr="00A7000C">
        <w:rPr>
          <w:b/>
          <w:bCs/>
        </w:rPr>
        <w:t xml:space="preserve"> S1 and S2</w:t>
      </w:r>
      <w:r w:rsidR="00A7000C">
        <w:t>)</w:t>
      </w:r>
      <w:r w:rsidRPr="007F266F">
        <w:t xml:space="preserve">, </w:t>
      </w:r>
      <w:proofErr w:type="spellStart"/>
      <w:r w:rsidR="00D75AF7" w:rsidRPr="007F266F">
        <w:t>DepMap</w:t>
      </w:r>
      <w:proofErr w:type="spellEnd"/>
      <w:r w:rsidR="00D75AF7" w:rsidRPr="007F266F">
        <w:t xml:space="preserve"> signal</w:t>
      </w:r>
      <w:r w:rsidR="00D75AF7">
        <w:t xml:space="preserve"> (</w:t>
      </w:r>
      <w:r w:rsidR="00D75AF7">
        <w:rPr>
          <w:b/>
          <w:bCs/>
        </w:rPr>
        <w:t>Table</w:t>
      </w:r>
      <w:r w:rsidR="00D75AF7" w:rsidRPr="00A7000C">
        <w:rPr>
          <w:b/>
          <w:bCs/>
        </w:rPr>
        <w:t xml:space="preserve"> S</w:t>
      </w:r>
      <w:r w:rsidR="00D75AF7">
        <w:rPr>
          <w:b/>
          <w:bCs/>
        </w:rPr>
        <w:t>3</w:t>
      </w:r>
      <w:r w:rsidR="00D75AF7">
        <w:t>)</w:t>
      </w:r>
      <w:r w:rsidRPr="007F266F">
        <w:t xml:space="preserve">, and </w:t>
      </w:r>
      <w:proofErr w:type="spellStart"/>
      <w:r w:rsidR="00D75AF7" w:rsidRPr="007F266F">
        <w:t>CMap</w:t>
      </w:r>
      <w:proofErr w:type="spellEnd"/>
      <w:r w:rsidR="00D75AF7" w:rsidRPr="007F266F">
        <w:t xml:space="preserve"> signal</w:t>
      </w:r>
      <w:r w:rsidR="00D75AF7">
        <w:t xml:space="preserve"> (</w:t>
      </w:r>
      <w:r w:rsidR="00D75AF7">
        <w:rPr>
          <w:b/>
          <w:bCs/>
        </w:rPr>
        <w:t>Table</w:t>
      </w:r>
      <w:r w:rsidR="00D75AF7" w:rsidRPr="00A7000C">
        <w:rPr>
          <w:b/>
          <w:bCs/>
        </w:rPr>
        <w:t xml:space="preserve"> S</w:t>
      </w:r>
      <w:r w:rsidR="00D75AF7">
        <w:rPr>
          <w:b/>
          <w:bCs/>
        </w:rPr>
        <w:t>4</w:t>
      </w:r>
      <w:r w:rsidR="00D75AF7">
        <w:t>)</w:t>
      </w:r>
      <w:r w:rsidRPr="007F266F">
        <w:t>.</w:t>
      </w:r>
    </w:p>
    <w:p w14:paraId="02A21D25" w14:textId="77777777" w:rsidR="00B77017" w:rsidRDefault="00B77017">
      <w:pPr>
        <w:spacing w:line="278" w:lineRule="auto"/>
        <w:jc w:val="left"/>
      </w:pPr>
      <w:r>
        <w:br w:type="page"/>
      </w:r>
    </w:p>
    <w:p w14:paraId="721A5196" w14:textId="69AD8E83" w:rsidR="00327052" w:rsidRDefault="00327052" w:rsidP="00327052">
      <w:pPr>
        <w:pStyle w:val="Heading1"/>
        <w:numPr>
          <w:ilvl w:val="0"/>
          <w:numId w:val="0"/>
        </w:numPr>
      </w:pPr>
      <w:r>
        <w:lastRenderedPageBreak/>
        <w:t>Supplementary Figures</w:t>
      </w:r>
    </w:p>
    <w:p w14:paraId="703D36E4" w14:textId="77777777" w:rsidR="00FC7C7A" w:rsidRDefault="006A030C" w:rsidP="003B1FD5">
      <w:pPr>
        <w:keepNext/>
        <w:spacing w:line="240" w:lineRule="auto"/>
      </w:pPr>
      <w:r>
        <w:rPr>
          <w:noProof/>
        </w:rPr>
        <w:drawing>
          <wp:inline distT="0" distB="0" distL="0" distR="0" wp14:anchorId="53E10D96" wp14:editId="7B4C584C">
            <wp:extent cx="5943600" cy="3661932"/>
            <wp:effectExtent l="0" t="0" r="0" b="0"/>
            <wp:docPr id="2067137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1284" r="7457"/>
                    <a:stretch/>
                  </pic:blipFill>
                  <pic:spPr bwMode="auto">
                    <a:xfrm>
                      <a:off x="0" y="0"/>
                      <a:ext cx="5943600" cy="3661932"/>
                    </a:xfrm>
                    <a:prstGeom prst="rect">
                      <a:avLst/>
                    </a:prstGeom>
                    <a:noFill/>
                    <a:ln>
                      <a:noFill/>
                    </a:ln>
                    <a:extLst>
                      <a:ext uri="{53640926-AAD7-44D8-BBD7-CCE9431645EC}">
                        <a14:shadowObscured xmlns:a14="http://schemas.microsoft.com/office/drawing/2010/main"/>
                      </a:ext>
                    </a:extLst>
                  </pic:spPr>
                </pic:pic>
              </a:graphicData>
            </a:graphic>
          </wp:inline>
        </w:drawing>
      </w:r>
    </w:p>
    <w:p w14:paraId="06873286" w14:textId="77777777" w:rsidR="00FC7C7A" w:rsidRPr="006A030C" w:rsidRDefault="00FC7C7A" w:rsidP="00FC7C7A">
      <w:pPr>
        <w:pStyle w:val="Caption"/>
        <w:spacing w:line="240" w:lineRule="auto"/>
        <w:rPr>
          <w:b w:val="0"/>
          <w:bCs w:val="0"/>
        </w:rPr>
      </w:pPr>
      <w:r>
        <w:t>Figure S</w:t>
      </w:r>
      <w:r>
        <w:fldChar w:fldCharType="begin"/>
      </w:r>
      <w:r>
        <w:instrText xml:space="preserve"> SEQ Figure \* ARABIC </w:instrText>
      </w:r>
      <w:r>
        <w:fldChar w:fldCharType="separate"/>
      </w:r>
      <w:r>
        <w:rPr>
          <w:noProof/>
        </w:rPr>
        <w:t>1</w:t>
      </w:r>
      <w:r>
        <w:fldChar w:fldCharType="end"/>
      </w:r>
      <w:r>
        <w:rPr>
          <w:noProof/>
        </w:rPr>
        <w:t xml:space="preserve">. </w:t>
      </w:r>
      <w:r>
        <w:t>Comparison of significant HOST proteins systems with altered vs unaltered genes.</w:t>
      </w:r>
      <w:r>
        <w:rPr>
          <w:b w:val="0"/>
          <w:bCs w:val="0"/>
        </w:rPr>
        <w:t xml:space="preserve"> Hotspot protein systems were selected to be significant for survival and mutation pressure, with a </w:t>
      </w:r>
      <w:proofErr w:type="spellStart"/>
      <w:r>
        <w:rPr>
          <w:b w:val="0"/>
          <w:bCs w:val="0"/>
        </w:rPr>
        <w:t>logrank</w:t>
      </w:r>
      <w:proofErr w:type="spellEnd"/>
      <w:r>
        <w:rPr>
          <w:b w:val="0"/>
          <w:bCs w:val="0"/>
        </w:rPr>
        <w:t xml:space="preserve"> test q-value &lt; 0.05. Observations were taken after 10 years of prognostic testing. (A) Survival difference between altered and unaltered protein systems. (B) Survival rate of protein systems with altered genes. (C) Survival rate of protein systems with unaltered genes.</w:t>
      </w:r>
    </w:p>
    <w:p w14:paraId="5C244803" w14:textId="473E603C" w:rsidR="006A030C" w:rsidRPr="004C565E" w:rsidRDefault="006A030C" w:rsidP="00327052">
      <w:r>
        <w:br w:type="page"/>
      </w:r>
    </w:p>
    <w:p w14:paraId="3B9A869E" w14:textId="0653943F" w:rsidR="006A030C" w:rsidRPr="004C565E" w:rsidRDefault="1DF9446D" w:rsidP="74AC9112">
      <w:pPr>
        <w:pStyle w:val="Heading1"/>
        <w:numPr>
          <w:ilvl w:val="0"/>
          <w:numId w:val="0"/>
        </w:numPr>
        <w:rPr>
          <w:rFonts w:eastAsia="Times New Roman"/>
        </w:rPr>
      </w:pPr>
      <w:r w:rsidRPr="74AC9112">
        <w:rPr>
          <w:rFonts w:eastAsia="Times New Roman"/>
        </w:rPr>
        <w:lastRenderedPageBreak/>
        <w:t>Supplementary Tables</w:t>
      </w:r>
    </w:p>
    <w:p w14:paraId="707BEC27" w14:textId="1FE0D78E" w:rsidR="006A030C" w:rsidRPr="004C565E" w:rsidRDefault="1DF9446D" w:rsidP="74AC9112">
      <w:pPr>
        <w:rPr>
          <w:rFonts w:eastAsia="Calibri"/>
          <w:color w:val="000000" w:themeColor="text1"/>
        </w:rPr>
      </w:pPr>
      <w:r w:rsidRPr="74AC9112">
        <w:rPr>
          <w:rFonts w:eastAsia="Calibri"/>
          <w:b/>
          <w:bCs/>
          <w:color w:val="000000" w:themeColor="text1"/>
        </w:rPr>
        <w:t>Table S1. HOST systems under significant survival pressure.</w:t>
      </w:r>
      <w:r w:rsidRPr="74AC9112">
        <w:rPr>
          <w:rFonts w:eastAsia="Calibri"/>
          <w:color w:val="000000" w:themeColor="text1"/>
        </w:rPr>
        <w:t xml:space="preserve"> Survival hotspots were identified using </w:t>
      </w:r>
      <w:r w:rsidR="00FA19B7">
        <w:rPr>
          <w:rFonts w:eastAsia="Calibri"/>
          <w:color w:val="000000" w:themeColor="text1"/>
        </w:rPr>
        <w:t xml:space="preserve">a </w:t>
      </w:r>
      <w:r w:rsidRPr="74AC9112">
        <w:rPr>
          <w:rFonts w:eastAsia="Calibri"/>
          <w:color w:val="000000" w:themeColor="text1"/>
        </w:rPr>
        <w:t xml:space="preserve">group-lasso </w:t>
      </w:r>
      <w:r w:rsidR="00FA19B7">
        <w:rPr>
          <w:rFonts w:eastAsia="Calibri"/>
          <w:color w:val="000000" w:themeColor="text1"/>
        </w:rPr>
        <w:t xml:space="preserve">algorithm </w:t>
      </w:r>
      <w:r w:rsidRPr="74AC9112">
        <w:rPr>
          <w:rFonts w:eastAsia="Calibri"/>
          <w:color w:val="000000" w:themeColor="text1"/>
        </w:rPr>
        <w:t xml:space="preserve">on gene-level mutation data from Zheng </w:t>
      </w:r>
      <w:r w:rsidRPr="74AC9112">
        <w:rPr>
          <w:rFonts w:eastAsia="Calibri"/>
          <w:i/>
          <w:iCs/>
          <w:color w:val="000000" w:themeColor="text1"/>
        </w:rPr>
        <w:t>et al.</w:t>
      </w:r>
      <w:r w:rsidRPr="74AC9112">
        <w:rPr>
          <w:rFonts w:eastAsia="Calibri"/>
          <w:color w:val="000000" w:themeColor="text1"/>
        </w:rPr>
        <w:t xml:space="preserve">’s paper </w:t>
      </w:r>
      <w:r w:rsidR="008452CE">
        <w:rPr>
          <w:rFonts w:eastAsia="Calibri"/>
          <w:color w:val="000000" w:themeColor="text1"/>
        </w:rPr>
        <w:fldChar w:fldCharType="begin"/>
      </w:r>
      <w:r w:rsidR="008452CE">
        <w:rPr>
          <w:rFonts w:eastAsia="Calibri"/>
          <w:color w:val="000000" w:themeColor="text1"/>
        </w:rPr>
        <w:instrText xml:space="preserve"> ADDIN ZOTERO_ITEM CSL_CITATION {"citationID":"a2cjq4ijmgn","properties":{"formattedCitation":"[1]","plainCitation":"[1]","noteIndex":0},"citationItems":[{"id":699,"uris":["http://zotero.org/users/12664369/items/MCCK8ETK"],"itemData":{"id":699,"type":"article-journal","abstract":"A major goal of cancer research is to understand how mutations distributed across diverse genes affect common cellular systems, including multi-protein complexes and assemblies. Two challenges— how to comprehensively map such systems and how to identify which are under mutational selection— have hindered this understanding. Here, we create a comprehensive map of cancer protein systems integrating new and published multi-omic interaction data at multiple scales of analysis. We then develop a unified statistical model that pinpoints 395 specific systems under mutational selection across 13 cancer types. This map, called NeST (Nested Systems in Tumors), incorporates canonical processes and new discoveries, including a PIK3CA-actomyosin complex that inhibits PI3K signaling and recurrent mutations in collagen complexes that promote tumor proliferation. These systems can be used as clinical biomarkers and implicate a total of 548 genes in cancer evolution and progression. This work shows how disparate tumor mutations converge on protein assemblies at different scales.","container-title":"Science","DOI":"10.1126/science.abf3067","ISSN":"0036-8075, 1095-9203","issue":"6563","journalAbbreviation":"Science","language":"en","note":"2","page":"eabf3067","source":"DOI.org (Crossref)","title":"Interpretation of cancer mutations using a multiscale map of protein systems","volume":"374","author":[{"family":"Zheng","given":"Fan"},{"family":"Kelly","given":"Marcus R."},{"family":"Ramms","given":"Dana J."},{"family":"Heintschel","given":"Marissa L."},{"family":"Tao","given":"Kai"},{"family":"Tutuncuoglu","given":"Beril"},{"family":"Lee","given":"John J."},{"family":"Ono","given":"Keiichiro"},{"family":"Foussard","given":"Helene"},{"family":"Chen","given":"Michael"},{"family":"Herrington","given":"Kari A."},{"family":"Silva","given":"Erica"},{"family":"Liu","given":"Sophie N."},{"family":"Chen","given":"Jing"},{"family":"Churas","given":"Christopher"},{"family":"Wilson","given":"Nicholas"},{"family":"Kratz","given":"Anton"},{"family":"Pillich","given":"Rudolf T."},{"family":"Patel","given":"Devin N."},{"family":"Park","given":"Jisoo"},{"family":"Kuenzi","given":"Brent"},{"family":"Yu","given":"Michael K."},{"family":"Licon","given":"Katherine"},{"family":"Pratt","given":"Dexter"},{"family":"Kreisberg","given":"Jason F."},{"family":"Kim","given":"Minkyu"},{"family":"Swaney","given":"Danielle L."},{"family":"Nan","given":"Xiaolin"},{"family":"Fraley","given":"Stephanie I."},{"family":"Gutkind","given":"J. Silvio"},{"family":"Krogan","given":"Nevan J."},{"family":"Ideker","given":"Trey"}],"issued":{"date-parts":[["2021",10]]}}}],"schema":"https://github.com/citation-style-language/schema/raw/master/csl-citation.json"} </w:instrText>
      </w:r>
      <w:r w:rsidR="008452CE">
        <w:rPr>
          <w:rFonts w:eastAsia="Calibri"/>
          <w:color w:val="000000" w:themeColor="text1"/>
        </w:rPr>
        <w:fldChar w:fldCharType="separate"/>
      </w:r>
      <w:r w:rsidR="008452CE" w:rsidRPr="008452CE">
        <w:rPr>
          <w:kern w:val="0"/>
        </w:rPr>
        <w:t>[1]</w:t>
      </w:r>
      <w:r w:rsidR="008452CE">
        <w:rPr>
          <w:rFonts w:eastAsia="Calibri"/>
          <w:color w:val="000000" w:themeColor="text1"/>
        </w:rPr>
        <w:fldChar w:fldCharType="end"/>
      </w:r>
      <w:r w:rsidR="008452CE">
        <w:rPr>
          <w:rFonts w:eastAsia="Calibri"/>
          <w:color w:val="000000" w:themeColor="text1"/>
        </w:rPr>
        <w:t xml:space="preserve"> </w:t>
      </w:r>
      <w:r w:rsidRPr="74AC9112">
        <w:rPr>
          <w:rFonts w:eastAsia="Calibri"/>
          <w:color w:val="000000" w:themeColor="text1"/>
        </w:rPr>
        <w:t xml:space="preserve">and </w:t>
      </w:r>
      <w:r w:rsidR="000B7A52">
        <w:rPr>
          <w:rFonts w:eastAsia="Calibri"/>
          <w:color w:val="000000" w:themeColor="text1"/>
        </w:rPr>
        <w:t>HOST</w:t>
      </w:r>
      <w:r w:rsidR="000B7A52" w:rsidRPr="74AC9112">
        <w:rPr>
          <w:rFonts w:eastAsia="Calibri"/>
          <w:color w:val="000000" w:themeColor="text1"/>
        </w:rPr>
        <w:t xml:space="preserve"> protein </w:t>
      </w:r>
      <w:r w:rsidR="000B7A52">
        <w:rPr>
          <w:rFonts w:eastAsia="Calibri"/>
          <w:color w:val="000000" w:themeColor="text1"/>
        </w:rPr>
        <w:t>systems</w:t>
      </w:r>
      <w:r w:rsidRPr="74AC9112">
        <w:rPr>
          <w:rFonts w:eastAsia="Calibri"/>
          <w:color w:val="000000" w:themeColor="text1"/>
        </w:rPr>
        <w:t>. Significance is determined with a threshold of q-value &lt; 0.05.</w:t>
      </w:r>
    </w:p>
    <w:p w14:paraId="4D34EC26" w14:textId="36D79853" w:rsidR="006A030C" w:rsidRPr="004C565E" w:rsidRDefault="1DF9446D" w:rsidP="74AC9112">
      <w:pPr>
        <w:rPr>
          <w:rFonts w:eastAsia="Calibri"/>
          <w:color w:val="000000" w:themeColor="text1"/>
        </w:rPr>
      </w:pPr>
      <w:r w:rsidRPr="74AC9112">
        <w:rPr>
          <w:rFonts w:eastAsia="Calibri"/>
          <w:b/>
          <w:bCs/>
          <w:color w:val="000000" w:themeColor="text1"/>
        </w:rPr>
        <w:t>Table S2. HOST systems under significant mutation pressure.</w:t>
      </w:r>
      <w:r w:rsidRPr="74AC9112">
        <w:rPr>
          <w:rFonts w:eastAsia="Calibri"/>
          <w:color w:val="000000" w:themeColor="text1"/>
        </w:rPr>
        <w:t xml:space="preserve"> Mutation hotspots were identified using </w:t>
      </w:r>
      <w:r w:rsidR="00FA19B7">
        <w:rPr>
          <w:rFonts w:eastAsia="Calibri"/>
          <w:color w:val="000000" w:themeColor="text1"/>
        </w:rPr>
        <w:t xml:space="preserve">a </w:t>
      </w:r>
      <w:r w:rsidR="00FA19B7" w:rsidRPr="74AC9112">
        <w:rPr>
          <w:rFonts w:eastAsia="Calibri"/>
          <w:color w:val="000000" w:themeColor="text1"/>
        </w:rPr>
        <w:t xml:space="preserve">group-lasso </w:t>
      </w:r>
      <w:r w:rsidR="00FA19B7">
        <w:rPr>
          <w:rFonts w:eastAsia="Calibri"/>
          <w:color w:val="000000" w:themeColor="text1"/>
        </w:rPr>
        <w:t>algorithm</w:t>
      </w:r>
      <w:r w:rsidR="00FA19B7" w:rsidRPr="74AC9112">
        <w:rPr>
          <w:rFonts w:eastAsia="Calibri"/>
          <w:color w:val="000000" w:themeColor="text1"/>
        </w:rPr>
        <w:t xml:space="preserve"> </w:t>
      </w:r>
      <w:r w:rsidRPr="74AC9112">
        <w:rPr>
          <w:rFonts w:eastAsia="Calibri"/>
          <w:color w:val="000000" w:themeColor="text1"/>
        </w:rPr>
        <w:t xml:space="preserve">on gene-level meta-survival effects from Smith and </w:t>
      </w:r>
      <w:proofErr w:type="spellStart"/>
      <w:r w:rsidRPr="74AC9112">
        <w:rPr>
          <w:rFonts w:eastAsia="Calibri"/>
          <w:color w:val="000000" w:themeColor="text1"/>
        </w:rPr>
        <w:t>Sheltzer’s</w:t>
      </w:r>
      <w:proofErr w:type="spellEnd"/>
      <w:r w:rsidRPr="74AC9112">
        <w:rPr>
          <w:rFonts w:eastAsia="Calibri"/>
          <w:color w:val="000000" w:themeColor="text1"/>
        </w:rPr>
        <w:t xml:space="preserve"> paper</w:t>
      </w:r>
      <w:r w:rsidR="008452CE">
        <w:rPr>
          <w:rFonts w:eastAsia="Calibri"/>
          <w:color w:val="000000" w:themeColor="text1"/>
        </w:rPr>
        <w:t xml:space="preserve"> </w:t>
      </w:r>
      <w:r w:rsidR="008452CE">
        <w:rPr>
          <w:rFonts w:eastAsia="Calibri"/>
          <w:color w:val="000000" w:themeColor="text1"/>
        </w:rPr>
        <w:fldChar w:fldCharType="begin"/>
      </w:r>
      <w:r w:rsidR="008452CE">
        <w:rPr>
          <w:rFonts w:eastAsia="Calibri"/>
          <w:color w:val="000000" w:themeColor="text1"/>
        </w:rPr>
        <w:instrText xml:space="preserve"> ADDIN ZOTERO_ITEM CSL_CITATION {"citationID":"a21ds3nphfi","properties":{"formattedCitation":"[2]","plainCitation":"[2]","noteIndex":0},"citationItems":[{"id":686,"uris":["http://zotero.org/users/12664369/items/YGF2GTRE"],"itemData":{"id":686,"type":"article-journal","abstract":"Clinical decisions in cancer rely on precisely assessing patient risk. To improve our ability to identify the most aggressive malignancies, we constructed genome-wide survival models using gene expression, copy number, methylation, and mutation data from 10,884 patients. We identified more than 100,000 significant prognostic biomarkers and demonstrate that these genomic features can predict patient outcomes in clinically ambiguous situations. While adverse biomarkers are commonly believed to represent cancer driver genes and promising therapeutic targets, we show that cancer features associated with shorter survival times are not enriched for either oncogenes or for successful drug targets. Instead, the strongest adverse biomarkers represent widely expressed cell-cycle and housekeeping genes, and, correspondingly, nearly all therapies directed against these features have failed in clinical trials. In total, our analysis establishes a rich resource for prognostic biomarker analysis and clarifies the use of patient survival data in preclinical cancer research and therapeutic development.","container-title":"Cell Reports","DOI":"10.1016/j.celrep.2022.110569","ISSN":"22111247","issue":"13","journalAbbreviation":"Cell Reports","language":"en","note":"1","page":"110569","source":"DOI.org (Crossref)","title":"Genome-wide identification and analysis of prognostic features in human cancers","volume":"38","author":[{"family":"Smith","given":"Joan C."},{"family":"Sheltzer","given":"Jason M."}],"issued":{"date-parts":[["2022",3]]}}}],"schema":"https://github.com/citation-style-language/schema/raw/master/csl-citation.json"} </w:instrText>
      </w:r>
      <w:r w:rsidR="008452CE">
        <w:rPr>
          <w:rFonts w:eastAsia="Calibri"/>
          <w:color w:val="000000" w:themeColor="text1"/>
        </w:rPr>
        <w:fldChar w:fldCharType="separate"/>
      </w:r>
      <w:r w:rsidR="008452CE" w:rsidRPr="008452CE">
        <w:rPr>
          <w:kern w:val="0"/>
        </w:rPr>
        <w:t>[2]</w:t>
      </w:r>
      <w:r w:rsidR="008452CE">
        <w:rPr>
          <w:rFonts w:eastAsia="Calibri"/>
          <w:color w:val="000000" w:themeColor="text1"/>
        </w:rPr>
        <w:fldChar w:fldCharType="end"/>
      </w:r>
      <w:r w:rsidRPr="74AC9112">
        <w:rPr>
          <w:rFonts w:eastAsia="Calibri"/>
          <w:color w:val="000000" w:themeColor="text1"/>
        </w:rPr>
        <w:t xml:space="preserve"> and </w:t>
      </w:r>
      <w:r w:rsidR="000B7A52">
        <w:rPr>
          <w:rFonts w:eastAsia="Calibri"/>
          <w:color w:val="000000" w:themeColor="text1"/>
        </w:rPr>
        <w:t>HOST</w:t>
      </w:r>
      <w:r w:rsidRPr="74AC9112">
        <w:rPr>
          <w:rFonts w:eastAsia="Calibri"/>
          <w:color w:val="000000" w:themeColor="text1"/>
        </w:rPr>
        <w:t xml:space="preserve"> protein </w:t>
      </w:r>
      <w:r w:rsidR="000B7A52">
        <w:rPr>
          <w:rFonts w:eastAsia="Calibri"/>
          <w:color w:val="000000" w:themeColor="text1"/>
        </w:rPr>
        <w:t>systems</w:t>
      </w:r>
      <w:r w:rsidRPr="74AC9112">
        <w:rPr>
          <w:rFonts w:eastAsia="Calibri"/>
          <w:color w:val="000000" w:themeColor="text1"/>
        </w:rPr>
        <w:t>. Significance is determined with a threshold of q-value &lt; 0.05.</w:t>
      </w:r>
    </w:p>
    <w:p w14:paraId="2EFE5D0C" w14:textId="067F6B7B" w:rsidR="006A030C" w:rsidRPr="004C565E" w:rsidRDefault="1DF9446D" w:rsidP="74AC9112">
      <w:pPr>
        <w:rPr>
          <w:rFonts w:eastAsia="Calibri"/>
          <w:color w:val="000000" w:themeColor="text1"/>
        </w:rPr>
      </w:pPr>
      <w:r w:rsidRPr="74AC9112">
        <w:rPr>
          <w:rFonts w:eastAsia="Calibri"/>
          <w:b/>
          <w:bCs/>
          <w:color w:val="000000" w:themeColor="text1"/>
        </w:rPr>
        <w:t>Table S3. HOST systems with cellular dependencies of BC cell lines.</w:t>
      </w:r>
      <w:r w:rsidRPr="74AC9112">
        <w:rPr>
          <w:rFonts w:eastAsia="Calibri"/>
          <w:color w:val="000000" w:themeColor="text1"/>
        </w:rPr>
        <w:t xml:space="preserve"> Cellular dependencies were identified using </w:t>
      </w:r>
      <w:r w:rsidR="00FA19B7">
        <w:rPr>
          <w:rFonts w:eastAsia="Calibri"/>
          <w:color w:val="000000" w:themeColor="text1"/>
        </w:rPr>
        <w:t xml:space="preserve">a </w:t>
      </w:r>
      <w:r w:rsidR="00FA19B7" w:rsidRPr="74AC9112">
        <w:rPr>
          <w:rFonts w:eastAsia="Calibri"/>
          <w:color w:val="000000" w:themeColor="text1"/>
        </w:rPr>
        <w:t xml:space="preserve">group-lasso </w:t>
      </w:r>
      <w:r w:rsidR="00FA19B7">
        <w:rPr>
          <w:rFonts w:eastAsia="Calibri"/>
          <w:color w:val="000000" w:themeColor="text1"/>
        </w:rPr>
        <w:t>algorithm</w:t>
      </w:r>
      <w:r w:rsidR="00FA19B7" w:rsidRPr="74AC9112">
        <w:rPr>
          <w:rFonts w:eastAsia="Calibri"/>
          <w:color w:val="000000" w:themeColor="text1"/>
        </w:rPr>
        <w:t xml:space="preserve"> </w:t>
      </w:r>
      <w:r w:rsidRPr="74AC9112">
        <w:rPr>
          <w:rFonts w:eastAsia="Calibri"/>
          <w:color w:val="000000" w:themeColor="text1"/>
        </w:rPr>
        <w:t xml:space="preserve">on </w:t>
      </w:r>
      <w:proofErr w:type="spellStart"/>
      <w:r w:rsidRPr="74AC9112">
        <w:rPr>
          <w:rFonts w:eastAsia="Calibri"/>
          <w:color w:val="000000" w:themeColor="text1"/>
        </w:rPr>
        <w:t>DepMap</w:t>
      </w:r>
      <w:proofErr w:type="spellEnd"/>
      <w:r w:rsidRPr="74AC9112">
        <w:rPr>
          <w:rFonts w:eastAsia="Calibri"/>
          <w:color w:val="000000" w:themeColor="text1"/>
        </w:rPr>
        <w:t xml:space="preserve"> dependency data </w:t>
      </w:r>
      <w:r w:rsidR="008452CE">
        <w:rPr>
          <w:rFonts w:eastAsia="Calibri"/>
          <w:color w:val="000000" w:themeColor="text1"/>
        </w:rPr>
        <w:fldChar w:fldCharType="begin"/>
      </w:r>
      <w:r w:rsidR="008452CE">
        <w:rPr>
          <w:rFonts w:eastAsia="Calibri"/>
          <w:color w:val="000000" w:themeColor="text1"/>
        </w:rPr>
        <w:instrText xml:space="preserve"> ADDIN ZOTERO_ITEM CSL_CITATION {"citationID":"a22mocik2v6","properties":{"formattedCitation":"[3]","plainCitation":"[3]","noteIndex":0},"citationItems":[{"id":2509,"uris":["http://zotero.org/users/12664369/items/ZBV98KKC"],"itemData":{"id":2509,"type":"article-journal","container-title":"Cell","DOI":"10.1016/j.cell.2017.06.010","ISSN":"00928674","issue":"3","journalAbbreviation":"Cell","language":"en","note":"22","page":"564-576.e16","source":"DOI.org (Crossref)","title":"Defining a Cancer Dependency Map","volume":"170","author":[{"family":"Tsherniak","given":"Aviad"},{"family":"Vazquez","given":"Francisca"},{"family":"Montgomery","given":"Phil G."},{"family":"Weir","given":"Barbara A."},{"family":"Kryukov","given":"Gregory"},{"family":"Cowley","given":"Glenn S."},{"family":"Gill","given":"Stanley"},{"family":"Harrington","given":"William F."},{"family":"Pantel","given":"Sasha"},{"family":"Krill-Burger","given":"John M."},{"family":"Meyers","given":"Robin M."},{"family":"Ali","given":"Levi"},{"family":"Goodale","given":"Amy"},{"family":"Lee","given":"Yenarae"},{"family":"Jiang","given":"Guozhi"},{"family":"Hsiao","given":"Jessica"},{"family":"Gerath","given":"William F.J."},{"family":"Howell","given":"Sara"},{"family":"Merkel","given":"Erin"},{"family":"Ghandi","given":"Mahmoud"},{"family":"Garraway","given":"Levi A."},{"family":"Root","given":"David E."},{"family":"Golub","given":"Todd R."},{"family":"Boehm","given":"Jesse S."},{"family":"Hahn","given":"William C."}],"issued":{"date-parts":[["2017",7,27]]}}}],"schema":"https://github.com/citation-style-language/schema/raw/master/csl-citation.json"} </w:instrText>
      </w:r>
      <w:r w:rsidR="008452CE">
        <w:rPr>
          <w:rFonts w:eastAsia="Calibri"/>
          <w:color w:val="000000" w:themeColor="text1"/>
        </w:rPr>
        <w:fldChar w:fldCharType="separate"/>
      </w:r>
      <w:r w:rsidR="008452CE" w:rsidRPr="008452CE">
        <w:rPr>
          <w:kern w:val="0"/>
        </w:rPr>
        <w:t>[3]</w:t>
      </w:r>
      <w:r w:rsidR="008452CE">
        <w:rPr>
          <w:rFonts w:eastAsia="Calibri"/>
          <w:color w:val="000000" w:themeColor="text1"/>
        </w:rPr>
        <w:fldChar w:fldCharType="end"/>
      </w:r>
      <w:r w:rsidR="008452CE">
        <w:rPr>
          <w:rFonts w:eastAsia="Calibri"/>
          <w:color w:val="000000" w:themeColor="text1"/>
        </w:rPr>
        <w:t xml:space="preserve"> </w:t>
      </w:r>
      <w:r w:rsidRPr="74AC9112">
        <w:rPr>
          <w:rFonts w:eastAsia="Calibri"/>
          <w:color w:val="000000" w:themeColor="text1"/>
        </w:rPr>
        <w:t xml:space="preserve">and </w:t>
      </w:r>
      <w:r w:rsidR="000B7A52">
        <w:rPr>
          <w:rFonts w:eastAsia="Calibri"/>
          <w:color w:val="000000" w:themeColor="text1"/>
        </w:rPr>
        <w:t>HOST</w:t>
      </w:r>
      <w:r w:rsidR="000B7A52" w:rsidRPr="74AC9112">
        <w:rPr>
          <w:rFonts w:eastAsia="Calibri"/>
          <w:color w:val="000000" w:themeColor="text1"/>
        </w:rPr>
        <w:t xml:space="preserve"> protein </w:t>
      </w:r>
      <w:r w:rsidR="000B7A52">
        <w:rPr>
          <w:rFonts w:eastAsia="Calibri"/>
          <w:color w:val="000000" w:themeColor="text1"/>
        </w:rPr>
        <w:t>systems</w:t>
      </w:r>
      <w:r w:rsidRPr="74AC9112">
        <w:rPr>
          <w:rFonts w:eastAsia="Calibri"/>
          <w:color w:val="000000" w:themeColor="text1"/>
        </w:rPr>
        <w:t>. Significance is determined with a threshold of q-value &lt; 0.05.</w:t>
      </w:r>
    </w:p>
    <w:p w14:paraId="3958DCE3" w14:textId="3499AB89" w:rsidR="006A030C" w:rsidRPr="004C565E" w:rsidRDefault="1DF9446D" w:rsidP="74AC9112">
      <w:pPr>
        <w:rPr>
          <w:rFonts w:eastAsia="Calibri"/>
          <w:color w:val="000000" w:themeColor="text1"/>
        </w:rPr>
      </w:pPr>
      <w:r w:rsidRPr="74AC9112">
        <w:rPr>
          <w:rFonts w:eastAsia="Calibri"/>
          <w:b/>
          <w:bCs/>
          <w:color w:val="000000" w:themeColor="text1"/>
        </w:rPr>
        <w:t xml:space="preserve">Table S4. Chemical perturbagens targeting HOST systems. </w:t>
      </w:r>
      <w:r w:rsidRPr="74AC9112">
        <w:rPr>
          <w:rFonts w:eastAsia="Calibri"/>
          <w:color w:val="000000" w:themeColor="text1"/>
        </w:rPr>
        <w:t xml:space="preserve">Chemical perturbations were identified using </w:t>
      </w:r>
      <w:r w:rsidR="00FA19B7">
        <w:rPr>
          <w:rFonts w:eastAsia="Calibri"/>
          <w:color w:val="000000" w:themeColor="text1"/>
        </w:rPr>
        <w:t xml:space="preserve">a </w:t>
      </w:r>
      <w:r w:rsidR="00FA19B7" w:rsidRPr="74AC9112">
        <w:rPr>
          <w:rFonts w:eastAsia="Calibri"/>
          <w:color w:val="000000" w:themeColor="text1"/>
        </w:rPr>
        <w:t xml:space="preserve">group-lasso </w:t>
      </w:r>
      <w:r w:rsidR="00FA19B7">
        <w:rPr>
          <w:rFonts w:eastAsia="Calibri"/>
          <w:color w:val="000000" w:themeColor="text1"/>
        </w:rPr>
        <w:t>algorithm</w:t>
      </w:r>
      <w:r w:rsidR="00FA19B7" w:rsidRPr="74AC9112">
        <w:rPr>
          <w:rFonts w:eastAsia="Calibri"/>
          <w:color w:val="000000" w:themeColor="text1"/>
        </w:rPr>
        <w:t xml:space="preserve"> </w:t>
      </w:r>
      <w:r w:rsidRPr="74AC9112">
        <w:rPr>
          <w:rFonts w:eastAsia="Calibri"/>
          <w:color w:val="000000" w:themeColor="text1"/>
        </w:rPr>
        <w:t xml:space="preserve">on </w:t>
      </w:r>
      <w:proofErr w:type="spellStart"/>
      <w:r w:rsidRPr="74AC9112">
        <w:rPr>
          <w:rFonts w:eastAsia="Calibri"/>
          <w:color w:val="000000" w:themeColor="text1"/>
        </w:rPr>
        <w:t>CMap</w:t>
      </w:r>
      <w:proofErr w:type="spellEnd"/>
      <w:r w:rsidRPr="74AC9112">
        <w:rPr>
          <w:rFonts w:eastAsia="Calibri"/>
          <w:color w:val="000000" w:themeColor="text1"/>
        </w:rPr>
        <w:t xml:space="preserve"> perturbation data</w:t>
      </w:r>
      <w:r w:rsidR="008452CE">
        <w:rPr>
          <w:rFonts w:eastAsia="Calibri"/>
          <w:color w:val="000000" w:themeColor="text1"/>
        </w:rPr>
        <w:t xml:space="preserve"> </w:t>
      </w:r>
      <w:r w:rsidR="008452CE">
        <w:rPr>
          <w:rFonts w:eastAsia="Calibri"/>
          <w:color w:val="000000" w:themeColor="text1"/>
        </w:rPr>
        <w:fldChar w:fldCharType="begin"/>
      </w:r>
      <w:r w:rsidR="008452CE">
        <w:rPr>
          <w:rFonts w:eastAsia="Calibri"/>
          <w:color w:val="000000" w:themeColor="text1"/>
        </w:rPr>
        <w:instrText xml:space="preserve"> ADDIN ZOTERO_ITEM CSL_CITATION {"citationID":"a1dncqc2c0c","properties":{"formattedCitation":"[4]","plainCitation":"[4]","noteIndex":0},"citationItems":[{"id":2594,"uris":["http://zotero.org/users/12664369/items/IL6N6HV7"],"itemData":{"id":2594,"type":"article-journal","abstract":"We previously piloted the concept of a Connectivity Map (CMap), whereby genes, drugs, and disease states are connected by virtue of common gene-expression signatures. Here, we report more than a 1,000-fold scale-up of the CMap as part of the NIH LINCS Consortium, made possible by a new, low-cost, high-throughput reduced representation expression profiling method that we term L1000. We show that L1000 is highly reproducible, comparable to RNA sequencing, and suitable for computational inference of the expression levels of 81% of non-measured transcripts. We further show that the expanded CMap can be used to discover mechanism of action of small molecules, functionally annotate genetic variants of disease genes, and inform clinical trials. The 1.3 million L1000 profiles described here, as well as tools for their analysis, are available at https://clue.io.","container-title":"Cell","DOI":"10.1016/j.cell.2017.10.049","ISSN":"1097-4172","issue":"6","journalAbbreviation":"Cell","language":"eng","note":"PMID: 29195078\nPMCID: PMC5990023","page":"1437-1452.e17","source":"PubMed","title":"A Next Generation Connectivity Map: L1000 Platform and the First 1,000,000 Profiles","title-short":"A Next Generation Connectivity Map","volume":"171","author":[{"family":"Subramanian","given":"Aravind"},{"family":"Narayan","given":"Rajiv"},{"family":"Corsello","given":"Steven M."},{"family":"Peck","given":"David D."},{"family":"Natoli","given":"Ted E."},{"family":"Lu","given":"Xiaodong"},{"family":"Gould","given":"Joshua"},{"family":"Davis","given":"John F."},{"family":"Tubelli","given":"Andrew A."},{"family":"Asiedu","given":"Jacob K."},{"family":"Lahr","given":"David L."},{"family":"Hirschman","given":"Jodi E."},{"family":"Liu","given":"Zihan"},{"family":"Donahue","given":"Melanie"},{"family":"Julian","given":"Bina"},{"family":"Khan","given":"Mariya"},{"family":"Wadden","given":"David"},{"family":"Smith","given":"Ian C."},{"family":"Lam","given":"Daniel"},{"family":"Liberzon","given":"Arthur"},{"family":"Toder","given":"Courtney"},{"family":"Bagul","given":"Mukta"},{"family":"Orzechowski","given":"Marek"},{"family":"Enache","given":"Oana M."},{"family":"Piccioni","given":"Federica"},{"family":"Johnson","given":"Sarah A."},{"family":"Lyons","given":"Nicholas J."},{"family":"Berger","given":"Alice H."},{"family":"Shamji","given":"Alykhan F."},{"family":"Brooks","given":"Angela N."},{"family":"Vrcic","given":"Anita"},{"family":"Flynn","given":"Corey"},{"family":"Rosains","given":"Jacqueline"},{"family":"Takeda","given":"David Y."},{"family":"Hu","given":"Roger"},{"family":"Davison","given":"Desiree"},{"family":"Lamb","given":"Justin"},{"family":"Ardlie","given":"Kristin"},{"family":"Hogstrom","given":"Larson"},{"family":"Greenside","given":"Peyton"},{"family":"Gray","given":"Nathanael S."},{"family":"Clemons","given":"Paul A."},{"family":"Silver","given":"Serena"},{"family":"Wu","given":"Xiaoyun"},{"family":"Zhao","given":"Wen-Ning"},{"family":"Read-Button","given":"Willis"},{"family":"Wu","given":"Xiaohua"},{"family":"Haggarty","given":"Stephen J."},{"family":"Ronco","given":"Lucienne V."},{"family":"Boehm","given":"Jesse S."},{"family":"Schreiber","given":"Stuart L."},{"family":"Doench","given":"John G."},{"family":"Bittker","given":"Joshua A."},{"family":"Root","given":"David E."},{"family":"Wong","given":"Bang"},{"family":"Golub","given":"Todd R."}],"issued":{"date-parts":[["2017",11,30]]}}}],"schema":"https://github.com/citation-style-language/schema/raw/master/csl-citation.json"} </w:instrText>
      </w:r>
      <w:r w:rsidR="008452CE">
        <w:rPr>
          <w:rFonts w:eastAsia="Calibri"/>
          <w:color w:val="000000" w:themeColor="text1"/>
        </w:rPr>
        <w:fldChar w:fldCharType="separate"/>
      </w:r>
      <w:r w:rsidR="008452CE" w:rsidRPr="008452CE">
        <w:rPr>
          <w:kern w:val="0"/>
        </w:rPr>
        <w:t>[4]</w:t>
      </w:r>
      <w:r w:rsidR="008452CE">
        <w:rPr>
          <w:rFonts w:eastAsia="Calibri"/>
          <w:color w:val="000000" w:themeColor="text1"/>
        </w:rPr>
        <w:fldChar w:fldCharType="end"/>
      </w:r>
      <w:r w:rsidRPr="74AC9112">
        <w:rPr>
          <w:rFonts w:eastAsia="Calibri"/>
          <w:color w:val="000000" w:themeColor="text1"/>
        </w:rPr>
        <w:t xml:space="preserve"> and </w:t>
      </w:r>
      <w:r w:rsidR="000B7A52">
        <w:rPr>
          <w:rFonts w:eastAsia="Calibri"/>
          <w:color w:val="000000" w:themeColor="text1"/>
        </w:rPr>
        <w:t>HOST</w:t>
      </w:r>
      <w:r w:rsidR="000B7A52" w:rsidRPr="74AC9112">
        <w:rPr>
          <w:rFonts w:eastAsia="Calibri"/>
          <w:color w:val="000000" w:themeColor="text1"/>
        </w:rPr>
        <w:t xml:space="preserve"> protein </w:t>
      </w:r>
      <w:r w:rsidR="000B7A52">
        <w:rPr>
          <w:rFonts w:eastAsia="Calibri"/>
          <w:color w:val="000000" w:themeColor="text1"/>
        </w:rPr>
        <w:t>systems</w:t>
      </w:r>
      <w:r w:rsidRPr="74AC9112">
        <w:rPr>
          <w:rFonts w:eastAsia="Calibri"/>
          <w:color w:val="000000" w:themeColor="text1"/>
        </w:rPr>
        <w:t>. Significance is determined with a threshold of q-value &lt; 0.05.</w:t>
      </w:r>
    </w:p>
    <w:p w14:paraId="28A0553C" w14:textId="458B5CBA" w:rsidR="006A030C" w:rsidRPr="004C565E" w:rsidRDefault="006A030C" w:rsidP="00327052">
      <w:r>
        <w:br w:type="page"/>
      </w:r>
    </w:p>
    <w:p w14:paraId="121229D6" w14:textId="37BAF9C8" w:rsidR="006A030C" w:rsidRPr="004C565E" w:rsidRDefault="6D53C5C7" w:rsidP="74AC9112">
      <w:pPr>
        <w:pStyle w:val="Heading1"/>
        <w:numPr>
          <w:ilvl w:val="0"/>
          <w:numId w:val="0"/>
        </w:numPr>
        <w:rPr>
          <w:rFonts w:eastAsia="Times New Roman"/>
        </w:rPr>
      </w:pPr>
      <w:r w:rsidRPr="74AC9112">
        <w:rPr>
          <w:rFonts w:eastAsia="Times New Roman"/>
        </w:rPr>
        <w:lastRenderedPageBreak/>
        <w:t>Supplementary Data</w:t>
      </w:r>
    </w:p>
    <w:p w14:paraId="356C480C" w14:textId="45B87306" w:rsidR="006A030C" w:rsidRPr="004C565E" w:rsidRDefault="6D53C5C7" w:rsidP="74AC9112">
      <w:pPr>
        <w:rPr>
          <w:rFonts w:eastAsia="Calibri"/>
          <w:color w:val="000000" w:themeColor="text1"/>
        </w:rPr>
      </w:pPr>
      <w:r w:rsidRPr="74AC9112">
        <w:rPr>
          <w:rFonts w:eastAsia="Calibri"/>
          <w:b/>
          <w:bCs/>
          <w:color w:val="000000" w:themeColor="text1"/>
        </w:rPr>
        <w:t>Data S1. Relationship data for the 6-layer BC protein system network.</w:t>
      </w:r>
      <w:r w:rsidRPr="74AC9112">
        <w:rPr>
          <w:rFonts w:eastAsia="Calibri"/>
          <w:color w:val="000000" w:themeColor="text1"/>
        </w:rPr>
        <w:t xml:space="preserve"> Clusters are generated from the MPGNN model using data from Zheng </w:t>
      </w:r>
      <w:r w:rsidRPr="74AC9112">
        <w:rPr>
          <w:rFonts w:eastAsia="Calibri"/>
          <w:i/>
          <w:iCs/>
          <w:color w:val="000000" w:themeColor="text1"/>
        </w:rPr>
        <w:t>et al</w:t>
      </w:r>
      <w:r w:rsidRPr="74AC9112">
        <w:rPr>
          <w:rFonts w:eastAsia="Calibri"/>
          <w:color w:val="000000" w:themeColor="text1"/>
        </w:rPr>
        <w:t>.</w:t>
      </w:r>
      <w:r w:rsidR="008452CE">
        <w:rPr>
          <w:rFonts w:eastAsia="Calibri"/>
          <w:color w:val="000000" w:themeColor="text1"/>
        </w:rPr>
        <w:t xml:space="preserve"> </w:t>
      </w:r>
      <w:r w:rsidR="008452CE">
        <w:rPr>
          <w:rFonts w:eastAsia="Calibri"/>
          <w:color w:val="000000" w:themeColor="text1"/>
        </w:rPr>
        <w:fldChar w:fldCharType="begin"/>
      </w:r>
      <w:r w:rsidR="008452CE">
        <w:rPr>
          <w:rFonts w:eastAsia="Calibri"/>
          <w:color w:val="000000" w:themeColor="text1"/>
        </w:rPr>
        <w:instrText xml:space="preserve"> ADDIN ZOTERO_ITEM CSL_CITATION {"citationID":"a14a3v5k03d","properties":{"formattedCitation":"[1]","plainCitation":"[1]","noteIndex":0},"citationItems":[{"id":699,"uris":["http://zotero.org/users/12664369/items/MCCK8ETK"],"itemData":{"id":699,"type":"article-journal","abstract":"A major goal of cancer research is to understand how mutations distributed across diverse genes affect common cellular systems, including multi-protein complexes and assemblies. Two challenges— how to comprehensively map such systems and how to identify which are under mutational selection— have hindered this understanding. Here, we create a comprehensive map of cancer protein systems integrating new and published multi-omic interaction data at multiple scales of analysis. We then develop a unified statistical model that pinpoints 395 specific systems under mutational selection across 13 cancer types. This map, called NeST (Nested Systems in Tumors), incorporates canonical processes and new discoveries, including a PIK3CA-actomyosin complex that inhibits PI3K signaling and recurrent mutations in collagen complexes that promote tumor proliferation. These systems can be used as clinical biomarkers and implicate a total of 548 genes in cancer evolution and progression. This work shows how disparate tumor mutations converge on protein assemblies at different scales.","container-title":"Science","DOI":"10.1126/science.abf3067","ISSN":"0036-8075, 1095-9203","issue":"6563","journalAbbreviation":"Science","language":"en","note":"2","page":"eabf3067","source":"DOI.org (Crossref)","title":"Interpretation of cancer mutations using a multiscale map of protein systems","volume":"374","author":[{"family":"Zheng","given":"Fan"},{"family":"Kelly","given":"Marcus R."},{"family":"Ramms","given":"Dana J."},{"family":"Heintschel","given":"Marissa L."},{"family":"Tao","given":"Kai"},{"family":"Tutuncuoglu","given":"Beril"},{"family":"Lee","given":"John J."},{"family":"Ono","given":"Keiichiro"},{"family":"Foussard","given":"Helene"},{"family":"Chen","given":"Michael"},{"family":"Herrington","given":"Kari A."},{"family":"Silva","given":"Erica"},{"family":"Liu","given":"Sophie N."},{"family":"Chen","given":"Jing"},{"family":"Churas","given":"Christopher"},{"family":"Wilson","given":"Nicholas"},{"family":"Kratz","given":"Anton"},{"family":"Pillich","given":"Rudolf T."},{"family":"Patel","given":"Devin N."},{"family":"Park","given":"Jisoo"},{"family":"Kuenzi","given":"Brent"},{"family":"Yu","given":"Michael K."},{"family":"Licon","given":"Katherine"},{"family":"Pratt","given":"Dexter"},{"family":"Kreisberg","given":"Jason F."},{"family":"Kim","given":"Minkyu"},{"family":"Swaney","given":"Danielle L."},{"family":"Nan","given":"Xiaolin"},{"family":"Fraley","given":"Stephanie I."},{"family":"Gutkind","given":"J. Silvio"},{"family":"Krogan","given":"Nevan J."},{"family":"Ideker","given":"Trey"}],"issued":{"date-parts":[["2021",10]]}}}],"schema":"https://github.com/citation-style-language/schema/raw/master/csl-citation.json"} </w:instrText>
      </w:r>
      <w:r w:rsidR="008452CE">
        <w:rPr>
          <w:rFonts w:eastAsia="Calibri"/>
          <w:color w:val="000000" w:themeColor="text1"/>
        </w:rPr>
        <w:fldChar w:fldCharType="separate"/>
      </w:r>
      <w:r w:rsidR="008452CE" w:rsidRPr="008452CE">
        <w:rPr>
          <w:kern w:val="0"/>
        </w:rPr>
        <w:t>[1]</w:t>
      </w:r>
      <w:r w:rsidR="008452CE">
        <w:rPr>
          <w:rFonts w:eastAsia="Calibri"/>
          <w:color w:val="000000" w:themeColor="text1"/>
        </w:rPr>
        <w:fldChar w:fldCharType="end"/>
      </w:r>
    </w:p>
    <w:p w14:paraId="21D5376E" w14:textId="58C46669" w:rsidR="006A030C" w:rsidRPr="004C565E" w:rsidRDefault="6D53C5C7" w:rsidP="74AC9112">
      <w:pPr>
        <w:rPr>
          <w:rFonts w:eastAsia="Calibri"/>
          <w:color w:val="000000" w:themeColor="text1"/>
        </w:rPr>
      </w:pPr>
      <w:r w:rsidRPr="74AC9112">
        <w:rPr>
          <w:rFonts w:eastAsia="Calibri"/>
          <w:b/>
          <w:bCs/>
          <w:color w:val="000000" w:themeColor="text1"/>
        </w:rPr>
        <w:t>Data S2. Unpruned hierarchical protein system tree (HOST).</w:t>
      </w:r>
      <w:r w:rsidRPr="74AC9112">
        <w:rPr>
          <w:rFonts w:eastAsia="Calibri"/>
          <w:color w:val="000000" w:themeColor="text1"/>
        </w:rPr>
        <w:t xml:space="preserve"> The unpruned HOST tree contains all nodes imported from </w:t>
      </w:r>
      <w:r w:rsidRPr="74AC9112">
        <w:rPr>
          <w:rFonts w:eastAsia="Calibri"/>
          <w:b/>
          <w:bCs/>
          <w:color w:val="000000" w:themeColor="text1"/>
        </w:rPr>
        <w:t>Data S1</w:t>
      </w:r>
      <w:r w:rsidRPr="74AC9112">
        <w:rPr>
          <w:rFonts w:eastAsia="Calibri"/>
          <w:color w:val="000000" w:themeColor="text1"/>
        </w:rPr>
        <w:t>.</w:t>
      </w:r>
    </w:p>
    <w:p w14:paraId="6829AFC8" w14:textId="2277E90F" w:rsidR="006A030C" w:rsidRPr="004C565E" w:rsidRDefault="6D53C5C7" w:rsidP="74AC9112">
      <w:pPr>
        <w:rPr>
          <w:rFonts w:eastAsia="Calibri"/>
          <w:color w:val="000000" w:themeColor="text1"/>
        </w:rPr>
      </w:pPr>
      <w:r w:rsidRPr="74AC9112">
        <w:rPr>
          <w:rFonts w:eastAsia="Calibri"/>
          <w:b/>
          <w:bCs/>
          <w:color w:val="000000" w:themeColor="text1"/>
        </w:rPr>
        <w:t xml:space="preserve">Data S3. Pruned hierarchical protein system tree (HOST). </w:t>
      </w:r>
      <w:r w:rsidRPr="74AC9112">
        <w:rPr>
          <w:rFonts w:eastAsia="Calibri"/>
          <w:color w:val="000000" w:themeColor="text1"/>
        </w:rPr>
        <w:t xml:space="preserve">The pruned HOST tree contains all significant nodes from </w:t>
      </w:r>
      <w:r w:rsidRPr="74AC9112">
        <w:rPr>
          <w:rFonts w:eastAsia="Calibri"/>
          <w:b/>
          <w:bCs/>
          <w:color w:val="000000" w:themeColor="text1"/>
        </w:rPr>
        <w:t>Data S2</w:t>
      </w:r>
      <w:r w:rsidRPr="74AC9112">
        <w:rPr>
          <w:rFonts w:eastAsia="Calibri"/>
          <w:color w:val="000000" w:themeColor="text1"/>
        </w:rPr>
        <w:t xml:space="preserve">. Insignificant nodes were pruned using a bottom-up breadth first search approach to produce </w:t>
      </w:r>
      <w:r w:rsidRPr="74AC9112">
        <w:rPr>
          <w:rFonts w:eastAsia="Calibri"/>
          <w:b/>
          <w:bCs/>
          <w:color w:val="000000" w:themeColor="text1"/>
        </w:rPr>
        <w:t>Figure 2</w:t>
      </w:r>
      <w:r w:rsidRPr="74AC9112">
        <w:rPr>
          <w:rFonts w:eastAsia="Calibri"/>
          <w:color w:val="000000" w:themeColor="text1"/>
        </w:rPr>
        <w:t>.</w:t>
      </w:r>
    </w:p>
    <w:p w14:paraId="6D30B705" w14:textId="310B462B" w:rsidR="008452CE" w:rsidRDefault="008452CE">
      <w:pPr>
        <w:spacing w:line="278" w:lineRule="auto"/>
        <w:jc w:val="left"/>
      </w:pPr>
      <w:r>
        <w:br w:type="page"/>
      </w:r>
    </w:p>
    <w:p w14:paraId="188F9FA6" w14:textId="2863C601" w:rsidR="008452CE" w:rsidRDefault="008452CE" w:rsidP="008452CE">
      <w:pPr>
        <w:pStyle w:val="Heading1"/>
        <w:numPr>
          <w:ilvl w:val="0"/>
          <w:numId w:val="0"/>
        </w:numPr>
      </w:pPr>
      <w:r>
        <w:lastRenderedPageBreak/>
        <w:t>Supplementary References</w:t>
      </w:r>
    </w:p>
    <w:p w14:paraId="58C93B07" w14:textId="77777777" w:rsidR="007D1B99" w:rsidRPr="007D1B99" w:rsidRDefault="008452CE" w:rsidP="007D1B99">
      <w:pPr>
        <w:pStyle w:val="Bibliography"/>
      </w:pPr>
      <w:r>
        <w:fldChar w:fldCharType="begin"/>
      </w:r>
      <w:r w:rsidR="007D1B99">
        <w:instrText xml:space="preserve"> ADDIN ZOTERO_BIBL {"uncited":[],"omitted":[],"custom":[]} CSL_BIBLIOGRAPHY </w:instrText>
      </w:r>
      <w:r>
        <w:fldChar w:fldCharType="separate"/>
      </w:r>
      <w:r w:rsidR="007D1B99" w:rsidRPr="007D1B99">
        <w:t>[1]</w:t>
      </w:r>
      <w:r w:rsidR="007D1B99" w:rsidRPr="007D1B99">
        <w:tab/>
        <w:t>Zheng F, Kelly MR, Ramms DJ, Heintschel ML, Tao K, Tutuncuoglu B, Lee JJ, Ono K, Foussard H, Chen M, et al. Interpretation of cancer mutations using a multiscale map of protein systems. Science. 2021;374(6563):eabf3067. doi:10.1126/science.abf3067</w:t>
      </w:r>
    </w:p>
    <w:p w14:paraId="3AEA6172" w14:textId="77777777" w:rsidR="007D1B99" w:rsidRPr="007D1B99" w:rsidRDefault="007D1B99" w:rsidP="007D1B99">
      <w:pPr>
        <w:pStyle w:val="Bibliography"/>
      </w:pPr>
      <w:r w:rsidRPr="007D1B99">
        <w:t>[2]</w:t>
      </w:r>
      <w:r w:rsidRPr="007D1B99">
        <w:tab/>
        <w:t>Smith JC, Sheltzer JM. Genome-wide identification and analysis of prognostic features in human cancers. Cell Reports. 2022;38(13):110569. doi:10.1016/j.celrep.2022.110569</w:t>
      </w:r>
    </w:p>
    <w:p w14:paraId="4CA92D74" w14:textId="77777777" w:rsidR="007D1B99" w:rsidRPr="007D1B99" w:rsidRDefault="007D1B99" w:rsidP="007D1B99">
      <w:pPr>
        <w:pStyle w:val="Bibliography"/>
      </w:pPr>
      <w:r w:rsidRPr="007D1B99">
        <w:t>[3]</w:t>
      </w:r>
      <w:r w:rsidRPr="007D1B99">
        <w:tab/>
        <w:t>Tsherniak A, Vazquez F, Montgomery PG, Weir BA, Kryukov G, Cowley GS, Gill S, Harrington WF, Pantel S, Krill-Burger JM, et al. Defining a Cancer Dependency Map. Cell. 2017;170(3):564-576.e16. doi:10.1016/j.cell.2017.06.010</w:t>
      </w:r>
    </w:p>
    <w:p w14:paraId="11418938" w14:textId="77777777" w:rsidR="007D1B99" w:rsidRPr="007D1B99" w:rsidRDefault="007D1B99" w:rsidP="007D1B99">
      <w:pPr>
        <w:pStyle w:val="Bibliography"/>
      </w:pPr>
      <w:r w:rsidRPr="007D1B99">
        <w:t>[4]</w:t>
      </w:r>
      <w:r w:rsidRPr="007D1B99">
        <w:tab/>
        <w:t>Subramanian A, Narayan R, Corsello SM, Peck DD, Natoli TE, Lu X, Gould J, Davis JF, Tubelli AA, Asiedu JK, et al. A Next Generation Connectivity Map: L1000 Platform and the First 1,000,000 Profiles. Cell. 2017;171(6):1437-1452.e17. doi:10.1016/j.cell.2017.10.049</w:t>
      </w:r>
    </w:p>
    <w:p w14:paraId="74218BC7" w14:textId="3A65E41D" w:rsidR="008452CE" w:rsidRPr="008452CE" w:rsidRDefault="008452CE" w:rsidP="008452CE">
      <w:r>
        <w:fldChar w:fldCharType="end"/>
      </w:r>
    </w:p>
    <w:sectPr w:rsidR="008452CE" w:rsidRPr="00845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JglYLshqy+hKLJ" int2:id="zr17h0Tg">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16B14"/>
    <w:multiLevelType w:val="multilevel"/>
    <w:tmpl w:val="74402E10"/>
    <w:lvl w:ilvl="0">
      <w:start w:val="1"/>
      <w:numFmt w:val="decimal"/>
      <w:pStyle w:val="Heading1"/>
      <w:suff w:val="space"/>
      <w:lvlText w:val="%1."/>
      <w:lvlJc w:val="left"/>
      <w:pPr>
        <w:ind w:left="0" w:firstLine="0"/>
      </w:pPr>
      <w:rPr>
        <w:rFonts w:ascii="Times New Roman" w:hAnsi="Times New Roman" w:hint="default"/>
        <w:b/>
        <w:i w:val="0"/>
        <w:color w:val="000000" w:themeColor="text1"/>
        <w:sz w:val="32"/>
      </w:rPr>
    </w:lvl>
    <w:lvl w:ilvl="1">
      <w:start w:val="1"/>
      <w:numFmt w:val="decimal"/>
      <w:pStyle w:val="Heading2"/>
      <w:suff w:val="space"/>
      <w:lvlText w:val="%1.%2"/>
      <w:lvlJc w:val="left"/>
      <w:pPr>
        <w:ind w:left="0" w:firstLine="0"/>
      </w:pPr>
      <w:rPr>
        <w:rFonts w:ascii="Times New Roman" w:hAnsi="Times New Roman" w:hint="default"/>
        <w:b/>
        <w:i w:val="0"/>
        <w:color w:val="000000" w:themeColor="text1"/>
        <w:sz w:val="24"/>
      </w:rPr>
    </w:lvl>
    <w:lvl w:ilvl="2">
      <w:start w:val="1"/>
      <w:numFmt w:val="decimal"/>
      <w:pStyle w:val="Heading3"/>
      <w:suff w:val="space"/>
      <w:lvlText w:val="%1.%2.%3"/>
      <w:lvlJc w:val="left"/>
      <w:pPr>
        <w:ind w:left="0" w:firstLine="0"/>
      </w:pPr>
      <w:rPr>
        <w:rFonts w:ascii="Times New Roman" w:hAnsi="Times New Roman" w:hint="default"/>
        <w:b/>
        <w:i w:val="0"/>
        <w:color w:val="000000" w:themeColor="text1"/>
        <w:sz w:val="24"/>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16cid:durableId="1771311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9F2"/>
    <w:rsid w:val="0000598A"/>
    <w:rsid w:val="000101AE"/>
    <w:rsid w:val="00011C1A"/>
    <w:rsid w:val="00011FD4"/>
    <w:rsid w:val="000134D1"/>
    <w:rsid w:val="00016813"/>
    <w:rsid w:val="00024A37"/>
    <w:rsid w:val="00031AEE"/>
    <w:rsid w:val="00033203"/>
    <w:rsid w:val="00052162"/>
    <w:rsid w:val="000533A1"/>
    <w:rsid w:val="00055CB2"/>
    <w:rsid w:val="00056D17"/>
    <w:rsid w:val="000600A1"/>
    <w:rsid w:val="000602CF"/>
    <w:rsid w:val="0006196A"/>
    <w:rsid w:val="00064409"/>
    <w:rsid w:val="00077ED6"/>
    <w:rsid w:val="00080C0B"/>
    <w:rsid w:val="00080D99"/>
    <w:rsid w:val="00086551"/>
    <w:rsid w:val="00090091"/>
    <w:rsid w:val="000939B4"/>
    <w:rsid w:val="00096CD5"/>
    <w:rsid w:val="000A57CF"/>
    <w:rsid w:val="000B7A52"/>
    <w:rsid w:val="000C0597"/>
    <w:rsid w:val="000C2676"/>
    <w:rsid w:val="000C4C48"/>
    <w:rsid w:val="000C638F"/>
    <w:rsid w:val="000D2F6D"/>
    <w:rsid w:val="000D3CC6"/>
    <w:rsid w:val="000E38FC"/>
    <w:rsid w:val="000E7A70"/>
    <w:rsid w:val="000F38C6"/>
    <w:rsid w:val="000F5F12"/>
    <w:rsid w:val="000F6AAA"/>
    <w:rsid w:val="00100EE8"/>
    <w:rsid w:val="00101745"/>
    <w:rsid w:val="00105492"/>
    <w:rsid w:val="00111A17"/>
    <w:rsid w:val="00112458"/>
    <w:rsid w:val="00113C01"/>
    <w:rsid w:val="001248E5"/>
    <w:rsid w:val="00124FA4"/>
    <w:rsid w:val="00130E0E"/>
    <w:rsid w:val="001334FF"/>
    <w:rsid w:val="001337D5"/>
    <w:rsid w:val="00136096"/>
    <w:rsid w:val="001438B3"/>
    <w:rsid w:val="001567CC"/>
    <w:rsid w:val="00160BF8"/>
    <w:rsid w:val="0016278C"/>
    <w:rsid w:val="00165BE5"/>
    <w:rsid w:val="0016731B"/>
    <w:rsid w:val="001675CD"/>
    <w:rsid w:val="00171001"/>
    <w:rsid w:val="00171AFC"/>
    <w:rsid w:val="001741CA"/>
    <w:rsid w:val="001746A7"/>
    <w:rsid w:val="001749E5"/>
    <w:rsid w:val="00176046"/>
    <w:rsid w:val="00185E23"/>
    <w:rsid w:val="00193C94"/>
    <w:rsid w:val="00196B14"/>
    <w:rsid w:val="001A2082"/>
    <w:rsid w:val="001A2702"/>
    <w:rsid w:val="001A6419"/>
    <w:rsid w:val="001B1ED4"/>
    <w:rsid w:val="001B59DB"/>
    <w:rsid w:val="001C2B0C"/>
    <w:rsid w:val="001C31D0"/>
    <w:rsid w:val="001C720C"/>
    <w:rsid w:val="001C73C8"/>
    <w:rsid w:val="001D43C2"/>
    <w:rsid w:val="001D4610"/>
    <w:rsid w:val="001D72F0"/>
    <w:rsid w:val="001E5052"/>
    <w:rsid w:val="001E511E"/>
    <w:rsid w:val="001E55B0"/>
    <w:rsid w:val="001F2B21"/>
    <w:rsid w:val="001F5C2A"/>
    <w:rsid w:val="001F7E1A"/>
    <w:rsid w:val="00213A41"/>
    <w:rsid w:val="0021457C"/>
    <w:rsid w:val="00215AC5"/>
    <w:rsid w:val="00217DB2"/>
    <w:rsid w:val="00226D42"/>
    <w:rsid w:val="00233648"/>
    <w:rsid w:val="00235D58"/>
    <w:rsid w:val="00236416"/>
    <w:rsid w:val="002370BF"/>
    <w:rsid w:val="00241491"/>
    <w:rsid w:val="002438B5"/>
    <w:rsid w:val="00245336"/>
    <w:rsid w:val="002500C1"/>
    <w:rsid w:val="0025700D"/>
    <w:rsid w:val="0026135B"/>
    <w:rsid w:val="00263A4F"/>
    <w:rsid w:val="00264610"/>
    <w:rsid w:val="00265E93"/>
    <w:rsid w:val="00272670"/>
    <w:rsid w:val="00273803"/>
    <w:rsid w:val="00274D01"/>
    <w:rsid w:val="002761E9"/>
    <w:rsid w:val="00280240"/>
    <w:rsid w:val="002832F3"/>
    <w:rsid w:val="002856E5"/>
    <w:rsid w:val="00297F8D"/>
    <w:rsid w:val="002A3956"/>
    <w:rsid w:val="002A3C2A"/>
    <w:rsid w:val="002A4D6E"/>
    <w:rsid w:val="002B0515"/>
    <w:rsid w:val="002B1949"/>
    <w:rsid w:val="002B3349"/>
    <w:rsid w:val="002C050E"/>
    <w:rsid w:val="002C0A70"/>
    <w:rsid w:val="002C3995"/>
    <w:rsid w:val="002C3E39"/>
    <w:rsid w:val="002C3E48"/>
    <w:rsid w:val="002C5B37"/>
    <w:rsid w:val="002D09B3"/>
    <w:rsid w:val="002D0E93"/>
    <w:rsid w:val="002D4381"/>
    <w:rsid w:val="002D6143"/>
    <w:rsid w:val="002E02E6"/>
    <w:rsid w:val="002E2C81"/>
    <w:rsid w:val="002E7C22"/>
    <w:rsid w:val="002F33B0"/>
    <w:rsid w:val="002F4F42"/>
    <w:rsid w:val="002F5B19"/>
    <w:rsid w:val="00300067"/>
    <w:rsid w:val="00302DED"/>
    <w:rsid w:val="003038A3"/>
    <w:rsid w:val="00303D84"/>
    <w:rsid w:val="00316D6C"/>
    <w:rsid w:val="003216EB"/>
    <w:rsid w:val="003224DA"/>
    <w:rsid w:val="00327052"/>
    <w:rsid w:val="00335402"/>
    <w:rsid w:val="00351FC3"/>
    <w:rsid w:val="00356D63"/>
    <w:rsid w:val="00372378"/>
    <w:rsid w:val="00373504"/>
    <w:rsid w:val="00384A8C"/>
    <w:rsid w:val="00385B17"/>
    <w:rsid w:val="00393D24"/>
    <w:rsid w:val="003945AF"/>
    <w:rsid w:val="003973AA"/>
    <w:rsid w:val="003A107F"/>
    <w:rsid w:val="003A1821"/>
    <w:rsid w:val="003A7683"/>
    <w:rsid w:val="003B1390"/>
    <w:rsid w:val="003B1FD5"/>
    <w:rsid w:val="003B5082"/>
    <w:rsid w:val="003B7477"/>
    <w:rsid w:val="003B769C"/>
    <w:rsid w:val="003C219F"/>
    <w:rsid w:val="003C7672"/>
    <w:rsid w:val="003C7935"/>
    <w:rsid w:val="003D002B"/>
    <w:rsid w:val="003D0649"/>
    <w:rsid w:val="003D0C0D"/>
    <w:rsid w:val="003D0CEF"/>
    <w:rsid w:val="003D34B1"/>
    <w:rsid w:val="003D7A5C"/>
    <w:rsid w:val="003E0786"/>
    <w:rsid w:val="003E417D"/>
    <w:rsid w:val="003F03CC"/>
    <w:rsid w:val="003F0692"/>
    <w:rsid w:val="003F13DA"/>
    <w:rsid w:val="003F3FEA"/>
    <w:rsid w:val="0040071B"/>
    <w:rsid w:val="00400845"/>
    <w:rsid w:val="00400EE5"/>
    <w:rsid w:val="00404239"/>
    <w:rsid w:val="0041124E"/>
    <w:rsid w:val="00412E8E"/>
    <w:rsid w:val="00417347"/>
    <w:rsid w:val="00423410"/>
    <w:rsid w:val="004235AE"/>
    <w:rsid w:val="004249E3"/>
    <w:rsid w:val="0042641A"/>
    <w:rsid w:val="00430265"/>
    <w:rsid w:val="00433BFA"/>
    <w:rsid w:val="004356F5"/>
    <w:rsid w:val="004406F9"/>
    <w:rsid w:val="00452FE8"/>
    <w:rsid w:val="004569FE"/>
    <w:rsid w:val="004700EB"/>
    <w:rsid w:val="00472655"/>
    <w:rsid w:val="00476C7B"/>
    <w:rsid w:val="00477231"/>
    <w:rsid w:val="00481CBC"/>
    <w:rsid w:val="004827BA"/>
    <w:rsid w:val="004A0ACD"/>
    <w:rsid w:val="004A177F"/>
    <w:rsid w:val="004A2E7D"/>
    <w:rsid w:val="004A330E"/>
    <w:rsid w:val="004B2DB8"/>
    <w:rsid w:val="004B3EDE"/>
    <w:rsid w:val="004B4FA5"/>
    <w:rsid w:val="004B6707"/>
    <w:rsid w:val="004C43F1"/>
    <w:rsid w:val="004C565E"/>
    <w:rsid w:val="004C71E5"/>
    <w:rsid w:val="004D0B06"/>
    <w:rsid w:val="004D10EB"/>
    <w:rsid w:val="004D298F"/>
    <w:rsid w:val="004D6636"/>
    <w:rsid w:val="004D7172"/>
    <w:rsid w:val="004D7A9B"/>
    <w:rsid w:val="004E3904"/>
    <w:rsid w:val="004F61A1"/>
    <w:rsid w:val="004F6DAA"/>
    <w:rsid w:val="005017C6"/>
    <w:rsid w:val="00502FE8"/>
    <w:rsid w:val="00503848"/>
    <w:rsid w:val="00505DB4"/>
    <w:rsid w:val="00510C84"/>
    <w:rsid w:val="00512E1B"/>
    <w:rsid w:val="00513DB8"/>
    <w:rsid w:val="00523A9E"/>
    <w:rsid w:val="00524063"/>
    <w:rsid w:val="00524DB0"/>
    <w:rsid w:val="00530D1E"/>
    <w:rsid w:val="00530DE0"/>
    <w:rsid w:val="00531656"/>
    <w:rsid w:val="0053196C"/>
    <w:rsid w:val="00553D9F"/>
    <w:rsid w:val="00556805"/>
    <w:rsid w:val="00557492"/>
    <w:rsid w:val="00561603"/>
    <w:rsid w:val="00562071"/>
    <w:rsid w:val="00564AC7"/>
    <w:rsid w:val="00566C2B"/>
    <w:rsid w:val="00570914"/>
    <w:rsid w:val="00570FD7"/>
    <w:rsid w:val="00573F5C"/>
    <w:rsid w:val="00574BD3"/>
    <w:rsid w:val="00575549"/>
    <w:rsid w:val="00582B8F"/>
    <w:rsid w:val="005A1162"/>
    <w:rsid w:val="005A7A3E"/>
    <w:rsid w:val="005A7EF9"/>
    <w:rsid w:val="005C57BD"/>
    <w:rsid w:val="005C65C5"/>
    <w:rsid w:val="005D1830"/>
    <w:rsid w:val="005D241F"/>
    <w:rsid w:val="005E044C"/>
    <w:rsid w:val="005E0579"/>
    <w:rsid w:val="006066A0"/>
    <w:rsid w:val="0061487E"/>
    <w:rsid w:val="006211B4"/>
    <w:rsid w:val="006238E0"/>
    <w:rsid w:val="006247BD"/>
    <w:rsid w:val="00624A05"/>
    <w:rsid w:val="00633E85"/>
    <w:rsid w:val="0063D2E3"/>
    <w:rsid w:val="00643E05"/>
    <w:rsid w:val="006505EB"/>
    <w:rsid w:val="00654BB3"/>
    <w:rsid w:val="00655798"/>
    <w:rsid w:val="0066059B"/>
    <w:rsid w:val="00673E9C"/>
    <w:rsid w:val="00684823"/>
    <w:rsid w:val="00690837"/>
    <w:rsid w:val="00691404"/>
    <w:rsid w:val="00696645"/>
    <w:rsid w:val="0069707E"/>
    <w:rsid w:val="006973F9"/>
    <w:rsid w:val="006A030C"/>
    <w:rsid w:val="006B763C"/>
    <w:rsid w:val="006C24ED"/>
    <w:rsid w:val="006D1F76"/>
    <w:rsid w:val="006D44F5"/>
    <w:rsid w:val="006E2699"/>
    <w:rsid w:val="006E2EF2"/>
    <w:rsid w:val="006E493A"/>
    <w:rsid w:val="006E60BE"/>
    <w:rsid w:val="006F1FAE"/>
    <w:rsid w:val="006F55A2"/>
    <w:rsid w:val="006F7B85"/>
    <w:rsid w:val="00701229"/>
    <w:rsid w:val="00710FC9"/>
    <w:rsid w:val="0071106B"/>
    <w:rsid w:val="00712DE4"/>
    <w:rsid w:val="00716A4D"/>
    <w:rsid w:val="00717580"/>
    <w:rsid w:val="007264F6"/>
    <w:rsid w:val="0072652D"/>
    <w:rsid w:val="00726900"/>
    <w:rsid w:val="00734477"/>
    <w:rsid w:val="00735E35"/>
    <w:rsid w:val="00735EC2"/>
    <w:rsid w:val="00737E22"/>
    <w:rsid w:val="0074287F"/>
    <w:rsid w:val="00742EC8"/>
    <w:rsid w:val="00745867"/>
    <w:rsid w:val="00745DAC"/>
    <w:rsid w:val="00750777"/>
    <w:rsid w:val="007509BE"/>
    <w:rsid w:val="007619CB"/>
    <w:rsid w:val="00762721"/>
    <w:rsid w:val="00765F79"/>
    <w:rsid w:val="0076795B"/>
    <w:rsid w:val="00767B18"/>
    <w:rsid w:val="00784CBB"/>
    <w:rsid w:val="00785638"/>
    <w:rsid w:val="0079093E"/>
    <w:rsid w:val="007914AF"/>
    <w:rsid w:val="00792CA6"/>
    <w:rsid w:val="0079796C"/>
    <w:rsid w:val="007A1824"/>
    <w:rsid w:val="007A49F2"/>
    <w:rsid w:val="007B0CCD"/>
    <w:rsid w:val="007B1194"/>
    <w:rsid w:val="007C04C9"/>
    <w:rsid w:val="007C5CEE"/>
    <w:rsid w:val="007D032A"/>
    <w:rsid w:val="007D0C42"/>
    <w:rsid w:val="007D1B99"/>
    <w:rsid w:val="007D78C0"/>
    <w:rsid w:val="007E18CB"/>
    <w:rsid w:val="007E1914"/>
    <w:rsid w:val="007F266F"/>
    <w:rsid w:val="007F2B59"/>
    <w:rsid w:val="007F4E02"/>
    <w:rsid w:val="007F6C95"/>
    <w:rsid w:val="008065D7"/>
    <w:rsid w:val="008073FB"/>
    <w:rsid w:val="00811209"/>
    <w:rsid w:val="00811C93"/>
    <w:rsid w:val="0081797E"/>
    <w:rsid w:val="008205FD"/>
    <w:rsid w:val="00823634"/>
    <w:rsid w:val="00823EB7"/>
    <w:rsid w:val="00824639"/>
    <w:rsid w:val="00826A88"/>
    <w:rsid w:val="0083010D"/>
    <w:rsid w:val="008330FD"/>
    <w:rsid w:val="00833480"/>
    <w:rsid w:val="00837299"/>
    <w:rsid w:val="00843202"/>
    <w:rsid w:val="0084376A"/>
    <w:rsid w:val="008438E1"/>
    <w:rsid w:val="00845095"/>
    <w:rsid w:val="008452CE"/>
    <w:rsid w:val="00851EFB"/>
    <w:rsid w:val="0085212C"/>
    <w:rsid w:val="0085276A"/>
    <w:rsid w:val="00860061"/>
    <w:rsid w:val="008607A5"/>
    <w:rsid w:val="00865F7E"/>
    <w:rsid w:val="00870CE8"/>
    <w:rsid w:val="00872EF4"/>
    <w:rsid w:val="00873B4D"/>
    <w:rsid w:val="00880482"/>
    <w:rsid w:val="00880C28"/>
    <w:rsid w:val="00881AB8"/>
    <w:rsid w:val="00886D58"/>
    <w:rsid w:val="0089232C"/>
    <w:rsid w:val="00897495"/>
    <w:rsid w:val="008A23A7"/>
    <w:rsid w:val="008A3497"/>
    <w:rsid w:val="008A3CA1"/>
    <w:rsid w:val="008B357F"/>
    <w:rsid w:val="008B66B6"/>
    <w:rsid w:val="008D0CD3"/>
    <w:rsid w:val="008D270A"/>
    <w:rsid w:val="008E780A"/>
    <w:rsid w:val="008F1E14"/>
    <w:rsid w:val="008F57CC"/>
    <w:rsid w:val="00901881"/>
    <w:rsid w:val="0091214F"/>
    <w:rsid w:val="00917235"/>
    <w:rsid w:val="0092147A"/>
    <w:rsid w:val="00925738"/>
    <w:rsid w:val="00930320"/>
    <w:rsid w:val="0093466C"/>
    <w:rsid w:val="00950C8A"/>
    <w:rsid w:val="00951591"/>
    <w:rsid w:val="0095409E"/>
    <w:rsid w:val="009551F2"/>
    <w:rsid w:val="0096144B"/>
    <w:rsid w:val="00963980"/>
    <w:rsid w:val="00963FBD"/>
    <w:rsid w:val="00970BA0"/>
    <w:rsid w:val="00972041"/>
    <w:rsid w:val="00976638"/>
    <w:rsid w:val="00977D88"/>
    <w:rsid w:val="00995048"/>
    <w:rsid w:val="00996D53"/>
    <w:rsid w:val="00997542"/>
    <w:rsid w:val="009A0C9B"/>
    <w:rsid w:val="009A2F51"/>
    <w:rsid w:val="009A4A1D"/>
    <w:rsid w:val="009A749E"/>
    <w:rsid w:val="009B1793"/>
    <w:rsid w:val="009B2277"/>
    <w:rsid w:val="009D0AE7"/>
    <w:rsid w:val="009D2775"/>
    <w:rsid w:val="009D3822"/>
    <w:rsid w:val="009D41F6"/>
    <w:rsid w:val="009E4A9D"/>
    <w:rsid w:val="009E5A53"/>
    <w:rsid w:val="009F1494"/>
    <w:rsid w:val="009F2EA1"/>
    <w:rsid w:val="009F716A"/>
    <w:rsid w:val="009F7A2D"/>
    <w:rsid w:val="00A15C05"/>
    <w:rsid w:val="00A17174"/>
    <w:rsid w:val="00A2305A"/>
    <w:rsid w:val="00A2379C"/>
    <w:rsid w:val="00A241CA"/>
    <w:rsid w:val="00A253EB"/>
    <w:rsid w:val="00A26AE9"/>
    <w:rsid w:val="00A308C4"/>
    <w:rsid w:val="00A35C2D"/>
    <w:rsid w:val="00A41C69"/>
    <w:rsid w:val="00A41E2A"/>
    <w:rsid w:val="00A43A51"/>
    <w:rsid w:val="00A47BDD"/>
    <w:rsid w:val="00A51BCB"/>
    <w:rsid w:val="00A52323"/>
    <w:rsid w:val="00A56A92"/>
    <w:rsid w:val="00A6257F"/>
    <w:rsid w:val="00A633DC"/>
    <w:rsid w:val="00A7000C"/>
    <w:rsid w:val="00A717B1"/>
    <w:rsid w:val="00A76C79"/>
    <w:rsid w:val="00A828A1"/>
    <w:rsid w:val="00A8615F"/>
    <w:rsid w:val="00A86A0E"/>
    <w:rsid w:val="00A9491F"/>
    <w:rsid w:val="00A96D77"/>
    <w:rsid w:val="00AA0354"/>
    <w:rsid w:val="00AA0F86"/>
    <w:rsid w:val="00AA3A98"/>
    <w:rsid w:val="00AA7D5D"/>
    <w:rsid w:val="00AB04C7"/>
    <w:rsid w:val="00AB2DDA"/>
    <w:rsid w:val="00AB4B35"/>
    <w:rsid w:val="00AB78C7"/>
    <w:rsid w:val="00AC0DFA"/>
    <w:rsid w:val="00AC5FFE"/>
    <w:rsid w:val="00AC6173"/>
    <w:rsid w:val="00AD2B58"/>
    <w:rsid w:val="00AD6597"/>
    <w:rsid w:val="00AD6CB0"/>
    <w:rsid w:val="00AE180F"/>
    <w:rsid w:val="00AE2F43"/>
    <w:rsid w:val="00AE3952"/>
    <w:rsid w:val="00AE65B4"/>
    <w:rsid w:val="00B11338"/>
    <w:rsid w:val="00B1277F"/>
    <w:rsid w:val="00B13659"/>
    <w:rsid w:val="00B13EB1"/>
    <w:rsid w:val="00B14A00"/>
    <w:rsid w:val="00B17742"/>
    <w:rsid w:val="00B208AD"/>
    <w:rsid w:val="00B302EB"/>
    <w:rsid w:val="00B32BF0"/>
    <w:rsid w:val="00B36E53"/>
    <w:rsid w:val="00B44300"/>
    <w:rsid w:val="00B47E2E"/>
    <w:rsid w:val="00B51363"/>
    <w:rsid w:val="00B5380F"/>
    <w:rsid w:val="00B54E05"/>
    <w:rsid w:val="00B574C2"/>
    <w:rsid w:val="00B634D3"/>
    <w:rsid w:val="00B72AE1"/>
    <w:rsid w:val="00B72BD7"/>
    <w:rsid w:val="00B742A8"/>
    <w:rsid w:val="00B760CB"/>
    <w:rsid w:val="00B77017"/>
    <w:rsid w:val="00B808EE"/>
    <w:rsid w:val="00B81101"/>
    <w:rsid w:val="00B84B8D"/>
    <w:rsid w:val="00B85526"/>
    <w:rsid w:val="00B91A1D"/>
    <w:rsid w:val="00B951E5"/>
    <w:rsid w:val="00BA477C"/>
    <w:rsid w:val="00BA75CC"/>
    <w:rsid w:val="00BB5254"/>
    <w:rsid w:val="00BC3A3E"/>
    <w:rsid w:val="00BD0E4C"/>
    <w:rsid w:val="00BD76F2"/>
    <w:rsid w:val="00BD7EB8"/>
    <w:rsid w:val="00BE287B"/>
    <w:rsid w:val="00BE2B35"/>
    <w:rsid w:val="00BE32A1"/>
    <w:rsid w:val="00BE6C9C"/>
    <w:rsid w:val="00BF4843"/>
    <w:rsid w:val="00BF5C3B"/>
    <w:rsid w:val="00C10C61"/>
    <w:rsid w:val="00C11135"/>
    <w:rsid w:val="00C13BBF"/>
    <w:rsid w:val="00C13BE9"/>
    <w:rsid w:val="00C22F6E"/>
    <w:rsid w:val="00C23E15"/>
    <w:rsid w:val="00C24FD7"/>
    <w:rsid w:val="00C30405"/>
    <w:rsid w:val="00C35664"/>
    <w:rsid w:val="00C356C1"/>
    <w:rsid w:val="00C379D5"/>
    <w:rsid w:val="00C37F61"/>
    <w:rsid w:val="00C400AD"/>
    <w:rsid w:val="00C45485"/>
    <w:rsid w:val="00C46BCC"/>
    <w:rsid w:val="00C505D9"/>
    <w:rsid w:val="00C53944"/>
    <w:rsid w:val="00C57263"/>
    <w:rsid w:val="00C61C43"/>
    <w:rsid w:val="00C61DB7"/>
    <w:rsid w:val="00C629FC"/>
    <w:rsid w:val="00C6790D"/>
    <w:rsid w:val="00C73C40"/>
    <w:rsid w:val="00C75A7C"/>
    <w:rsid w:val="00C75B61"/>
    <w:rsid w:val="00C76556"/>
    <w:rsid w:val="00C77A18"/>
    <w:rsid w:val="00C83551"/>
    <w:rsid w:val="00C87F34"/>
    <w:rsid w:val="00C93051"/>
    <w:rsid w:val="00C96C50"/>
    <w:rsid w:val="00CA5DA2"/>
    <w:rsid w:val="00CA68E7"/>
    <w:rsid w:val="00CB0792"/>
    <w:rsid w:val="00CB3396"/>
    <w:rsid w:val="00CD1A1C"/>
    <w:rsid w:val="00CD453E"/>
    <w:rsid w:val="00CD5C49"/>
    <w:rsid w:val="00CD5E62"/>
    <w:rsid w:val="00CD6AF6"/>
    <w:rsid w:val="00CD7F1E"/>
    <w:rsid w:val="00CE53B3"/>
    <w:rsid w:val="00D00BCE"/>
    <w:rsid w:val="00D0158A"/>
    <w:rsid w:val="00D04984"/>
    <w:rsid w:val="00D10409"/>
    <w:rsid w:val="00D1139E"/>
    <w:rsid w:val="00D1228C"/>
    <w:rsid w:val="00D1347F"/>
    <w:rsid w:val="00D159C3"/>
    <w:rsid w:val="00D16F27"/>
    <w:rsid w:val="00D177B0"/>
    <w:rsid w:val="00D21B73"/>
    <w:rsid w:val="00D26A79"/>
    <w:rsid w:val="00D272D3"/>
    <w:rsid w:val="00D33016"/>
    <w:rsid w:val="00D340E8"/>
    <w:rsid w:val="00D35828"/>
    <w:rsid w:val="00D404BB"/>
    <w:rsid w:val="00D47978"/>
    <w:rsid w:val="00D512A7"/>
    <w:rsid w:val="00D51D61"/>
    <w:rsid w:val="00D51F94"/>
    <w:rsid w:val="00D53CF7"/>
    <w:rsid w:val="00D54816"/>
    <w:rsid w:val="00D5E77F"/>
    <w:rsid w:val="00D6072A"/>
    <w:rsid w:val="00D63C6F"/>
    <w:rsid w:val="00D66BC6"/>
    <w:rsid w:val="00D67B55"/>
    <w:rsid w:val="00D75AF7"/>
    <w:rsid w:val="00D804CC"/>
    <w:rsid w:val="00D85536"/>
    <w:rsid w:val="00D86572"/>
    <w:rsid w:val="00D9436A"/>
    <w:rsid w:val="00D969ED"/>
    <w:rsid w:val="00DA7243"/>
    <w:rsid w:val="00DB1C17"/>
    <w:rsid w:val="00DB4814"/>
    <w:rsid w:val="00DB4A4E"/>
    <w:rsid w:val="00DB4CB7"/>
    <w:rsid w:val="00DD0DB5"/>
    <w:rsid w:val="00DE43ED"/>
    <w:rsid w:val="00DF1D89"/>
    <w:rsid w:val="00E00D34"/>
    <w:rsid w:val="00E0475F"/>
    <w:rsid w:val="00E060FF"/>
    <w:rsid w:val="00E065C0"/>
    <w:rsid w:val="00E07C6A"/>
    <w:rsid w:val="00E13F9E"/>
    <w:rsid w:val="00E22413"/>
    <w:rsid w:val="00E231CD"/>
    <w:rsid w:val="00E33A36"/>
    <w:rsid w:val="00E360BE"/>
    <w:rsid w:val="00E371EA"/>
    <w:rsid w:val="00E4106C"/>
    <w:rsid w:val="00E42383"/>
    <w:rsid w:val="00E42C01"/>
    <w:rsid w:val="00E43469"/>
    <w:rsid w:val="00E46F11"/>
    <w:rsid w:val="00E52221"/>
    <w:rsid w:val="00E605A0"/>
    <w:rsid w:val="00E62FDD"/>
    <w:rsid w:val="00E768D2"/>
    <w:rsid w:val="00E828FF"/>
    <w:rsid w:val="00E90919"/>
    <w:rsid w:val="00E931D0"/>
    <w:rsid w:val="00E96931"/>
    <w:rsid w:val="00E97B59"/>
    <w:rsid w:val="00E97C68"/>
    <w:rsid w:val="00EA2712"/>
    <w:rsid w:val="00EA37CD"/>
    <w:rsid w:val="00EA7DB0"/>
    <w:rsid w:val="00EB0DC2"/>
    <w:rsid w:val="00EB6F1D"/>
    <w:rsid w:val="00EC2C25"/>
    <w:rsid w:val="00EC44A5"/>
    <w:rsid w:val="00EC4665"/>
    <w:rsid w:val="00EC4F85"/>
    <w:rsid w:val="00ED02EF"/>
    <w:rsid w:val="00ED3654"/>
    <w:rsid w:val="00EF37AE"/>
    <w:rsid w:val="00EF3D62"/>
    <w:rsid w:val="00EF5038"/>
    <w:rsid w:val="00EF635F"/>
    <w:rsid w:val="00F00D97"/>
    <w:rsid w:val="00F014B6"/>
    <w:rsid w:val="00F01866"/>
    <w:rsid w:val="00F019D0"/>
    <w:rsid w:val="00F0209C"/>
    <w:rsid w:val="00F035FC"/>
    <w:rsid w:val="00F051DA"/>
    <w:rsid w:val="00F11109"/>
    <w:rsid w:val="00F11635"/>
    <w:rsid w:val="00F117E3"/>
    <w:rsid w:val="00F13D9B"/>
    <w:rsid w:val="00F15207"/>
    <w:rsid w:val="00F31716"/>
    <w:rsid w:val="00F370C8"/>
    <w:rsid w:val="00F37D84"/>
    <w:rsid w:val="00F47484"/>
    <w:rsid w:val="00F5213F"/>
    <w:rsid w:val="00F522D5"/>
    <w:rsid w:val="00F535BD"/>
    <w:rsid w:val="00F64379"/>
    <w:rsid w:val="00F65EBC"/>
    <w:rsid w:val="00F67BBF"/>
    <w:rsid w:val="00F77411"/>
    <w:rsid w:val="00F812E2"/>
    <w:rsid w:val="00F82759"/>
    <w:rsid w:val="00F85DD4"/>
    <w:rsid w:val="00F87842"/>
    <w:rsid w:val="00F90932"/>
    <w:rsid w:val="00F93D48"/>
    <w:rsid w:val="00F95A4D"/>
    <w:rsid w:val="00FA19B7"/>
    <w:rsid w:val="00FA3991"/>
    <w:rsid w:val="00FA3F35"/>
    <w:rsid w:val="00FA64F9"/>
    <w:rsid w:val="00FB0338"/>
    <w:rsid w:val="00FB1874"/>
    <w:rsid w:val="00FB5046"/>
    <w:rsid w:val="00FB5D91"/>
    <w:rsid w:val="00FB64B9"/>
    <w:rsid w:val="00FB712A"/>
    <w:rsid w:val="00FB7278"/>
    <w:rsid w:val="00FB72F9"/>
    <w:rsid w:val="00FB7884"/>
    <w:rsid w:val="00FC703A"/>
    <w:rsid w:val="00FC7C7A"/>
    <w:rsid w:val="00FD05E1"/>
    <w:rsid w:val="00FD4BB1"/>
    <w:rsid w:val="00FD7899"/>
    <w:rsid w:val="00FE2679"/>
    <w:rsid w:val="010D626A"/>
    <w:rsid w:val="01403235"/>
    <w:rsid w:val="018B06FB"/>
    <w:rsid w:val="066C9951"/>
    <w:rsid w:val="06B24B9F"/>
    <w:rsid w:val="06D31467"/>
    <w:rsid w:val="076E97ED"/>
    <w:rsid w:val="08BF9D13"/>
    <w:rsid w:val="0B2AB373"/>
    <w:rsid w:val="0B39C6B0"/>
    <w:rsid w:val="0D83D70B"/>
    <w:rsid w:val="10B005B0"/>
    <w:rsid w:val="1125FEB8"/>
    <w:rsid w:val="12D3CB13"/>
    <w:rsid w:val="136D6BAB"/>
    <w:rsid w:val="14477F74"/>
    <w:rsid w:val="1781E733"/>
    <w:rsid w:val="193D8789"/>
    <w:rsid w:val="196C9374"/>
    <w:rsid w:val="1A0D6875"/>
    <w:rsid w:val="1BE81AA9"/>
    <w:rsid w:val="1C43AD6D"/>
    <w:rsid w:val="1CE749B1"/>
    <w:rsid w:val="1D35C69E"/>
    <w:rsid w:val="1DF9446D"/>
    <w:rsid w:val="1EAE020D"/>
    <w:rsid w:val="1EE30F3F"/>
    <w:rsid w:val="210439F7"/>
    <w:rsid w:val="25149871"/>
    <w:rsid w:val="267D8C45"/>
    <w:rsid w:val="270DB183"/>
    <w:rsid w:val="2A481942"/>
    <w:rsid w:val="2AAB1C3D"/>
    <w:rsid w:val="2B32AD36"/>
    <w:rsid w:val="32BE1BA8"/>
    <w:rsid w:val="3684A17B"/>
    <w:rsid w:val="37220C78"/>
    <w:rsid w:val="3AC92D8D"/>
    <w:rsid w:val="41A02F04"/>
    <w:rsid w:val="461303A1"/>
    <w:rsid w:val="4779F362"/>
    <w:rsid w:val="48C6AAA2"/>
    <w:rsid w:val="4C9EB544"/>
    <w:rsid w:val="533FA37B"/>
    <w:rsid w:val="5547A5D6"/>
    <w:rsid w:val="5606FDE7"/>
    <w:rsid w:val="577082FC"/>
    <w:rsid w:val="57A6E1A9"/>
    <w:rsid w:val="5A64F5C5"/>
    <w:rsid w:val="5ADDF686"/>
    <w:rsid w:val="5F16D66C"/>
    <w:rsid w:val="62CFE00E"/>
    <w:rsid w:val="62EF4C2F"/>
    <w:rsid w:val="63A01213"/>
    <w:rsid w:val="66499674"/>
    <w:rsid w:val="6668AA83"/>
    <w:rsid w:val="6903D2FE"/>
    <w:rsid w:val="695BC71D"/>
    <w:rsid w:val="6D53C5C7"/>
    <w:rsid w:val="70A869CD"/>
    <w:rsid w:val="73300F9B"/>
    <w:rsid w:val="73C6E232"/>
    <w:rsid w:val="74AC9112"/>
    <w:rsid w:val="76486173"/>
    <w:rsid w:val="7717AB51"/>
    <w:rsid w:val="7871E95A"/>
    <w:rsid w:val="7A2FFD29"/>
    <w:rsid w:val="7D98D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49EC9"/>
  <w15:chartTrackingRefBased/>
  <w15:docId w15:val="{AF713D91-0D3D-4878-BD52-AE0328B0D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66F"/>
    <w:pPr>
      <w:spacing w:line="480" w:lineRule="auto"/>
      <w:jc w:val="both"/>
    </w:pPr>
    <w:rPr>
      <w:rFonts w:ascii="Calibri" w:hAnsi="Calibri" w:cs="Calibri"/>
      <w:color w:val="000000"/>
      <w:lang w:eastAsia="zh-CN"/>
    </w:rPr>
  </w:style>
  <w:style w:type="paragraph" w:styleId="Heading1">
    <w:name w:val="heading 1"/>
    <w:basedOn w:val="Normal"/>
    <w:next w:val="Normal"/>
    <w:link w:val="Heading1Char"/>
    <w:uiPriority w:val="9"/>
    <w:qFormat/>
    <w:rsid w:val="007A49F2"/>
    <w:pPr>
      <w:keepNext/>
      <w:keepLines/>
      <w:numPr>
        <w:numId w:val="1"/>
      </w:numPr>
      <w:spacing w:before="360" w:after="80"/>
      <w:outlineLvl w:val="0"/>
    </w:pPr>
    <w:rPr>
      <w:rFonts w:ascii="Times New Roman" w:eastAsiaTheme="majorEastAsia" w:hAnsi="Times New Roman" w:cs="Times New Roman"/>
      <w:b/>
      <w:bCs/>
      <w:color w:val="000000" w:themeColor="text1"/>
      <w:sz w:val="32"/>
      <w:szCs w:val="32"/>
    </w:rPr>
  </w:style>
  <w:style w:type="paragraph" w:styleId="Heading2">
    <w:name w:val="heading 2"/>
    <w:basedOn w:val="Normal"/>
    <w:next w:val="Normal"/>
    <w:link w:val="Heading2Char"/>
    <w:uiPriority w:val="9"/>
    <w:qFormat/>
    <w:rsid w:val="005E044C"/>
    <w:pPr>
      <w:keepNext/>
      <w:keepLines/>
      <w:numPr>
        <w:ilvl w:val="1"/>
        <w:numId w:val="1"/>
      </w:numPr>
      <w:spacing w:before="160" w:after="80"/>
      <w:outlineLvl w:val="1"/>
    </w:pPr>
    <w:rPr>
      <w:rFonts w:ascii="Times New Roman" w:eastAsiaTheme="majorEastAsia" w:hAnsi="Times New Roman" w:cs="Times New Roman"/>
      <w:b/>
      <w:bCs/>
      <w:color w:val="000000" w:themeColor="text1"/>
      <w:lang w:val="en-CA"/>
    </w:rPr>
  </w:style>
  <w:style w:type="paragraph" w:styleId="Heading3">
    <w:name w:val="heading 3"/>
    <w:basedOn w:val="Normal"/>
    <w:next w:val="Normal"/>
    <w:link w:val="Heading3Char"/>
    <w:uiPriority w:val="9"/>
    <w:qFormat/>
    <w:rsid w:val="007A49F2"/>
    <w:pPr>
      <w:keepNext/>
      <w:keepLines/>
      <w:numPr>
        <w:ilvl w:val="2"/>
        <w:numId w:val="1"/>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9F2"/>
    <w:rPr>
      <w:rFonts w:ascii="Times New Roman" w:eastAsiaTheme="majorEastAsia" w:hAnsi="Times New Roman" w:cs="Times New Roman"/>
      <w:b/>
      <w:bCs/>
      <w:color w:val="000000" w:themeColor="text1"/>
      <w:sz w:val="32"/>
      <w:szCs w:val="32"/>
    </w:rPr>
  </w:style>
  <w:style w:type="character" w:customStyle="1" w:styleId="Heading2Char">
    <w:name w:val="Heading 2 Char"/>
    <w:basedOn w:val="DefaultParagraphFont"/>
    <w:link w:val="Heading2"/>
    <w:uiPriority w:val="9"/>
    <w:rsid w:val="005E044C"/>
    <w:rPr>
      <w:rFonts w:ascii="Times New Roman" w:eastAsiaTheme="majorEastAsia" w:hAnsi="Times New Roman" w:cs="Times New Roman"/>
      <w:b/>
      <w:bCs/>
      <w:color w:val="000000" w:themeColor="text1"/>
      <w:lang w:val="en-CA" w:eastAsia="zh-CN"/>
    </w:rPr>
  </w:style>
  <w:style w:type="character" w:customStyle="1" w:styleId="Heading3Char">
    <w:name w:val="Heading 3 Char"/>
    <w:basedOn w:val="DefaultParagraphFont"/>
    <w:link w:val="Heading3"/>
    <w:uiPriority w:val="9"/>
    <w:rsid w:val="007A4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9F2"/>
    <w:rPr>
      <w:rFonts w:eastAsiaTheme="majorEastAsia" w:cstheme="majorBidi"/>
      <w:color w:val="272727" w:themeColor="text1" w:themeTint="D8"/>
    </w:rPr>
  </w:style>
  <w:style w:type="paragraph" w:styleId="Title">
    <w:name w:val="Title"/>
    <w:basedOn w:val="Normal"/>
    <w:next w:val="Normal"/>
    <w:link w:val="TitleChar"/>
    <w:uiPriority w:val="10"/>
    <w:qFormat/>
    <w:rsid w:val="007A4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9F2"/>
    <w:pPr>
      <w:spacing w:before="160"/>
      <w:jc w:val="center"/>
    </w:pPr>
    <w:rPr>
      <w:i/>
      <w:iCs/>
      <w:color w:val="404040" w:themeColor="text1" w:themeTint="BF"/>
    </w:rPr>
  </w:style>
  <w:style w:type="character" w:customStyle="1" w:styleId="QuoteChar">
    <w:name w:val="Quote Char"/>
    <w:basedOn w:val="DefaultParagraphFont"/>
    <w:link w:val="Quote"/>
    <w:uiPriority w:val="29"/>
    <w:rsid w:val="007A49F2"/>
    <w:rPr>
      <w:i/>
      <w:iCs/>
      <w:color w:val="404040" w:themeColor="text1" w:themeTint="BF"/>
    </w:rPr>
  </w:style>
  <w:style w:type="paragraph" w:styleId="ListParagraph">
    <w:name w:val="List Paragraph"/>
    <w:basedOn w:val="Normal"/>
    <w:uiPriority w:val="34"/>
    <w:qFormat/>
    <w:rsid w:val="007A49F2"/>
    <w:pPr>
      <w:ind w:left="720"/>
      <w:contextualSpacing/>
    </w:pPr>
  </w:style>
  <w:style w:type="character" w:styleId="IntenseEmphasis">
    <w:name w:val="Intense Emphasis"/>
    <w:basedOn w:val="DefaultParagraphFont"/>
    <w:uiPriority w:val="21"/>
    <w:qFormat/>
    <w:rsid w:val="007A49F2"/>
    <w:rPr>
      <w:i/>
      <w:iCs/>
      <w:color w:val="0F4761" w:themeColor="accent1" w:themeShade="BF"/>
    </w:rPr>
  </w:style>
  <w:style w:type="paragraph" w:styleId="IntenseQuote">
    <w:name w:val="Intense Quote"/>
    <w:basedOn w:val="Normal"/>
    <w:next w:val="Normal"/>
    <w:link w:val="IntenseQuoteChar"/>
    <w:uiPriority w:val="30"/>
    <w:qFormat/>
    <w:rsid w:val="007A4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9F2"/>
    <w:rPr>
      <w:i/>
      <w:iCs/>
      <w:color w:val="0F4761" w:themeColor="accent1" w:themeShade="BF"/>
    </w:rPr>
  </w:style>
  <w:style w:type="character" w:styleId="IntenseReference">
    <w:name w:val="Intense Reference"/>
    <w:basedOn w:val="DefaultParagraphFont"/>
    <w:uiPriority w:val="32"/>
    <w:qFormat/>
    <w:rsid w:val="007A49F2"/>
    <w:rPr>
      <w:b/>
      <w:bCs/>
      <w:smallCaps/>
      <w:color w:val="0F4761" w:themeColor="accent1" w:themeShade="BF"/>
      <w:spacing w:val="5"/>
    </w:rPr>
  </w:style>
  <w:style w:type="character" w:styleId="CommentReference">
    <w:name w:val="annotation reference"/>
    <w:basedOn w:val="DefaultParagraphFont"/>
    <w:uiPriority w:val="99"/>
    <w:semiHidden/>
    <w:unhideWhenUsed/>
    <w:rsid w:val="007A49F2"/>
    <w:rPr>
      <w:sz w:val="16"/>
      <w:szCs w:val="16"/>
    </w:rPr>
  </w:style>
  <w:style w:type="paragraph" w:styleId="CommentText">
    <w:name w:val="annotation text"/>
    <w:basedOn w:val="Normal"/>
    <w:link w:val="CommentTextChar"/>
    <w:uiPriority w:val="99"/>
    <w:unhideWhenUsed/>
    <w:rsid w:val="007A49F2"/>
    <w:pPr>
      <w:spacing w:after="0" w:line="240" w:lineRule="auto"/>
    </w:pPr>
    <w:rPr>
      <w:rFonts w:ascii="Times New Roman" w:eastAsia="Times New Roman" w:hAnsi="Times New Roman" w:cs="Times New Roman"/>
      <w:kern w:val="0"/>
      <w:sz w:val="20"/>
      <w:szCs w:val="20"/>
      <w:lang w:val="en-CA"/>
      <w14:ligatures w14:val="none"/>
    </w:rPr>
  </w:style>
  <w:style w:type="character" w:customStyle="1" w:styleId="CommentTextChar">
    <w:name w:val="Comment Text Char"/>
    <w:basedOn w:val="DefaultParagraphFont"/>
    <w:link w:val="CommentText"/>
    <w:uiPriority w:val="99"/>
    <w:rsid w:val="007A49F2"/>
    <w:rPr>
      <w:rFonts w:ascii="Times New Roman" w:eastAsia="Times New Roman" w:hAnsi="Times New Roman" w:cs="Times New Roman"/>
      <w:kern w:val="0"/>
      <w:sz w:val="20"/>
      <w:szCs w:val="20"/>
      <w:lang w:val="en-CA" w:eastAsia="zh-CN"/>
      <w14:ligatures w14:val="none"/>
    </w:rPr>
  </w:style>
  <w:style w:type="character" w:styleId="Hyperlink">
    <w:name w:val="Hyperlink"/>
    <w:basedOn w:val="DefaultParagraphFont"/>
    <w:uiPriority w:val="99"/>
    <w:unhideWhenUsed/>
    <w:rsid w:val="007A49F2"/>
    <w:rPr>
      <w:color w:val="0000FF"/>
      <w:u w:val="single"/>
    </w:rPr>
  </w:style>
  <w:style w:type="paragraph" w:styleId="Caption">
    <w:name w:val="caption"/>
    <w:basedOn w:val="Normal"/>
    <w:next w:val="Normal"/>
    <w:uiPriority w:val="35"/>
    <w:unhideWhenUsed/>
    <w:qFormat/>
    <w:rsid w:val="0085212C"/>
    <w:rPr>
      <w:b/>
      <w:bCs/>
      <w:lang w:val="en-CA"/>
    </w:rPr>
  </w:style>
  <w:style w:type="paragraph" w:styleId="Bibliography">
    <w:name w:val="Bibliography"/>
    <w:basedOn w:val="Normal"/>
    <w:next w:val="Normal"/>
    <w:uiPriority w:val="37"/>
    <w:unhideWhenUsed/>
    <w:rsid w:val="007B1194"/>
    <w:pPr>
      <w:ind w:left="540" w:hanging="540"/>
    </w:pPr>
    <w:rPr>
      <w:rFonts w:eastAsia="DengXian"/>
      <w:color w:val="auto"/>
      <w14:ligatures w14:val="none"/>
    </w:rPr>
  </w:style>
  <w:style w:type="paragraph" w:styleId="CommentSubject">
    <w:name w:val="annotation subject"/>
    <w:basedOn w:val="CommentText"/>
    <w:next w:val="CommentText"/>
    <w:link w:val="CommentSubjectChar"/>
    <w:uiPriority w:val="99"/>
    <w:semiHidden/>
    <w:unhideWhenUsed/>
    <w:rsid w:val="00100EE8"/>
    <w:pPr>
      <w:spacing w:after="160"/>
    </w:pPr>
    <w:rPr>
      <w:rFonts w:ascii="Calibri" w:eastAsiaTheme="minorHAnsi" w:hAnsi="Calibri" w:cs="Calibri"/>
      <w:b/>
      <w:bCs/>
      <w:kern w:val="2"/>
      <w:lang w:val="en-US"/>
      <w14:ligatures w14:val="standardContextual"/>
    </w:rPr>
  </w:style>
  <w:style w:type="character" w:customStyle="1" w:styleId="CommentSubjectChar">
    <w:name w:val="Comment Subject Char"/>
    <w:basedOn w:val="CommentTextChar"/>
    <w:link w:val="CommentSubject"/>
    <w:uiPriority w:val="99"/>
    <w:semiHidden/>
    <w:rsid w:val="00100EE8"/>
    <w:rPr>
      <w:rFonts w:ascii="Calibri" w:eastAsia="Times New Roman" w:hAnsi="Calibri" w:cs="Calibri"/>
      <w:b/>
      <w:bCs/>
      <w:color w:val="000000"/>
      <w:kern w:val="0"/>
      <w:sz w:val="20"/>
      <w:szCs w:val="20"/>
      <w:lang w:val="en-CA" w:eastAsia="zh-CN"/>
      <w14:ligatures w14:val="none"/>
    </w:rPr>
  </w:style>
  <w:style w:type="character" w:styleId="PlaceholderText">
    <w:name w:val="Placeholder Text"/>
    <w:basedOn w:val="DefaultParagraphFont"/>
    <w:uiPriority w:val="99"/>
    <w:semiHidden/>
    <w:rsid w:val="00B11338"/>
    <w:rPr>
      <w:color w:val="666666"/>
    </w:rPr>
  </w:style>
  <w:style w:type="table" w:styleId="TableGrid">
    <w:name w:val="Table Grid"/>
    <w:basedOn w:val="TableNormal"/>
    <w:uiPriority w:val="39"/>
    <w:rsid w:val="00F643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60061"/>
    <w:rPr>
      <w:color w:val="96607D"/>
      <w:u w:val="single"/>
    </w:rPr>
  </w:style>
  <w:style w:type="paragraph" w:customStyle="1" w:styleId="msonormal0">
    <w:name w:val="msonormal"/>
    <w:basedOn w:val="Normal"/>
    <w:rsid w:val="00860061"/>
    <w:pPr>
      <w:spacing w:before="100" w:beforeAutospacing="1" w:after="100" w:afterAutospacing="1" w:line="240" w:lineRule="auto"/>
    </w:pPr>
    <w:rPr>
      <w:rFonts w:ascii="Times New Roman" w:eastAsia="Times New Roman" w:hAnsi="Times New Roman" w:cs="Times New Roman"/>
      <w:color w:val="auto"/>
      <w:kern w:val="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200478">
      <w:bodyDiv w:val="1"/>
      <w:marLeft w:val="0"/>
      <w:marRight w:val="0"/>
      <w:marTop w:val="0"/>
      <w:marBottom w:val="0"/>
      <w:divBdr>
        <w:top w:val="none" w:sz="0" w:space="0" w:color="auto"/>
        <w:left w:val="none" w:sz="0" w:space="0" w:color="auto"/>
        <w:bottom w:val="none" w:sz="0" w:space="0" w:color="auto"/>
        <w:right w:val="none" w:sz="0" w:space="0" w:color="auto"/>
      </w:divBdr>
    </w:div>
    <w:div w:id="405300715">
      <w:bodyDiv w:val="1"/>
      <w:marLeft w:val="0"/>
      <w:marRight w:val="0"/>
      <w:marTop w:val="0"/>
      <w:marBottom w:val="0"/>
      <w:divBdr>
        <w:top w:val="none" w:sz="0" w:space="0" w:color="auto"/>
        <w:left w:val="none" w:sz="0" w:space="0" w:color="auto"/>
        <w:bottom w:val="none" w:sz="0" w:space="0" w:color="auto"/>
        <w:right w:val="none" w:sz="0" w:space="0" w:color="auto"/>
      </w:divBdr>
    </w:div>
    <w:div w:id="810440726">
      <w:bodyDiv w:val="1"/>
      <w:marLeft w:val="0"/>
      <w:marRight w:val="0"/>
      <w:marTop w:val="0"/>
      <w:marBottom w:val="0"/>
      <w:divBdr>
        <w:top w:val="none" w:sz="0" w:space="0" w:color="auto"/>
        <w:left w:val="none" w:sz="0" w:space="0" w:color="auto"/>
        <w:bottom w:val="none" w:sz="0" w:space="0" w:color="auto"/>
        <w:right w:val="none" w:sz="0" w:space="0" w:color="auto"/>
      </w:divBdr>
    </w:div>
    <w:div w:id="823617934">
      <w:bodyDiv w:val="1"/>
      <w:marLeft w:val="0"/>
      <w:marRight w:val="0"/>
      <w:marTop w:val="0"/>
      <w:marBottom w:val="0"/>
      <w:divBdr>
        <w:top w:val="none" w:sz="0" w:space="0" w:color="auto"/>
        <w:left w:val="none" w:sz="0" w:space="0" w:color="auto"/>
        <w:bottom w:val="none" w:sz="0" w:space="0" w:color="auto"/>
        <w:right w:val="none" w:sz="0" w:space="0" w:color="auto"/>
      </w:divBdr>
      <w:divsChild>
        <w:div w:id="1686784620">
          <w:marLeft w:val="0"/>
          <w:marRight w:val="0"/>
          <w:marTop w:val="0"/>
          <w:marBottom w:val="0"/>
          <w:divBdr>
            <w:top w:val="none" w:sz="0" w:space="0" w:color="auto"/>
            <w:left w:val="none" w:sz="0" w:space="0" w:color="auto"/>
            <w:bottom w:val="none" w:sz="0" w:space="0" w:color="auto"/>
            <w:right w:val="none" w:sz="0" w:space="0" w:color="auto"/>
          </w:divBdr>
        </w:div>
      </w:divsChild>
    </w:div>
    <w:div w:id="1141919682">
      <w:bodyDiv w:val="1"/>
      <w:marLeft w:val="0"/>
      <w:marRight w:val="0"/>
      <w:marTop w:val="0"/>
      <w:marBottom w:val="0"/>
      <w:divBdr>
        <w:top w:val="none" w:sz="0" w:space="0" w:color="auto"/>
        <w:left w:val="none" w:sz="0" w:space="0" w:color="auto"/>
        <w:bottom w:val="none" w:sz="0" w:space="0" w:color="auto"/>
        <w:right w:val="none" w:sz="0" w:space="0" w:color="auto"/>
      </w:divBdr>
    </w:div>
    <w:div w:id="1343624802">
      <w:bodyDiv w:val="1"/>
      <w:marLeft w:val="0"/>
      <w:marRight w:val="0"/>
      <w:marTop w:val="0"/>
      <w:marBottom w:val="0"/>
      <w:divBdr>
        <w:top w:val="none" w:sz="0" w:space="0" w:color="auto"/>
        <w:left w:val="none" w:sz="0" w:space="0" w:color="auto"/>
        <w:bottom w:val="none" w:sz="0" w:space="0" w:color="auto"/>
        <w:right w:val="none" w:sz="0" w:space="0" w:color="auto"/>
      </w:divBdr>
    </w:div>
    <w:div w:id="1356275360">
      <w:bodyDiv w:val="1"/>
      <w:marLeft w:val="0"/>
      <w:marRight w:val="0"/>
      <w:marTop w:val="0"/>
      <w:marBottom w:val="0"/>
      <w:divBdr>
        <w:top w:val="none" w:sz="0" w:space="0" w:color="auto"/>
        <w:left w:val="none" w:sz="0" w:space="0" w:color="auto"/>
        <w:bottom w:val="none" w:sz="0" w:space="0" w:color="auto"/>
        <w:right w:val="none" w:sz="0" w:space="0" w:color="auto"/>
      </w:divBdr>
    </w:div>
    <w:div w:id="1490251401">
      <w:bodyDiv w:val="1"/>
      <w:marLeft w:val="0"/>
      <w:marRight w:val="0"/>
      <w:marTop w:val="0"/>
      <w:marBottom w:val="0"/>
      <w:divBdr>
        <w:top w:val="none" w:sz="0" w:space="0" w:color="auto"/>
        <w:left w:val="none" w:sz="0" w:space="0" w:color="auto"/>
        <w:bottom w:val="none" w:sz="0" w:space="0" w:color="auto"/>
        <w:right w:val="none" w:sz="0" w:space="0" w:color="auto"/>
      </w:divBdr>
    </w:div>
    <w:div w:id="1495955216">
      <w:bodyDiv w:val="1"/>
      <w:marLeft w:val="0"/>
      <w:marRight w:val="0"/>
      <w:marTop w:val="0"/>
      <w:marBottom w:val="0"/>
      <w:divBdr>
        <w:top w:val="none" w:sz="0" w:space="0" w:color="auto"/>
        <w:left w:val="none" w:sz="0" w:space="0" w:color="auto"/>
        <w:bottom w:val="none" w:sz="0" w:space="0" w:color="auto"/>
        <w:right w:val="none" w:sz="0" w:space="0" w:color="auto"/>
      </w:divBdr>
    </w:div>
    <w:div w:id="175107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A4ED5C4-4DA0-4E40-8256-2F06FCC6133E}">
  <we:reference id="f78a3046-9e99-4300-aa2b-5814002b01a2" version="1.55.1.0" store="EXCatalog" storeType="EXCatalog"/>
  <we:alternateReferences>
    <we:reference id="WA104382081" version="1.55.1.0" store="en-CA"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e5eccb1-7dc3-4eee-9d27-9a04d04fef5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16D2A46B7D4F947A9A72570F711FB1A" ma:contentTypeVersion="15" ma:contentTypeDescription="Create a new document." ma:contentTypeScope="" ma:versionID="1414bf7089a7d6705a2440b65a175910">
  <xsd:schema xmlns:xsd="http://www.w3.org/2001/XMLSchema" xmlns:xs="http://www.w3.org/2001/XMLSchema" xmlns:p="http://schemas.microsoft.com/office/2006/metadata/properties" xmlns:ns3="9e5eccb1-7dc3-4eee-9d27-9a04d04fef5d" xmlns:ns4="0ea2b03e-3017-4ddc-8bc2-cfffb83e11ed" targetNamespace="http://schemas.microsoft.com/office/2006/metadata/properties" ma:root="true" ma:fieldsID="e4e6153a1ee8f079b8a19885b16350a1" ns3:_="" ns4:_="">
    <xsd:import namespace="9e5eccb1-7dc3-4eee-9d27-9a04d04fef5d"/>
    <xsd:import namespace="0ea2b03e-3017-4ddc-8bc2-cfffb83e11e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SearchProperties" minOccurs="0"/>
                <xsd:element ref="ns3:MediaServiceSystem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5eccb1-7dc3-4eee-9d27-9a04d04fef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a2b03e-3017-4ddc-8bc2-cfffb83e11e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D8D049-2314-473F-93C0-4F3864562174}">
  <ds:schemaRefs>
    <ds:schemaRef ds:uri="http://schemas.microsoft.com/sharepoint/v3/contenttype/forms"/>
  </ds:schemaRefs>
</ds:datastoreItem>
</file>

<file path=customXml/itemProps2.xml><?xml version="1.0" encoding="utf-8"?>
<ds:datastoreItem xmlns:ds="http://schemas.openxmlformats.org/officeDocument/2006/customXml" ds:itemID="{B8FA0FBF-5F9D-47BE-9BA7-A4ADDB663524}">
  <ds:schemaRefs>
    <ds:schemaRef ds:uri="http://schemas.microsoft.com/office/2006/documentManagement/types"/>
    <ds:schemaRef ds:uri="http://purl.org/dc/dcmitype/"/>
    <ds:schemaRef ds:uri="http://purl.org/dc/elements/1.1/"/>
    <ds:schemaRef ds:uri="http://schemas.microsoft.com/office/infopath/2007/PartnerControls"/>
    <ds:schemaRef ds:uri="http://schemas.microsoft.com/office/2006/metadata/properties"/>
    <ds:schemaRef ds:uri="http://purl.org/dc/terms/"/>
    <ds:schemaRef ds:uri="http://schemas.openxmlformats.org/package/2006/metadata/core-properties"/>
    <ds:schemaRef ds:uri="0ea2b03e-3017-4ddc-8bc2-cfffb83e11ed"/>
    <ds:schemaRef ds:uri="9e5eccb1-7dc3-4eee-9d27-9a04d04fef5d"/>
    <ds:schemaRef ds:uri="http://www.w3.org/XML/1998/namespace"/>
  </ds:schemaRefs>
</ds:datastoreItem>
</file>

<file path=customXml/itemProps3.xml><?xml version="1.0" encoding="utf-8"?>
<ds:datastoreItem xmlns:ds="http://schemas.openxmlformats.org/officeDocument/2006/customXml" ds:itemID="{06BD5022-CA08-4D09-8534-3C8FD0046C4C}">
  <ds:schemaRefs>
    <ds:schemaRef ds:uri="http://schemas.openxmlformats.org/officeDocument/2006/bibliography"/>
  </ds:schemaRefs>
</ds:datastoreItem>
</file>

<file path=customXml/itemProps4.xml><?xml version="1.0" encoding="utf-8"?>
<ds:datastoreItem xmlns:ds="http://schemas.openxmlformats.org/officeDocument/2006/customXml" ds:itemID="{74845C3B-6DD7-4145-9F0D-60A337C052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5eccb1-7dc3-4eee-9d27-9a04d04fef5d"/>
    <ds:schemaRef ds:uri="0ea2b03e-3017-4ddc-8bc2-cfffb83e11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7</Pages>
  <Words>2874</Words>
  <Characters>16384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Xiao Zhang</dc:creator>
  <cp:keywords/>
  <dc:description/>
  <cp:lastModifiedBy>Mr Xiao Zhang</cp:lastModifiedBy>
  <cp:revision>82</cp:revision>
  <cp:lastPrinted>2024-03-27T05:42:00Z</cp:lastPrinted>
  <dcterms:created xsi:type="dcterms:W3CDTF">2024-04-03T00:08:00Z</dcterms:created>
  <dcterms:modified xsi:type="dcterms:W3CDTF">2024-04-10T19:27:00Z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0x010100916D2A46B7D4F947A9A72570F711FB1A</vt:lpwstr>
  </property>
  <property fmtid="{D5CDD505-2E9C-101B-9397-08002B2CF9AE}" pid="3" name="ZOTERO_PREF_1">
    <vt:lpwstr>&lt;data data-version="3" zotero-version="6.0.36"&gt;&lt;session id="PpbkEzTL"/&gt;&lt;style id="http://www.zotero.org/styles/council-of-science-editors-brackets" hasBibliography="1" bibliographyStyleHasBeenSet="1"/&gt;&lt;prefs&gt;&lt;pref name="fieldType" value="Field"/&gt;&lt;pref nam</vt:lpwstr>
  </property>
  <property fmtid="{D5CDD505-2E9C-101B-9397-08002B2CF9AE}" pid="4" name="ZOTERO_PREF_2">
    <vt:lpwstr>e="delayCitationUpdates" value="true"/&gt;&lt;/prefs&gt;&lt;/data&gt;</vt:lpwstr>
  </property>
</Properties>
</file>