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1CCDCC" w14:textId="77777777" w:rsidR="00D44B91" w:rsidRDefault="00D44B91" w:rsidP="00D44B91">
      <w:pPr>
        <w:pStyle w:val="Heading1"/>
        <w:rPr>
          <w:sz w:val="22"/>
        </w:rPr>
      </w:pPr>
      <w:r>
        <w:rPr>
          <w:color w:val="auto"/>
          <w:sz w:val="22"/>
        </w:rPr>
        <w:t>Appendix: Additional Details on Construction of the Integration Indexes</w:t>
      </w:r>
    </w:p>
    <w:p w14:paraId="7F0FE698" w14:textId="77777777" w:rsidR="00D44B91" w:rsidRDefault="00D44B91" w:rsidP="00D44B91">
      <w:pPr>
        <w:spacing w:line="480" w:lineRule="auto"/>
        <w:ind w:firstLine="720"/>
        <w:rPr>
          <w:rFonts w:ascii="Times New Roman" w:hAnsi="Times New Roman" w:cs="Times New Roman"/>
          <w:sz w:val="22"/>
        </w:rPr>
      </w:pPr>
      <w:r>
        <w:rPr>
          <w:rFonts w:ascii="Times New Roman" w:hAnsi="Times New Roman" w:cs="Times New Roman"/>
          <w:sz w:val="22"/>
        </w:rPr>
        <w:t xml:space="preserve">The integration indexes were conceptualized as a secondary analysis; we therefore selected eight variables from the existing data to use as index constructs.  These variables reflect the attributes identified in a literature review as well as guidance from the Ministry of Health (Table 2).  Several variables refer to child health services visits, which include either immunization or growth monitoring visits, but not sick child visits.  We retained variables that refer to child growth monitoring or child health services because analysis of client exit interview data shows that 98% of women state that immunization is the primary purpose of their child health services visit.  We assess the </w:t>
      </w:r>
      <w:r>
        <w:rPr>
          <w:rFonts w:ascii="Times New Roman" w:hAnsi="Times New Roman" w:cs="Times New Roman"/>
          <w:sz w:val="22"/>
          <w:szCs w:val="22"/>
        </w:rPr>
        <w:t xml:space="preserve">quality of integrated family planning service provision by including a measure of the extent to which providers discuss key family planning topics with a client during a child health service visit.  </w:t>
      </w:r>
      <w:r>
        <w:rPr>
          <w:rFonts w:ascii="Times New Roman" w:hAnsi="Times New Roman"/>
          <w:sz w:val="22"/>
        </w:rPr>
        <w:t>We include social norm-based service barriers by quantifying the extent to which providers at a facility require spousal consent prior to providing contraception during an integrated visit.</w:t>
      </w:r>
      <w:r>
        <w:rPr>
          <w:rFonts w:ascii="Times New Roman" w:hAnsi="Times New Roman" w:cs="Times New Roman"/>
          <w:sz w:val="22"/>
        </w:rPr>
        <w:t xml:space="preserve">  </w:t>
      </w:r>
    </w:p>
    <w:p w14:paraId="200E4D1B" w14:textId="77777777" w:rsidR="00D44B91" w:rsidRDefault="00D44B91" w:rsidP="00D44B91">
      <w:pPr>
        <w:spacing w:line="480" w:lineRule="auto"/>
        <w:ind w:firstLine="720"/>
        <w:rPr>
          <w:rFonts w:ascii="Times New Roman" w:hAnsi="Times New Roman"/>
          <w:sz w:val="22"/>
        </w:rPr>
      </w:pPr>
      <w:r>
        <w:rPr>
          <w:rFonts w:ascii="Times New Roman" w:hAnsi="Times New Roman" w:cs="Times New Roman"/>
          <w:sz w:val="22"/>
        </w:rPr>
        <w:t>To construct the indexes, the eight variables were entered into a principal components analysis (</w:t>
      </w:r>
      <w:proofErr w:type="spellStart"/>
      <w:r>
        <w:rPr>
          <w:rFonts w:ascii="Times New Roman" w:hAnsi="Times New Roman" w:cs="Times New Roman"/>
          <w:sz w:val="22"/>
        </w:rPr>
        <w:t>PCA</w:t>
      </w:r>
      <w:proofErr w:type="spellEnd"/>
      <w:r>
        <w:rPr>
          <w:rFonts w:ascii="Times New Roman" w:hAnsi="Times New Roman" w:cs="Times New Roman"/>
          <w:sz w:val="22"/>
        </w:rPr>
        <w:t xml:space="preserve">). </w:t>
      </w:r>
      <w:r>
        <w:rPr>
          <w:rFonts w:ascii="Times New Roman" w:hAnsi="Times New Roman" w:cs="Times New Roman"/>
          <w:sz w:val="22"/>
          <w:shd w:val="clear" w:color="auto" w:fill="FFFFFF"/>
        </w:rPr>
        <w:t xml:space="preserve"> Based on the resulting </w:t>
      </w:r>
      <w:r>
        <w:rPr>
          <w:rFonts w:ascii="Times New Roman" w:hAnsi="Times New Roman" w:cs="Times New Roman"/>
          <w:sz w:val="22"/>
        </w:rPr>
        <w:t xml:space="preserve">eigenvalues and scree plot, we kept two components that capture </w:t>
      </w:r>
      <w:proofErr w:type="gramStart"/>
      <w:r>
        <w:rPr>
          <w:rFonts w:ascii="Times New Roman" w:hAnsi="Times New Roman" w:cs="Times New Roman"/>
          <w:sz w:val="22"/>
        </w:rPr>
        <w:t>the majority of</w:t>
      </w:r>
      <w:proofErr w:type="gramEnd"/>
      <w:r>
        <w:rPr>
          <w:rFonts w:ascii="Times New Roman" w:hAnsi="Times New Roman" w:cs="Times New Roman"/>
          <w:sz w:val="22"/>
        </w:rPr>
        <w:t xml:space="preserve"> variation in the data.  We then examined the factor loading scores to determine which dimensions of integration were represented by each component.  We constructed the Provider Integration Index and Facility Integration Index using weights calculated with the factor loading scores from each variable within the two retained components. We generated a Provider Integration Index score and Facility Integration Index score for each facility by multiplying the variables included in each component by their associated weights and summing the values.   E</w:t>
      </w:r>
      <w:r>
        <w:rPr>
          <w:rFonts w:ascii="Times New Roman" w:hAnsi="Times New Roman" w:cs="Times New Roman"/>
          <w:sz w:val="22"/>
          <w:szCs w:val="22"/>
        </w:rPr>
        <w:t>ach facility was classified as having “low integration” (index score 0 - 3.29), “medium integration” (3.30 -</w:t>
      </w:r>
      <w:r>
        <w:rPr>
          <w:rFonts w:ascii="Times New Roman" w:hAnsi="Times New Roman" w:cs="Times New Roman"/>
          <w:bCs/>
          <w:i/>
          <w:sz w:val="22"/>
          <w:szCs w:val="22"/>
        </w:rPr>
        <w:t xml:space="preserve"> </w:t>
      </w:r>
      <w:r>
        <w:rPr>
          <w:rFonts w:ascii="Times New Roman" w:hAnsi="Times New Roman" w:cs="Times New Roman"/>
          <w:sz w:val="22"/>
          <w:szCs w:val="22"/>
        </w:rPr>
        <w:t>6.59) or “high integration” (6.60 -10.00) for both the</w:t>
      </w:r>
      <w:r>
        <w:rPr>
          <w:rFonts w:ascii="Times New Roman" w:hAnsi="Times New Roman" w:cs="Times New Roman"/>
          <w:sz w:val="22"/>
        </w:rPr>
        <w:t xml:space="preserve"> Provider and Facility Integration Index scores.  We gauged the internal coherence of the indexes by comparing facility characteristics and index scores across low, medium, and high integration groups.  Statistically significant differences in facility characteristics and overall index scores across all groups for both indexes indicate strong internal coherence. We investigated index robustness by observing whether classifications of facilities with high index scores shift when different sub-sets of variables are entered into the </w:t>
      </w:r>
      <w:proofErr w:type="spellStart"/>
      <w:r>
        <w:rPr>
          <w:rFonts w:ascii="Times New Roman" w:hAnsi="Times New Roman" w:cs="Times New Roman"/>
          <w:sz w:val="22"/>
        </w:rPr>
        <w:t>PCA</w:t>
      </w:r>
      <w:proofErr w:type="spellEnd"/>
      <w:r>
        <w:rPr>
          <w:rFonts w:ascii="Times New Roman" w:hAnsi="Times New Roman" w:cs="Times New Roman"/>
          <w:sz w:val="22"/>
        </w:rPr>
        <w:t>. The Provider Integration Index is highly robust to the inclusion of different sub-sets of variables in the model, while the Facility Integration Index shows more sensitivity</w:t>
      </w:r>
      <w:r>
        <w:rPr>
          <w:rFonts w:ascii="Times New Roman" w:hAnsi="Times New Roman"/>
          <w:sz w:val="22"/>
        </w:rPr>
        <w:t xml:space="preserve">.  Additional information about the indexes has been published previously and is available from the first author.  </w:t>
      </w:r>
    </w:p>
    <w:p w14:paraId="5FB0D043" w14:textId="77777777" w:rsidR="00D44B91" w:rsidRDefault="00D44B91" w:rsidP="00D44B91"/>
    <w:p w14:paraId="75879B36" w14:textId="67D60584" w:rsidR="003A6A7D" w:rsidRDefault="003A6A7D"/>
    <w:sectPr w:rsidR="003A6A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34A0"/>
    <w:rsid w:val="000109EF"/>
    <w:rsid w:val="001C2CE5"/>
    <w:rsid w:val="002C4973"/>
    <w:rsid w:val="002D3513"/>
    <w:rsid w:val="0038538D"/>
    <w:rsid w:val="003A6A7D"/>
    <w:rsid w:val="003C7953"/>
    <w:rsid w:val="004D5A76"/>
    <w:rsid w:val="00546A16"/>
    <w:rsid w:val="006C5BD9"/>
    <w:rsid w:val="007D2074"/>
    <w:rsid w:val="008B217E"/>
    <w:rsid w:val="009410C8"/>
    <w:rsid w:val="009834A0"/>
    <w:rsid w:val="009B2583"/>
    <w:rsid w:val="00A56054"/>
    <w:rsid w:val="00A62162"/>
    <w:rsid w:val="00AA3C31"/>
    <w:rsid w:val="00B42946"/>
    <w:rsid w:val="00B52C6F"/>
    <w:rsid w:val="00BA5200"/>
    <w:rsid w:val="00D44B91"/>
    <w:rsid w:val="00D9177E"/>
    <w:rsid w:val="00DB06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E4233"/>
  <w15:chartTrackingRefBased/>
  <w15:docId w15:val="{585961C6-4753-4C7C-97BC-FA9151B233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4B91"/>
    <w:pPr>
      <w:spacing w:after="0" w:line="240" w:lineRule="auto"/>
    </w:pPr>
    <w:rPr>
      <w:sz w:val="24"/>
      <w:szCs w:val="24"/>
    </w:rPr>
  </w:style>
  <w:style w:type="paragraph" w:styleId="Heading1">
    <w:name w:val="heading 1"/>
    <w:basedOn w:val="Normal"/>
    <w:next w:val="Normal"/>
    <w:link w:val="Heading1Char"/>
    <w:qFormat/>
    <w:rsid w:val="00D44B91"/>
    <w:pPr>
      <w:keepNext/>
      <w:keepLines/>
      <w:spacing w:before="480" w:line="480" w:lineRule="auto"/>
      <w:outlineLvl w:val="0"/>
    </w:pPr>
    <w:rPr>
      <w:rFonts w:ascii="Times New Roman" w:eastAsiaTheme="majorEastAsia" w:hAnsi="Times New Roman" w:cstheme="majorBidi"/>
      <w:b/>
      <w:bCs/>
      <w:color w:val="2D4F8E" w:themeColor="accent1" w:themeShade="B5"/>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B06F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06F0"/>
    <w:rPr>
      <w:rFonts w:ascii="Segoe UI" w:hAnsi="Segoe UI" w:cs="Segoe UI"/>
      <w:sz w:val="18"/>
      <w:szCs w:val="18"/>
    </w:rPr>
  </w:style>
  <w:style w:type="character" w:customStyle="1" w:styleId="Heading1Char">
    <w:name w:val="Heading 1 Char"/>
    <w:basedOn w:val="DefaultParagraphFont"/>
    <w:link w:val="Heading1"/>
    <w:rsid w:val="00D44B91"/>
    <w:rPr>
      <w:rFonts w:ascii="Times New Roman" w:eastAsiaTheme="majorEastAsia" w:hAnsi="Times New Roman" w:cstheme="majorBidi"/>
      <w:b/>
      <w:bCs/>
      <w:color w:val="2D4F8E" w:themeColor="accent1" w:themeShade="B5"/>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52769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1018</TotalTime>
  <Pages>1</Pages>
  <Words>434</Words>
  <Characters>2478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2021-01-05T13:05:00Z</dcterms:created>
  <dcterms:modified xsi:type="dcterms:W3CDTF">2021-01-06T20:21:00Z</dcterms:modified>
</cp:coreProperties>
</file>