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52093" w14:textId="7DD0B648" w:rsidR="00D0373D" w:rsidRDefault="00F81A2A">
      <w:pPr>
        <w:rPr>
          <w:b/>
          <w:bCs/>
        </w:rPr>
      </w:pPr>
      <w:r>
        <w:rPr>
          <w:b/>
          <w:bCs/>
        </w:rPr>
        <w:t>Online Data Supplement</w:t>
      </w:r>
      <w:r w:rsidR="00B36EDF">
        <w:rPr>
          <w:b/>
          <w:bCs/>
        </w:rPr>
        <w:t xml:space="preserve"> for</w:t>
      </w:r>
      <w:r w:rsidR="005D65AC">
        <w:rPr>
          <w:b/>
          <w:bCs/>
        </w:rPr>
        <w:t>:</w:t>
      </w:r>
    </w:p>
    <w:p w14:paraId="5D5C8DDB" w14:textId="77777777" w:rsidR="005D65AC" w:rsidRDefault="005D65AC">
      <w:pPr>
        <w:rPr>
          <w:b/>
          <w:bCs/>
        </w:rPr>
      </w:pPr>
    </w:p>
    <w:p w14:paraId="17C6A9CC" w14:textId="77777777" w:rsidR="0034772B" w:rsidRPr="00902767" w:rsidRDefault="0034772B" w:rsidP="0034772B">
      <w:pPr>
        <w:spacing w:line="480" w:lineRule="auto"/>
        <w:jc w:val="center"/>
        <w:rPr>
          <w:b/>
          <w:bCs/>
        </w:rPr>
      </w:pPr>
      <w:r>
        <w:rPr>
          <w:b/>
          <w:bCs/>
        </w:rPr>
        <w:t xml:space="preserve">Differences in the </w:t>
      </w:r>
      <w:r w:rsidRPr="00026D75">
        <w:rPr>
          <w:b/>
          <w:bCs/>
        </w:rPr>
        <w:t>DNA Methylom</w:t>
      </w:r>
      <w:r>
        <w:rPr>
          <w:b/>
          <w:bCs/>
        </w:rPr>
        <w:t>e</w:t>
      </w:r>
      <w:r w:rsidRPr="00026D75">
        <w:rPr>
          <w:b/>
          <w:bCs/>
        </w:rPr>
        <w:t xml:space="preserve"> </w:t>
      </w:r>
      <w:r>
        <w:rPr>
          <w:b/>
          <w:bCs/>
        </w:rPr>
        <w:t>of T cells in</w:t>
      </w:r>
      <w:r w:rsidRPr="00026D75">
        <w:rPr>
          <w:b/>
          <w:bCs/>
        </w:rPr>
        <w:t xml:space="preserve"> Adults </w:t>
      </w:r>
      <w:r>
        <w:rPr>
          <w:b/>
          <w:bCs/>
        </w:rPr>
        <w:t xml:space="preserve">With </w:t>
      </w:r>
      <w:r w:rsidRPr="00026D75">
        <w:rPr>
          <w:b/>
          <w:bCs/>
        </w:rPr>
        <w:t xml:space="preserve">Asthma of Varying </w:t>
      </w:r>
      <w:r>
        <w:rPr>
          <w:b/>
          <w:bCs/>
        </w:rPr>
        <w:t>Severity</w:t>
      </w:r>
    </w:p>
    <w:p w14:paraId="3D2A530F" w14:textId="77777777" w:rsidR="005D65AC" w:rsidRDefault="005D65AC" w:rsidP="005D65AC">
      <w:pPr>
        <w:spacing w:line="480" w:lineRule="auto"/>
        <w:jc w:val="center"/>
      </w:pPr>
    </w:p>
    <w:p w14:paraId="1BC14097" w14:textId="6E6C6109" w:rsidR="005D65AC" w:rsidRDefault="005D65AC" w:rsidP="005D65AC">
      <w:pPr>
        <w:spacing w:line="480" w:lineRule="auto"/>
        <w:jc w:val="center"/>
      </w:pPr>
      <w:r>
        <w:t>Yixuan Liao, Raymond J. Cavalcante, Jonathan B. Waller, Furong Deng, Anne M. Scruggs, Yvonne J. Huang, Ulus Atasoy, Yahong Chen, Steven K. Huang</w:t>
      </w:r>
    </w:p>
    <w:p w14:paraId="55A1242A" w14:textId="7B6F3B6C" w:rsidR="00F81A2A" w:rsidRDefault="00F81A2A">
      <w:pPr>
        <w:rPr>
          <w:b/>
          <w:bCs/>
        </w:rPr>
      </w:pPr>
    </w:p>
    <w:p w14:paraId="55235CA0" w14:textId="77777777" w:rsidR="00066664" w:rsidRDefault="00066664" w:rsidP="00066664">
      <w:pPr>
        <w:spacing w:line="480" w:lineRule="auto"/>
      </w:pPr>
      <w:r>
        <w:t>Address correspondence to:</w:t>
      </w:r>
    </w:p>
    <w:p w14:paraId="48A55698" w14:textId="7C5A917C" w:rsidR="00066664" w:rsidRDefault="00066664" w:rsidP="00066664">
      <w:pPr>
        <w:spacing w:after="0"/>
      </w:pPr>
      <w:r>
        <w:t>Steven K. Huang, MD</w:t>
      </w:r>
      <w:r>
        <w:tab/>
      </w:r>
      <w:r>
        <w:tab/>
      </w:r>
      <w:r>
        <w:tab/>
      </w:r>
      <w:r>
        <w:tab/>
      </w:r>
      <w:r w:rsidR="0034772B">
        <w:t xml:space="preserve">   </w:t>
      </w:r>
      <w:r>
        <w:t>Yahong Chen, MD</w:t>
      </w:r>
    </w:p>
    <w:p w14:paraId="09F7D159" w14:textId="6B3D6354" w:rsidR="00066664" w:rsidRDefault="00066664" w:rsidP="00066664">
      <w:pPr>
        <w:spacing w:after="0"/>
      </w:pPr>
      <w:r>
        <w:t>Division of Pulmonary and Critical Care Medicine</w:t>
      </w:r>
      <w:r w:rsidR="0034772B">
        <w:t xml:space="preserve">  </w:t>
      </w:r>
      <w:r>
        <w:t xml:space="preserve">Department of </w:t>
      </w:r>
      <w:r w:rsidR="0034772B">
        <w:t>Pulmonary and Critical Care Medicine</w:t>
      </w:r>
    </w:p>
    <w:p w14:paraId="03270BCB" w14:textId="5A2C9E0C" w:rsidR="00066664" w:rsidRDefault="00066664" w:rsidP="00066664">
      <w:pPr>
        <w:spacing w:after="0"/>
      </w:pPr>
      <w:r>
        <w:t>University of Michigan</w:t>
      </w:r>
      <w:r>
        <w:tab/>
      </w:r>
      <w:r>
        <w:tab/>
      </w:r>
      <w:r>
        <w:tab/>
      </w:r>
      <w:r>
        <w:tab/>
      </w:r>
      <w:r w:rsidR="0034772B">
        <w:t xml:space="preserve">   </w:t>
      </w:r>
      <w:r>
        <w:t>Peking University Third Hospital</w:t>
      </w:r>
    </w:p>
    <w:p w14:paraId="0BFC10AA" w14:textId="68AC1DE7" w:rsidR="00066664" w:rsidRDefault="00066664" w:rsidP="00066664">
      <w:pPr>
        <w:spacing w:after="0"/>
      </w:pPr>
      <w:r>
        <w:t>6301 MSRB III</w:t>
      </w:r>
      <w:r>
        <w:tab/>
      </w:r>
      <w:r>
        <w:tab/>
      </w:r>
      <w:r>
        <w:tab/>
      </w:r>
      <w:r>
        <w:tab/>
      </w:r>
      <w:r>
        <w:tab/>
      </w:r>
      <w:r w:rsidR="0034772B">
        <w:t xml:space="preserve">   </w:t>
      </w:r>
      <w:r>
        <w:t>No.49, Huayuan North Road</w:t>
      </w:r>
    </w:p>
    <w:p w14:paraId="6017F9CA" w14:textId="4540D945" w:rsidR="00066664" w:rsidRDefault="00066664" w:rsidP="00066664">
      <w:pPr>
        <w:spacing w:after="0"/>
      </w:pPr>
      <w:r>
        <w:t>1150 W Medical Center Dr.</w:t>
      </w:r>
      <w:r>
        <w:tab/>
      </w:r>
      <w:r>
        <w:tab/>
      </w:r>
      <w:r>
        <w:tab/>
      </w:r>
      <w:r w:rsidR="0034772B">
        <w:t xml:space="preserve">   </w:t>
      </w:r>
      <w:r>
        <w:t>Haidian District</w:t>
      </w:r>
    </w:p>
    <w:p w14:paraId="12D6956A" w14:textId="106AD2B4" w:rsidR="00066664" w:rsidRDefault="00066664" w:rsidP="00066664">
      <w:pPr>
        <w:spacing w:after="0"/>
      </w:pPr>
      <w:r>
        <w:t>Ann Arbor, MI 48109</w:t>
      </w:r>
      <w:r>
        <w:tab/>
      </w:r>
      <w:r>
        <w:tab/>
      </w:r>
      <w:r>
        <w:tab/>
      </w:r>
      <w:r>
        <w:tab/>
      </w:r>
      <w:r w:rsidR="0034772B">
        <w:t xml:space="preserve">   </w:t>
      </w:r>
      <w:r>
        <w:t>Beijing, China 100191</w:t>
      </w:r>
    </w:p>
    <w:p w14:paraId="4D2EC24C" w14:textId="2BA90AE1" w:rsidR="00066664" w:rsidRDefault="00066664" w:rsidP="00066664">
      <w:pPr>
        <w:spacing w:after="0"/>
      </w:pPr>
      <w:r>
        <w:t>Phone: (734) 647-6477</w:t>
      </w:r>
      <w:r>
        <w:tab/>
      </w:r>
      <w:r>
        <w:tab/>
      </w:r>
      <w:r>
        <w:tab/>
      </w:r>
      <w:r>
        <w:tab/>
      </w:r>
      <w:r w:rsidR="0034772B">
        <w:t xml:space="preserve">   </w:t>
      </w:r>
      <w:r>
        <w:t>Phone: +86-13910232918</w:t>
      </w:r>
    </w:p>
    <w:p w14:paraId="15E0BFB2" w14:textId="77777777" w:rsidR="00066664" w:rsidRDefault="00066664" w:rsidP="00066664">
      <w:pPr>
        <w:spacing w:after="0"/>
      </w:pPr>
      <w:r>
        <w:t>Fax: (734) 764-4556</w:t>
      </w:r>
      <w:r>
        <w:tab/>
      </w:r>
      <w:r>
        <w:tab/>
      </w:r>
      <w:r>
        <w:tab/>
      </w:r>
      <w:r>
        <w:tab/>
      </w:r>
      <w:r>
        <w:tab/>
      </w:r>
    </w:p>
    <w:p w14:paraId="6A26BA39" w14:textId="362670D9" w:rsidR="00066664" w:rsidRDefault="00066664" w:rsidP="00066664">
      <w:pPr>
        <w:spacing w:after="0"/>
      </w:pPr>
      <w:r>
        <w:t xml:space="preserve">Email: </w:t>
      </w:r>
      <w:hyperlink r:id="rId5" w:history="1">
        <w:r w:rsidRPr="00487240">
          <w:rPr>
            <w:rStyle w:val="Hyperlink"/>
          </w:rPr>
          <w:t>stehuang@umich.edu</w:t>
        </w:r>
      </w:hyperlink>
      <w:r>
        <w:tab/>
      </w:r>
      <w:r>
        <w:tab/>
      </w:r>
      <w:r>
        <w:tab/>
      </w:r>
      <w:r w:rsidR="0034772B">
        <w:t xml:space="preserve">   </w:t>
      </w:r>
      <w:r>
        <w:t xml:space="preserve">email: </w:t>
      </w:r>
      <w:hyperlink r:id="rId6" w:history="1">
        <w:r w:rsidRPr="00487240">
          <w:rPr>
            <w:rStyle w:val="Hyperlink"/>
          </w:rPr>
          <w:t>chenyahong@vip.sina.com</w:t>
        </w:r>
      </w:hyperlink>
    </w:p>
    <w:p w14:paraId="75478E19" w14:textId="77777777" w:rsidR="00066664" w:rsidRDefault="00066664">
      <w:pPr>
        <w:rPr>
          <w:b/>
          <w:bCs/>
        </w:rPr>
      </w:pPr>
    </w:p>
    <w:p w14:paraId="7DC3DAC8" w14:textId="77777777" w:rsidR="00B36EDF" w:rsidRDefault="00B36EDF">
      <w:pPr>
        <w:rPr>
          <w:b/>
          <w:bCs/>
        </w:rPr>
      </w:pPr>
      <w:r>
        <w:rPr>
          <w:b/>
          <w:bCs/>
        </w:rPr>
        <w:br w:type="page"/>
      </w:r>
    </w:p>
    <w:p w14:paraId="0AA44C5A" w14:textId="666CB3C9" w:rsidR="00D87383" w:rsidRDefault="006A53A0">
      <w:r>
        <w:rPr>
          <w:noProof/>
        </w:rPr>
        <w:lastRenderedPageBreak/>
        <w:drawing>
          <wp:inline distT="0" distB="0" distL="0" distR="0" wp14:anchorId="21B89B0E" wp14:editId="00C83158">
            <wp:extent cx="5632450" cy="6108700"/>
            <wp:effectExtent l="0" t="0" r="6350" b="6350"/>
            <wp:docPr id="17355081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610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EC1E4" w14:textId="2DBED3A0" w:rsidR="00400AE3" w:rsidRDefault="009F665C" w:rsidP="005F099E">
      <w:pPr>
        <w:spacing w:line="240" w:lineRule="auto"/>
      </w:pPr>
      <w:r w:rsidRPr="00D86675">
        <w:rPr>
          <w:b/>
          <w:bCs/>
        </w:rPr>
        <w:t>F</w:t>
      </w:r>
      <w:r w:rsidR="00B505B9">
        <w:rPr>
          <w:b/>
          <w:bCs/>
        </w:rPr>
        <w:t>igure S</w:t>
      </w:r>
      <w:r w:rsidRPr="00D86675">
        <w:rPr>
          <w:b/>
          <w:bCs/>
        </w:rPr>
        <w:t>1.</w:t>
      </w:r>
      <w:r>
        <w:t xml:space="preserve"> </w:t>
      </w:r>
      <w:r w:rsidR="006A53A0">
        <w:t>Blood sample distribution and cell type deconvolution by DNA methylation analysis.</w:t>
      </w:r>
      <w:r w:rsidR="00E66C51">
        <w:t xml:space="preserve"> </w:t>
      </w:r>
      <w:r w:rsidR="00FB7A94" w:rsidRPr="00017C99">
        <w:rPr>
          <w:b/>
          <w:bCs/>
        </w:rPr>
        <w:t>(A)</w:t>
      </w:r>
      <w:r w:rsidR="00FB7A94">
        <w:t xml:space="preserve"> </w:t>
      </w:r>
      <w:r w:rsidR="006A53A0">
        <w:t xml:space="preserve">Alignment of each subject per subject identification (ID) and the duration of patient follow-up, with </w:t>
      </w:r>
      <w:r w:rsidR="00400AE3">
        <w:t>symbols representing the</w:t>
      </w:r>
      <w:r w:rsidR="006A53A0">
        <w:t xml:space="preserve"> date</w:t>
      </w:r>
      <w:r w:rsidR="00400AE3">
        <w:t xml:space="preserve">s </w:t>
      </w:r>
      <w:r w:rsidR="006A53A0">
        <w:t>blood samples were taken from each subject</w:t>
      </w:r>
      <w:r w:rsidR="00532E46">
        <w:t xml:space="preserve">. </w:t>
      </w:r>
      <w:r w:rsidRPr="00017C99">
        <w:rPr>
          <w:b/>
          <w:bCs/>
        </w:rPr>
        <w:t>(</w:t>
      </w:r>
      <w:r w:rsidR="00532E46" w:rsidRPr="00017C99">
        <w:rPr>
          <w:b/>
          <w:bCs/>
        </w:rPr>
        <w:t>B)</w:t>
      </w:r>
      <w:r>
        <w:t xml:space="preserve"> </w:t>
      </w:r>
      <w:r w:rsidR="00400AE3">
        <w:t>Cell type deconvolution was performed based on the DNA methylation pattern of each sample</w:t>
      </w:r>
      <w:r w:rsidR="0034772B">
        <w:t>, with</w:t>
      </w:r>
      <w:r w:rsidR="00400AE3">
        <w:t xml:space="preserve"> the relative proportion of each cell type shown.</w:t>
      </w:r>
    </w:p>
    <w:p w14:paraId="7D4653F6" w14:textId="77777777" w:rsidR="005F099E" w:rsidRDefault="00400AE3" w:rsidP="005F099E">
      <w:pPr>
        <w:spacing w:line="240" w:lineRule="auto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53FC695" wp14:editId="1E78ABCE">
            <wp:extent cx="5637665" cy="7229475"/>
            <wp:effectExtent l="0" t="0" r="0" b="0"/>
            <wp:docPr id="15019299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5857" cy="723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8AA2A" w14:textId="13CA9358" w:rsidR="00DC00AF" w:rsidRDefault="00400AE3" w:rsidP="005F099E">
      <w:pPr>
        <w:spacing w:line="240" w:lineRule="auto"/>
      </w:pPr>
      <w:r w:rsidRPr="00DC00AF">
        <w:rPr>
          <w:b/>
          <w:bCs/>
        </w:rPr>
        <w:t>F</w:t>
      </w:r>
      <w:r w:rsidR="00B505B9">
        <w:rPr>
          <w:b/>
          <w:bCs/>
        </w:rPr>
        <w:t>igure S</w:t>
      </w:r>
      <w:r w:rsidRPr="00DC00AF">
        <w:rPr>
          <w:b/>
          <w:bCs/>
        </w:rPr>
        <w:t>2.</w:t>
      </w:r>
      <w:r>
        <w:t xml:space="preserve"> Measures of clinical parameters of asthma over time for each subject. </w:t>
      </w:r>
      <w:r w:rsidR="00EE2FF3" w:rsidRPr="00017C99">
        <w:rPr>
          <w:b/>
          <w:bCs/>
        </w:rPr>
        <w:t>(A)</w:t>
      </w:r>
      <w:r w:rsidR="00EE2FF3">
        <w:t xml:space="preserve"> Pre-bronchodilator forced expiratory volume in 1 second (FEV1)</w:t>
      </w:r>
      <w:r>
        <w:t xml:space="preserve"> </w:t>
      </w:r>
      <w:r w:rsidR="00EE2FF3">
        <w:t xml:space="preserve">as a percent predicted, </w:t>
      </w:r>
      <w:r w:rsidR="00EE2FF3" w:rsidRPr="00017C99">
        <w:rPr>
          <w:b/>
          <w:bCs/>
        </w:rPr>
        <w:t>(B)</w:t>
      </w:r>
      <w:r w:rsidR="00EE2FF3">
        <w:t xml:space="preserve"> fraction of exhaled nitric oxide (FeNO) in parts per billion, and </w:t>
      </w:r>
      <w:r w:rsidR="00EE2FF3" w:rsidRPr="00017C99">
        <w:rPr>
          <w:b/>
          <w:bCs/>
        </w:rPr>
        <w:t>(C)</w:t>
      </w:r>
      <w:r w:rsidR="00EE2FF3">
        <w:t xml:space="preserve"> </w:t>
      </w:r>
      <w:r w:rsidR="0034772B">
        <w:t>A</w:t>
      </w:r>
      <w:r w:rsidR="00EE2FF3">
        <w:t xml:space="preserve">sthma </w:t>
      </w:r>
      <w:r w:rsidR="0034772B">
        <w:t>C</w:t>
      </w:r>
      <w:r w:rsidR="00EE2FF3">
        <w:t xml:space="preserve">ontrol </w:t>
      </w:r>
      <w:r w:rsidR="0034772B">
        <w:t>T</w:t>
      </w:r>
      <w:r w:rsidR="00EE2FF3">
        <w:t>est (ACT) score were measured for each subject at each of their visits and values of these clinical parameters are graphed over time and analyzed by linear regression analysis.</w:t>
      </w:r>
    </w:p>
    <w:p w14:paraId="72F1E8DC" w14:textId="77777777" w:rsidR="00DC00AF" w:rsidRDefault="00DC00AF" w:rsidP="009F665C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30E0C2CC" wp14:editId="2F4415B3">
            <wp:extent cx="4117234" cy="7218680"/>
            <wp:effectExtent l="0" t="0" r="0" b="1270"/>
            <wp:docPr id="1878579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9109" cy="7239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460D1" w14:textId="0A7F1C33" w:rsidR="00235638" w:rsidRDefault="00DC00AF" w:rsidP="005F099E">
      <w:pPr>
        <w:spacing w:line="240" w:lineRule="auto"/>
      </w:pPr>
      <w:r w:rsidRPr="0095764A">
        <w:rPr>
          <w:b/>
          <w:bCs/>
        </w:rPr>
        <w:t>F</w:t>
      </w:r>
      <w:r w:rsidR="00B505B9">
        <w:rPr>
          <w:b/>
          <w:bCs/>
        </w:rPr>
        <w:t>igure S</w:t>
      </w:r>
      <w:r w:rsidRPr="0095764A">
        <w:rPr>
          <w:b/>
          <w:bCs/>
        </w:rPr>
        <w:t>3.</w:t>
      </w:r>
      <w:r>
        <w:t xml:space="preserve"> Principal component analysis (PCA) plots </w:t>
      </w:r>
      <w:r w:rsidR="007404D0">
        <w:t xml:space="preserve">of </w:t>
      </w:r>
      <w:r>
        <w:t>patient samples based on DNA methylation of the top 500 most variable probes</w:t>
      </w:r>
      <w:r w:rsidR="007404D0">
        <w:t xml:space="preserve"> were constructed, with </w:t>
      </w:r>
      <w:r w:rsidR="007404D0" w:rsidRPr="00017C99">
        <w:rPr>
          <w:b/>
          <w:bCs/>
        </w:rPr>
        <w:t>(A)</w:t>
      </w:r>
      <w:r w:rsidR="007404D0">
        <w:t xml:space="preserve"> depicting the principal component</w:t>
      </w:r>
      <w:r w:rsidR="0034772B">
        <w:t xml:space="preserve"> (PC)</w:t>
      </w:r>
      <w:r w:rsidR="007404D0">
        <w:t xml:space="preserve"> variable 1</w:t>
      </w:r>
      <w:r w:rsidR="0034772B">
        <w:t xml:space="preserve"> </w:t>
      </w:r>
      <w:r w:rsidR="007404D0">
        <w:t xml:space="preserve">vs </w:t>
      </w:r>
      <w:r w:rsidR="0034772B">
        <w:t>PC2</w:t>
      </w:r>
      <w:r w:rsidR="007404D0">
        <w:t xml:space="preserve"> and </w:t>
      </w:r>
      <w:r w:rsidR="007404D0" w:rsidRPr="00017C99">
        <w:rPr>
          <w:b/>
          <w:bCs/>
        </w:rPr>
        <w:t>(B)</w:t>
      </w:r>
      <w:r w:rsidR="007404D0">
        <w:t xml:space="preserve"> depicting </w:t>
      </w:r>
      <w:r w:rsidR="0034772B">
        <w:t>PC2</w:t>
      </w:r>
      <w:r w:rsidR="007404D0">
        <w:t xml:space="preserve"> vs </w:t>
      </w:r>
      <w:r w:rsidR="0034772B">
        <w:t>PC</w:t>
      </w:r>
      <w:r w:rsidR="007404D0">
        <w:t>3.</w:t>
      </w:r>
    </w:p>
    <w:p w14:paraId="1236D279" w14:textId="0EDDBD41" w:rsidR="007404D0" w:rsidRDefault="00235638" w:rsidP="005F099E">
      <w:pPr>
        <w:spacing w:line="240" w:lineRule="auto"/>
      </w:pPr>
      <w:r>
        <w:rPr>
          <w:noProof/>
        </w:rPr>
        <w:lastRenderedPageBreak/>
        <w:drawing>
          <wp:inline distT="0" distB="0" distL="0" distR="0" wp14:anchorId="713897D0" wp14:editId="3A9FC5EB">
            <wp:extent cx="5905500" cy="6795110"/>
            <wp:effectExtent l="0" t="0" r="0" b="0"/>
            <wp:docPr id="106032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746" cy="6801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49C3E" w14:textId="63F0C7E8" w:rsidR="00692F36" w:rsidRDefault="00235638">
      <w:pPr>
        <w:rPr>
          <w:b/>
          <w:bCs/>
        </w:rPr>
      </w:pPr>
      <w:r>
        <w:rPr>
          <w:b/>
          <w:bCs/>
        </w:rPr>
        <w:t>F</w:t>
      </w:r>
      <w:r w:rsidR="00B505B9">
        <w:rPr>
          <w:b/>
          <w:bCs/>
        </w:rPr>
        <w:t>igure S</w:t>
      </w:r>
      <w:r>
        <w:rPr>
          <w:b/>
          <w:bCs/>
        </w:rPr>
        <w:t>4.</w:t>
      </w:r>
      <w:r>
        <w:t xml:space="preserve">Networks </w:t>
      </w:r>
      <w:r w:rsidR="00904A28">
        <w:t xml:space="preserve">from pathways </w:t>
      </w:r>
      <w:r>
        <w:t xml:space="preserve">of </w:t>
      </w:r>
      <w:r w:rsidR="00904A28">
        <w:t xml:space="preserve">differentially methylated </w:t>
      </w:r>
      <w:r>
        <w:t xml:space="preserve">genes </w:t>
      </w:r>
      <w:r w:rsidR="00904A28">
        <w:t>identified</w:t>
      </w:r>
      <w:r>
        <w:t xml:space="preserve"> between high vs low FeNO comparison. </w:t>
      </w:r>
      <w:r w:rsidR="00904A28" w:rsidRPr="00904A28">
        <w:rPr>
          <w:b/>
          <w:bCs/>
        </w:rPr>
        <w:t>(A)</w:t>
      </w:r>
      <w:r w:rsidR="00904A28">
        <w:t xml:space="preserve"> </w:t>
      </w:r>
      <w:r w:rsidR="00904A28" w:rsidRPr="00904A28">
        <w:rPr>
          <w:i/>
          <w:iCs/>
        </w:rPr>
        <w:t>PTPRC</w:t>
      </w:r>
      <w:r w:rsidR="00904A28">
        <w:t xml:space="preserve"> was identified by iPathway as an upstream regulator of several hyper- (red) and hypo- (blue) methylated genes in the dataset. </w:t>
      </w:r>
      <w:r w:rsidR="00904A28" w:rsidRPr="005F099E">
        <w:rPr>
          <w:b/>
          <w:bCs/>
        </w:rPr>
        <w:t>(B</w:t>
      </w:r>
      <w:r w:rsidR="00734FA5" w:rsidRPr="005F099E">
        <w:rPr>
          <w:b/>
          <w:bCs/>
        </w:rPr>
        <w:t xml:space="preserve"> and D</w:t>
      </w:r>
      <w:r w:rsidR="00904A28" w:rsidRPr="005F099E">
        <w:rPr>
          <w:b/>
          <w:bCs/>
        </w:rPr>
        <w:t>)</w:t>
      </w:r>
      <w:r w:rsidR="00904A28">
        <w:t xml:space="preserve"> Network of genes from </w:t>
      </w:r>
      <w:r w:rsidR="00734FA5">
        <w:t>the GO pathway “Interleukin-12 production”</w:t>
      </w:r>
      <w:r w:rsidR="005F099E">
        <w:t xml:space="preserve"> </w:t>
      </w:r>
      <w:r w:rsidR="005F099E" w:rsidRPr="005F099E">
        <w:rPr>
          <w:b/>
          <w:bCs/>
        </w:rPr>
        <w:t>(B)</w:t>
      </w:r>
      <w:r w:rsidR="00734FA5">
        <w:t xml:space="preserve"> and the KEGG pathway “</w:t>
      </w:r>
      <w:r w:rsidR="005F099E">
        <w:t xml:space="preserve">Neuroactive ligand-receptor interaction” </w:t>
      </w:r>
      <w:r w:rsidR="005F099E" w:rsidRPr="005F099E">
        <w:rPr>
          <w:b/>
          <w:bCs/>
        </w:rPr>
        <w:t>(D)</w:t>
      </w:r>
      <w:r w:rsidR="005F099E">
        <w:t xml:space="preserve"> </w:t>
      </w:r>
      <w:r w:rsidR="00734FA5">
        <w:t xml:space="preserve">that were differentially methylated in the dataset. </w:t>
      </w:r>
      <w:r w:rsidR="005F099E">
        <w:t xml:space="preserve">Interactions are defined as A, activation; I, inhibition; B, binding; C, catalysis; R, reaction. </w:t>
      </w:r>
      <w:r w:rsidR="00734FA5" w:rsidRPr="005F099E">
        <w:rPr>
          <w:b/>
          <w:bCs/>
        </w:rPr>
        <w:t>(C)</w:t>
      </w:r>
      <w:r w:rsidR="00734FA5">
        <w:t xml:space="preserve"> Graphical representation of hypermethylated genes from the “Olfactory receptor” pathway.</w:t>
      </w:r>
      <w:r w:rsidR="005F099E">
        <w:t xml:space="preserve"> </w:t>
      </w:r>
      <w:r w:rsidR="00692F36">
        <w:rPr>
          <w:b/>
          <w:bCs/>
        </w:rPr>
        <w:br w:type="page"/>
      </w:r>
    </w:p>
    <w:p w14:paraId="11646E6E" w14:textId="71D91259" w:rsidR="00692F36" w:rsidRDefault="00A31588" w:rsidP="001B2EAA">
      <w:pPr>
        <w:spacing w:line="480" w:lineRule="auto"/>
        <w:rPr>
          <w:b/>
          <w:bCs/>
        </w:rPr>
      </w:pPr>
      <w:r>
        <w:rPr>
          <w:b/>
          <w:bCs/>
          <w:noProof/>
        </w:rPr>
        <w:lastRenderedPageBreak/>
        <w:drawing>
          <wp:inline distT="0" distB="0" distL="0" distR="0" wp14:anchorId="3D846522" wp14:editId="2B01033D">
            <wp:extent cx="5534025" cy="8220075"/>
            <wp:effectExtent l="0" t="0" r="0" b="0"/>
            <wp:docPr id="21370660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2C72A" w14:textId="67110406" w:rsidR="00A6182C" w:rsidRDefault="00A31588" w:rsidP="006A53A0">
      <w:r w:rsidRPr="005F099E">
        <w:rPr>
          <w:b/>
          <w:bCs/>
        </w:rPr>
        <w:t>F</w:t>
      </w:r>
      <w:r w:rsidR="00B505B9">
        <w:rPr>
          <w:b/>
          <w:bCs/>
        </w:rPr>
        <w:t>igure S</w:t>
      </w:r>
      <w:r w:rsidRPr="005F099E">
        <w:rPr>
          <w:b/>
          <w:bCs/>
        </w:rPr>
        <w:t>5.</w:t>
      </w:r>
      <w:r>
        <w:t xml:space="preserve"> </w:t>
      </w:r>
      <w:r w:rsidR="005F099E">
        <w:t>Differentially methylated genes identified in the high vs low FEV1</w:t>
      </w:r>
      <w:r>
        <w:t xml:space="preserve"> </w:t>
      </w:r>
      <w:r w:rsidR="005F099E">
        <w:t xml:space="preserve">comparison. </w:t>
      </w:r>
      <w:r w:rsidR="005F099E" w:rsidRPr="005F099E">
        <w:rPr>
          <w:b/>
          <w:bCs/>
        </w:rPr>
        <w:t>(A)</w:t>
      </w:r>
      <w:r w:rsidR="005F099E">
        <w:t xml:space="preserve"> The</w:t>
      </w:r>
      <w:r w:rsidR="00C84ABD">
        <w:t xml:space="preserve"> KEGG pathway</w:t>
      </w:r>
      <w:r w:rsidR="005F099E">
        <w:t xml:space="preserve"> “Th17 cell differentiation” was identified as enriched among the differentially methylated genes in the high vs low FEV1 comparison. </w:t>
      </w:r>
      <w:r w:rsidR="005F099E" w:rsidRPr="00C84ABD">
        <w:rPr>
          <w:b/>
          <w:bCs/>
        </w:rPr>
        <w:t>(B)</w:t>
      </w:r>
      <w:r w:rsidR="005F099E">
        <w:t xml:space="preserve"> </w:t>
      </w:r>
      <w:r w:rsidR="00C84ABD">
        <w:t>A network was generated from genes in the GO category “Immune response” that were differentially methylated. Hyper- (red) and hypo- (blue) genes are indicated. Interactions are defined as A, activation; I, inhibition; B, binding; C, catalysis; R, reaction.</w:t>
      </w:r>
    </w:p>
    <w:p w14:paraId="65B0A614" w14:textId="491EE580" w:rsidR="007523A7" w:rsidRDefault="007523A7" w:rsidP="006A53A0">
      <w:r>
        <w:rPr>
          <w:noProof/>
        </w:rPr>
        <w:drawing>
          <wp:inline distT="0" distB="0" distL="0" distR="0" wp14:anchorId="22B77337" wp14:editId="79720A56">
            <wp:extent cx="5686425" cy="8229600"/>
            <wp:effectExtent l="0" t="0" r="0" b="0"/>
            <wp:docPr id="17946902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082C5" w14:textId="25B7372B" w:rsidR="00C84ABD" w:rsidRPr="001D4919" w:rsidRDefault="00C84ABD" w:rsidP="006A53A0">
      <w:r w:rsidRPr="00C84ABD">
        <w:rPr>
          <w:b/>
          <w:bCs/>
        </w:rPr>
        <w:t>F</w:t>
      </w:r>
      <w:r w:rsidR="00B505B9">
        <w:rPr>
          <w:b/>
          <w:bCs/>
        </w:rPr>
        <w:t>igure S</w:t>
      </w:r>
      <w:r w:rsidRPr="00C84ABD">
        <w:rPr>
          <w:b/>
          <w:bCs/>
        </w:rPr>
        <w:t>6.</w:t>
      </w:r>
      <w:r>
        <w:t xml:space="preserve"> </w:t>
      </w:r>
      <w:r w:rsidR="00960121">
        <w:t>Enriched KEGG pathways</w:t>
      </w:r>
      <w:r>
        <w:t xml:space="preserve"> among the differentially methylated genes in the high vs low ACT comparison. </w:t>
      </w:r>
      <w:r w:rsidRPr="00960121">
        <w:rPr>
          <w:b/>
          <w:bCs/>
        </w:rPr>
        <w:t>(A and B)</w:t>
      </w:r>
      <w:r>
        <w:t xml:space="preserve"> The KEGG pathway “Hypertrophic cardiomyopathy” </w:t>
      </w:r>
      <w:r w:rsidRPr="00960121">
        <w:rPr>
          <w:b/>
          <w:bCs/>
        </w:rPr>
        <w:t>(</w:t>
      </w:r>
      <w:r w:rsidR="00960121">
        <w:rPr>
          <w:b/>
          <w:bCs/>
        </w:rPr>
        <w:t>A</w:t>
      </w:r>
      <w:r w:rsidRPr="00960121">
        <w:rPr>
          <w:b/>
          <w:bCs/>
        </w:rPr>
        <w:t>)</w:t>
      </w:r>
      <w:r>
        <w:t xml:space="preserve"> and “Antigen processing and presentation” </w:t>
      </w:r>
      <w:r w:rsidRPr="00960121">
        <w:rPr>
          <w:b/>
          <w:bCs/>
        </w:rPr>
        <w:t>(B)</w:t>
      </w:r>
      <w:r>
        <w:t xml:space="preserve"> were the top two pathways among the differentially methylated genes within the high vs low ACT comparison</w:t>
      </w:r>
      <w:r w:rsidR="00960121">
        <w:t>, with red representing hypermethylated and blue representing hypomethylated genes.</w:t>
      </w:r>
    </w:p>
    <w:sectPr w:rsidR="00C84ABD" w:rsidRPr="001D49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Resp Crit Care M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z0drw27e9avqepdzavvs910x595xvse99r&quot;&gt;2022 Asthma DNA methylome&lt;record-ids&gt;&lt;item&gt;67&lt;/item&gt;&lt;item&gt;68&lt;/item&gt;&lt;item&gt;69&lt;/item&gt;&lt;item&gt;70&lt;/item&gt;&lt;item&gt;71&lt;/item&gt;&lt;item&gt;72&lt;/item&gt;&lt;/record-ids&gt;&lt;/item&gt;&lt;/Libraries&gt;"/>
  </w:docVars>
  <w:rsids>
    <w:rsidRoot w:val="004F6B1B"/>
    <w:rsid w:val="00017C99"/>
    <w:rsid w:val="00066664"/>
    <w:rsid w:val="000C1655"/>
    <w:rsid w:val="000C213B"/>
    <w:rsid w:val="000E0A1C"/>
    <w:rsid w:val="00166CD4"/>
    <w:rsid w:val="001B2EAA"/>
    <w:rsid w:val="001C5898"/>
    <w:rsid w:val="001D4919"/>
    <w:rsid w:val="001E2B1A"/>
    <w:rsid w:val="00235638"/>
    <w:rsid w:val="00251A8C"/>
    <w:rsid w:val="00324F5C"/>
    <w:rsid w:val="0034772B"/>
    <w:rsid w:val="00364C9D"/>
    <w:rsid w:val="00367033"/>
    <w:rsid w:val="003A51F0"/>
    <w:rsid w:val="003B2367"/>
    <w:rsid w:val="003C06A5"/>
    <w:rsid w:val="003D28C5"/>
    <w:rsid w:val="003D75FF"/>
    <w:rsid w:val="003F142E"/>
    <w:rsid w:val="003F55DC"/>
    <w:rsid w:val="00400AE3"/>
    <w:rsid w:val="00416B0C"/>
    <w:rsid w:val="00424ADC"/>
    <w:rsid w:val="004276B0"/>
    <w:rsid w:val="004369E3"/>
    <w:rsid w:val="00472EF3"/>
    <w:rsid w:val="004A3393"/>
    <w:rsid w:val="004C0DFE"/>
    <w:rsid w:val="004D78F4"/>
    <w:rsid w:val="004E7A69"/>
    <w:rsid w:val="004F6B1B"/>
    <w:rsid w:val="004F7616"/>
    <w:rsid w:val="005069C6"/>
    <w:rsid w:val="00532E46"/>
    <w:rsid w:val="005460E7"/>
    <w:rsid w:val="00551425"/>
    <w:rsid w:val="005614EF"/>
    <w:rsid w:val="00590498"/>
    <w:rsid w:val="00597B9C"/>
    <w:rsid w:val="005A2CDE"/>
    <w:rsid w:val="005D65AC"/>
    <w:rsid w:val="005F099E"/>
    <w:rsid w:val="00602042"/>
    <w:rsid w:val="0064143A"/>
    <w:rsid w:val="00650628"/>
    <w:rsid w:val="00655428"/>
    <w:rsid w:val="00674659"/>
    <w:rsid w:val="00685C0F"/>
    <w:rsid w:val="00692F36"/>
    <w:rsid w:val="006A53A0"/>
    <w:rsid w:val="006D0E79"/>
    <w:rsid w:val="006D32B6"/>
    <w:rsid w:val="0070610C"/>
    <w:rsid w:val="00714DA8"/>
    <w:rsid w:val="0071545F"/>
    <w:rsid w:val="00734FA5"/>
    <w:rsid w:val="007404D0"/>
    <w:rsid w:val="007523A7"/>
    <w:rsid w:val="007619F8"/>
    <w:rsid w:val="0079491A"/>
    <w:rsid w:val="007B1E56"/>
    <w:rsid w:val="007C2A6F"/>
    <w:rsid w:val="007C2E8C"/>
    <w:rsid w:val="00811BFC"/>
    <w:rsid w:val="008343FF"/>
    <w:rsid w:val="00884E56"/>
    <w:rsid w:val="008D0850"/>
    <w:rsid w:val="00904A28"/>
    <w:rsid w:val="00915772"/>
    <w:rsid w:val="009307FC"/>
    <w:rsid w:val="0095764A"/>
    <w:rsid w:val="00960121"/>
    <w:rsid w:val="009F4941"/>
    <w:rsid w:val="009F665C"/>
    <w:rsid w:val="00A10CBB"/>
    <w:rsid w:val="00A14E36"/>
    <w:rsid w:val="00A31588"/>
    <w:rsid w:val="00A42580"/>
    <w:rsid w:val="00A6182C"/>
    <w:rsid w:val="00A91FE9"/>
    <w:rsid w:val="00AE1B32"/>
    <w:rsid w:val="00B053DF"/>
    <w:rsid w:val="00B36EDF"/>
    <w:rsid w:val="00B505B9"/>
    <w:rsid w:val="00B5281B"/>
    <w:rsid w:val="00B56A54"/>
    <w:rsid w:val="00BA2069"/>
    <w:rsid w:val="00C26E78"/>
    <w:rsid w:val="00C761B5"/>
    <w:rsid w:val="00C82FF2"/>
    <w:rsid w:val="00C84ABD"/>
    <w:rsid w:val="00CA19FD"/>
    <w:rsid w:val="00CA796A"/>
    <w:rsid w:val="00CB61F3"/>
    <w:rsid w:val="00CC24D1"/>
    <w:rsid w:val="00CE1785"/>
    <w:rsid w:val="00CF4B05"/>
    <w:rsid w:val="00D00859"/>
    <w:rsid w:val="00D0373D"/>
    <w:rsid w:val="00D12FB7"/>
    <w:rsid w:val="00D33946"/>
    <w:rsid w:val="00D40780"/>
    <w:rsid w:val="00D87383"/>
    <w:rsid w:val="00D87D83"/>
    <w:rsid w:val="00DA52A6"/>
    <w:rsid w:val="00DB2DDB"/>
    <w:rsid w:val="00DB557D"/>
    <w:rsid w:val="00DC00AF"/>
    <w:rsid w:val="00DF5AC4"/>
    <w:rsid w:val="00E00C9F"/>
    <w:rsid w:val="00E40B94"/>
    <w:rsid w:val="00E44D45"/>
    <w:rsid w:val="00E57AB6"/>
    <w:rsid w:val="00E66C51"/>
    <w:rsid w:val="00EE2FF3"/>
    <w:rsid w:val="00F12C77"/>
    <w:rsid w:val="00F31DA8"/>
    <w:rsid w:val="00F81A2A"/>
    <w:rsid w:val="00FA4C8B"/>
    <w:rsid w:val="00FB5326"/>
    <w:rsid w:val="00FB7A94"/>
    <w:rsid w:val="00FC1C85"/>
    <w:rsid w:val="00FE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AD2BFE"/>
  <w15:docId w15:val="{40D86C60-BAAB-4DBD-A4F9-66930A0F4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0373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0373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D0373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D0373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0666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chenyahong@vip.sina.com" TargetMode="External"/><Relationship Id="rId11" Type="http://schemas.openxmlformats.org/officeDocument/2006/relationships/image" Target="media/image5.tiff"/><Relationship Id="rId5" Type="http://schemas.openxmlformats.org/officeDocument/2006/relationships/hyperlink" Target="mailto:stehuang@umich.edu" TargetMode="Externa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5E2E05-0AB7-4C2A-B1AA-78A189A26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9</Pages>
  <Words>528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Steven</dc:creator>
  <cp:keywords/>
  <dc:description/>
  <cp:lastModifiedBy>Huang, Steven</cp:lastModifiedBy>
  <cp:revision>5</cp:revision>
  <dcterms:created xsi:type="dcterms:W3CDTF">2024-01-20T13:02:00Z</dcterms:created>
  <dcterms:modified xsi:type="dcterms:W3CDTF">2024-05-24T20:56:00Z</dcterms:modified>
</cp:coreProperties>
</file>