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</w:pPr>
      <w:r>
        <w:rPr>
          <w:rFonts w:ascii="Times New Roman" w:hAnsi="Times New Roman" w:eastAsia="宋体" w:cs="Times New Roman"/>
          <w:color w:val="auto"/>
          <w:sz w:val="24"/>
          <w:szCs w:val="24"/>
        </w:rPr>
        <w:t>Supplementary Table 1</w:t>
      </w:r>
      <w:r>
        <w:rPr>
          <w:color w:val="auto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</w:rPr>
        <w:t>Diagnosis criteria for stage 5 Chronic kidney disease and dialysis</w:t>
      </w:r>
      <w:r>
        <w:rPr>
          <w:rFonts w:hint="eastAsia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  <w:szCs w:val="24"/>
          <w:vertAlign w:val="superscript"/>
        </w:rPr>
        <w:t>a</w:t>
      </w:r>
    </w:p>
    <w:tbl>
      <w:tblPr>
        <w:tblStyle w:val="2"/>
        <w:tblW w:w="772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7725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left"/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szCs w:val="24"/>
              </w:rPr>
              <w:t>Markers of kidney damage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1. albuminuria (UAER≥30mg/24h or UACR≥30mg/g);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2. abnormal urine sediment;</w:t>
            </w:r>
          </w:p>
        </w:tc>
      </w:tr>
      <w:tr>
        <w:trPr>
          <w:trHeight w:val="269" w:hRule="atLeast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3. tubular-related lesions;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4. histological abnormalities;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5. structural abnormalities seen on imaging;</w:t>
            </w:r>
          </w:p>
        </w:tc>
      </w:tr>
      <w:tr>
        <w:trPr>
          <w:trHeight w:val="269" w:hRule="atLeast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6. history of kidney transplantation;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7. eGFR</w:t>
            </w:r>
            <w:r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  <w:t>＜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15ml·min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·</w:t>
            </w:r>
            <w:r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1.73m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eastAsia="等线" w:cs="Times New Roman"/>
                <w:color w:val="auto"/>
                <w:kern w:val="0"/>
                <w:sz w:val="24"/>
                <w:szCs w:val="24"/>
              </w:rPr>
              <w:t>）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  <w:vertAlign w:val="superscript"/>
              </w:rPr>
              <w:t>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77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left"/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auto"/>
                <w:kern w:val="0"/>
                <w:sz w:val="24"/>
                <w:szCs w:val="24"/>
              </w:rPr>
              <w:t xml:space="preserve">General indications for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24"/>
                <w:szCs w:val="24"/>
              </w:rPr>
              <w:t>HD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725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 xml:space="preserve">The patient presents with clinical manifestations and signs of uremia, with an eGFR decline to </w:t>
            </w: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  <w:t>5-8ml·min</w:t>
            </w: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  <w:t>·（1.73m</w:t>
            </w: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</w:rPr>
              <w:t>）</w:t>
            </w:r>
            <w:r>
              <w:rPr>
                <w:rFonts w:ascii="Times New Roman" w:hAnsi="Times New Roman" w:cs="Times New Roman"/>
                <w:color w:val="auto"/>
                <w:kern w:val="0"/>
                <w:sz w:val="24"/>
                <w:szCs w:val="24"/>
                <w:vertAlign w:val="superscript"/>
              </w:rPr>
              <w:t>-1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rPr>
          <w:rFonts w:ascii="Times New Roman" w:hAnsi="Times New Roman" w:eastAsia="宋体" w:cs="Times New Roman"/>
          <w:color w:val="auto"/>
          <w:sz w:val="22"/>
          <w:szCs w:val="22"/>
        </w:rPr>
      </w:pPr>
      <w:r>
        <w:rPr>
          <w:rFonts w:hint="eastAsia" w:ascii="Times New Roman" w:hAnsi="Times New Roman" w:eastAsia="宋体" w:cs="Times New Roman"/>
          <w:color w:val="auto"/>
          <w:sz w:val="22"/>
          <w:szCs w:val="22"/>
        </w:rPr>
        <w:t>N</w:t>
      </w:r>
      <w:r>
        <w:rPr>
          <w:rFonts w:ascii="Times New Roman" w:hAnsi="Times New Roman" w:eastAsia="宋体" w:cs="Times New Roman"/>
          <w:color w:val="auto"/>
          <w:sz w:val="22"/>
          <w:szCs w:val="22"/>
        </w:rPr>
        <w:t>OTE</w:t>
      </w:r>
      <w:r>
        <w:rPr>
          <w:rFonts w:hint="eastAsia" w:ascii="Times New Roman" w:hAnsi="Times New Roman" w:eastAsia="宋体" w:cs="Times New Roman"/>
          <w:color w:val="auto"/>
          <w:sz w:val="22"/>
          <w:szCs w:val="22"/>
        </w:rPr>
        <w:t>:</w:t>
      </w:r>
      <w:r>
        <w:rPr>
          <w:rFonts w:ascii="Times New Roman" w:hAnsi="Times New Roman" w:eastAsia="宋体" w:cs="Times New Roman"/>
          <w:color w:val="auto"/>
          <w:sz w:val="22"/>
          <w:szCs w:val="22"/>
        </w:rPr>
        <w:t xml:space="preserve"> UAER, Urinary albumin excretion rate; UACR, Urine albumin-to-creatinine ratio; eGFR</w:t>
      </w:r>
      <w:r>
        <w:rPr>
          <w:rFonts w:hint="eastAsia" w:ascii="Times New Roman" w:hAnsi="Times New Roman" w:eastAsia="宋体" w:cs="Times New Roman"/>
          <w:color w:val="auto"/>
          <w:sz w:val="22"/>
          <w:szCs w:val="22"/>
        </w:rPr>
        <w:t>, e</w:t>
      </w:r>
      <w:r>
        <w:rPr>
          <w:rFonts w:ascii="Times New Roman" w:hAnsi="Times New Roman" w:eastAsia="宋体" w:cs="Times New Roman"/>
          <w:color w:val="auto"/>
          <w:sz w:val="22"/>
          <w:szCs w:val="22"/>
        </w:rPr>
        <w:t>stimated glomerular filtration rate</w:t>
      </w:r>
    </w:p>
    <w:p>
      <w:pPr>
        <w:pStyle w:val="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pacing w:line="240" w:lineRule="auto"/>
        <w:ind w:firstLineChars="0"/>
        <w:rPr>
          <w:rFonts w:ascii="Times New Roman" w:hAnsi="Times New Roman" w:eastAsia="宋体" w:cs="Times New Roman"/>
          <w:color w:val="auto"/>
          <w:sz w:val="22"/>
          <w:szCs w:val="22"/>
        </w:rPr>
      </w:pPr>
      <w:r>
        <w:rPr>
          <w:rFonts w:ascii="Times New Roman" w:hAnsi="Times New Roman" w:eastAsia="宋体" w:cs="Times New Roman"/>
          <w:color w:val="auto"/>
          <w:sz w:val="22"/>
          <w:szCs w:val="22"/>
        </w:rPr>
        <w:t xml:space="preserve">Referring to the diagnostic criteria for stage 5 chronic kidney disease (end-stage renal disease) and the general clinical indications for </w:t>
      </w:r>
      <w:r>
        <w:rPr>
          <w:rFonts w:hint="eastAsia" w:ascii="Times New Roman" w:hAnsi="Times New Roman" w:eastAsia="宋体" w:cs="Times New Roman"/>
          <w:color w:val="auto"/>
          <w:sz w:val="22"/>
          <w:szCs w:val="22"/>
        </w:rPr>
        <w:t>HD</w:t>
      </w:r>
      <w:r>
        <w:rPr>
          <w:rFonts w:ascii="Times New Roman" w:hAnsi="Times New Roman" w:eastAsia="宋体" w:cs="Times New Roman"/>
          <w:color w:val="auto"/>
          <w:sz w:val="22"/>
          <w:szCs w:val="22"/>
        </w:rPr>
        <w:t xml:space="preserve"> in the "Guidelines for Early Screening, Diagnosis and Prevention of Chronic Kidney Disease (2022 version)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9619AA"/>
    <w:multiLevelType w:val="multilevel"/>
    <w:tmpl w:val="5D9619AA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wZGIwMzQ5NzgxOTJmOGU2MGJjNDc2YmJhMDY4MWMifQ=="/>
  </w:docVars>
  <w:rsids>
    <w:rsidRoot w:val="00000000"/>
    <w:rsid w:val="691C1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2024-05-15T16:55:31Z</dcterms:created>
  <dc:creator>lenovo</dc:creator>
  <cp:lastModifiedBy>+1babe</cp:lastModifiedBy>
  <dcterms:modified xsi:type="dcterms:W3CDTF">2024-05-15T16:55:37Z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22C5B74B2EB64CE9A2EF853A2D7BE9EA_12</vt:lpwstr>
  </property>
</Properties>
</file>