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2"/>
        <w:rPr>
          <w:rFonts w:hint="default" w:ascii="Times New Roman" w:hAnsi="Times New Roman" w:cs="Times New Roman"/>
          <w:b w:val="0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Supplementary Material</w:t>
      </w:r>
    </w:p>
    <w:p>
      <w:pPr>
        <w:rPr>
          <w:rFonts w:hint="default" w:ascii="Times New Roman" w:hAnsi="Times New Roman" w:eastAsia="Times New Roman" w:cs="Times New Roman"/>
          <w:sz w:val="24"/>
          <w:szCs w:val="24"/>
          <w:lang w:val="en-GB" w:eastAsia="en-GB"/>
        </w:rPr>
      </w:pPr>
    </w:p>
    <w:p>
      <w:pPr>
        <w:pStyle w:val="4"/>
        <w:numPr>
          <w:ilvl w:val="1"/>
          <w:numId w:val="0"/>
        </w:numPr>
        <w:ind w:leftChars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hint="default" w:ascii="Times New Roman" w:hAnsi="Times New Roman" w:cs="Times New Roman"/>
          <w:b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b/>
          <w:sz w:val="24"/>
          <w:szCs w:val="24"/>
        </w:rPr>
        <w:instrText xml:space="preserve"> SEQ Figure \* ARABIC </w:instrText>
      </w:r>
      <w:r>
        <w:rPr>
          <w:rFonts w:hint="default" w:ascii="Times New Roman" w:hAnsi="Times New Roman" w:cs="Times New Roman"/>
          <w:b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b/>
          <w:sz w:val="24"/>
          <w:szCs w:val="24"/>
        </w:rPr>
        <w:t>1</w:t>
      </w:r>
      <w:r>
        <w:rPr>
          <w:rFonts w:hint="default" w:ascii="Times New Roman" w:hAnsi="Times New Roman" w:cs="Times New Roman"/>
          <w:b/>
          <w:sz w:val="24"/>
          <w:szCs w:val="24"/>
        </w:rPr>
        <w:fldChar w:fldCharType="end"/>
      </w:r>
      <w:r>
        <w:rPr>
          <w:rFonts w:hint="default" w:ascii="Times New Roman" w:hAnsi="Times New Roman" w:cs="Times New Roman"/>
          <w:b/>
          <w:sz w:val="24"/>
          <w:szCs w:val="24"/>
        </w:rPr>
        <w:t>.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</w:p>
    <w:p>
      <w:pPr>
        <w:pStyle w:val="4"/>
        <w:numPr>
          <w:ilvl w:val="1"/>
          <w:numId w:val="0"/>
        </w:numPr>
        <w:ind w:leftChars="0"/>
        <w:jc w:val="both"/>
        <w:rPr>
          <w:rFonts w:hint="default" w:ascii="Times New Roman" w:hAnsi="Times New Roman" w:eastAsia="宋体" w:cs="Times New Roman"/>
          <w:b w:val="0"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sz w:val="24"/>
          <w:szCs w:val="24"/>
        </w:rPr>
        <w:t>The effects of EA on the levels of FBG, serum lipid, and insulin in T2DM model rats</w:t>
      </w:r>
      <w:r>
        <w:rPr>
          <w:rFonts w:hint="default" w:ascii="Times New Roman" w:hAnsi="Times New Roman" w:eastAsia="宋体" w:cs="Times New Roman"/>
          <w:b w:val="0"/>
          <w:bCs/>
          <w:sz w:val="24"/>
          <w:szCs w:val="24"/>
          <w:lang w:val="en-US" w:eastAsia="zh-CN"/>
        </w:rPr>
        <w:t xml:space="preserve">. A: Fasting blood glucose, B:Weight, C: TG, TC, LDL, HDL, D: insulin (INS), insulin resistance index (HOMA-IR) and insulin sensitivity index (HOMA-ISI). Con: the control group, T2DM: the T2DM group, EA: the electroacupuncture group, Met: the metformin group, EA+Met: combination group of electroacupuncture and metformin, EA+Compd C: combination group of electroacupuncture and compound C. </w:t>
      </w:r>
      <w:r>
        <w:rPr>
          <w:rFonts w:hint="default" w:ascii="Times New Roman" w:hAnsi="Times New Roman" w:cs="Times New Roman"/>
          <w:b w:val="0"/>
          <w:bCs/>
          <w:sz w:val="24"/>
          <w:szCs w:val="24"/>
        </w:rPr>
        <w:t xml:space="preserve">Data are expressed as mean ± </w:t>
      </w:r>
      <w:r>
        <w:rPr>
          <w:rFonts w:hint="default" w:ascii="Times New Roman" w:hAnsi="Times New Roman" w:eastAsia="宋体" w:cs="Times New Roman"/>
          <w:b w:val="0"/>
          <w:bCs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cs="Times New Roman"/>
          <w:b w:val="0"/>
          <w:bCs/>
          <w:sz w:val="24"/>
          <w:szCs w:val="24"/>
        </w:rPr>
        <w:t xml:space="preserve">tandard </w:t>
      </w:r>
      <w:r>
        <w:rPr>
          <w:rFonts w:hint="default" w:ascii="Times New Roman" w:hAnsi="Times New Roman" w:eastAsia="宋体" w:cs="Times New Roman"/>
          <w:b w:val="0"/>
          <w:bCs/>
          <w:sz w:val="24"/>
          <w:szCs w:val="24"/>
          <w:lang w:val="en-US" w:eastAsia="zh-CN"/>
        </w:rPr>
        <w:t>e</w:t>
      </w:r>
      <w:r>
        <w:rPr>
          <w:rFonts w:hint="default" w:ascii="Times New Roman" w:hAnsi="Times New Roman" w:cs="Times New Roman"/>
          <w:b w:val="0"/>
          <w:bCs/>
          <w:sz w:val="24"/>
          <w:szCs w:val="24"/>
        </w:rPr>
        <w:t xml:space="preserve">rror of </w:t>
      </w:r>
      <w:r>
        <w:rPr>
          <w:rFonts w:hint="default" w:ascii="Times New Roman" w:hAnsi="Times New Roman" w:eastAsia="宋体" w:cs="Times New Roman"/>
          <w:b w:val="0"/>
          <w:bCs/>
          <w:sz w:val="24"/>
          <w:szCs w:val="24"/>
          <w:lang w:val="en-US" w:eastAsia="zh-CN"/>
        </w:rPr>
        <w:t>m</w:t>
      </w:r>
      <w:r>
        <w:rPr>
          <w:rFonts w:hint="default" w:ascii="Times New Roman" w:hAnsi="Times New Roman" w:cs="Times New Roman"/>
          <w:b w:val="0"/>
          <w:bCs/>
          <w:sz w:val="24"/>
          <w:szCs w:val="24"/>
        </w:rPr>
        <w:t>ean (n = </w:t>
      </w:r>
      <w:r>
        <w:rPr>
          <w:rFonts w:hint="default" w:ascii="Times New Roman" w:hAnsi="Times New Roman" w:eastAsia="宋体" w:cs="Times New Roman"/>
          <w:b w:val="0"/>
          <w:bCs/>
          <w:sz w:val="24"/>
          <w:szCs w:val="24"/>
          <w:lang w:val="en-US" w:eastAsia="zh-CN"/>
        </w:rPr>
        <w:t>10</w:t>
      </w:r>
      <w:r>
        <w:rPr>
          <w:rFonts w:hint="default" w:ascii="Times New Roman" w:hAnsi="Times New Roman" w:cs="Times New Roman"/>
          <w:b w:val="0"/>
          <w:bCs/>
          <w:sz w:val="24"/>
          <w:szCs w:val="24"/>
        </w:rPr>
        <w:t xml:space="preserve"> rat per group). Compared with the </w:t>
      </w:r>
      <w:r>
        <w:rPr>
          <w:rFonts w:hint="default" w:ascii="Times New Roman" w:hAnsi="Times New Roman" w:eastAsia="宋体" w:cs="Times New Roman"/>
          <w:b w:val="0"/>
          <w:bCs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cs="Times New Roman"/>
          <w:b w:val="0"/>
          <w:bCs/>
          <w:sz w:val="24"/>
          <w:szCs w:val="24"/>
        </w:rPr>
        <w:t xml:space="preserve">on group, </w:t>
      </w:r>
      <w:r>
        <w:rPr>
          <w:rFonts w:hint="default" w:ascii="Times New Roman" w:hAnsi="Times New Roman" w:eastAsia="宋体" w:cs="Times New Roman"/>
          <w:b w:val="0"/>
          <w:bCs/>
          <w:sz w:val="24"/>
          <w:szCs w:val="24"/>
          <w:vertAlign w:val="superscript"/>
        </w:rPr>
        <w:t>*</w:t>
      </w:r>
      <w:r>
        <w:rPr>
          <w:rFonts w:hint="default" w:ascii="Times New Roman" w:hAnsi="Times New Roman" w:eastAsia="宋体" w:cs="Times New Roman"/>
          <w:b w:val="0"/>
          <w:bCs/>
          <w:i/>
          <w:iCs/>
          <w:sz w:val="24"/>
          <w:szCs w:val="24"/>
        </w:rPr>
        <w:t>P</w:t>
      </w:r>
      <w:r>
        <w:rPr>
          <w:rFonts w:hint="default" w:ascii="Times New Roman" w:hAnsi="Times New Roman" w:eastAsia="宋体" w:cs="Times New Roman"/>
          <w:b w:val="0"/>
          <w:bCs/>
          <w:sz w:val="24"/>
          <w:szCs w:val="24"/>
        </w:rPr>
        <w:t xml:space="preserve"> &lt; 0.0</w:t>
      </w:r>
      <w:r>
        <w:rPr>
          <w:rFonts w:hint="default" w:ascii="Times New Roman" w:hAnsi="Times New Roman" w:eastAsia="宋体" w:cs="Times New Roman"/>
          <w:b w:val="0"/>
          <w:bCs/>
          <w:sz w:val="24"/>
          <w:szCs w:val="24"/>
          <w:lang w:val="en-US" w:eastAsia="zh-CN"/>
        </w:rPr>
        <w:t>5,</w:t>
      </w:r>
      <w:r>
        <w:rPr>
          <w:rFonts w:hint="default" w:ascii="Times New Roman" w:hAnsi="Times New Roman" w:cs="Times New Roman"/>
          <w:b w:val="0"/>
          <w:bCs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/>
          <w:sz w:val="24"/>
          <w:szCs w:val="24"/>
          <w:vertAlign w:val="superscript"/>
        </w:rPr>
        <w:t>**</w:t>
      </w:r>
      <w:r>
        <w:rPr>
          <w:rFonts w:hint="default" w:ascii="Times New Roman" w:hAnsi="Times New Roman" w:eastAsia="宋体" w:cs="Times New Roman"/>
          <w:b w:val="0"/>
          <w:bCs/>
          <w:i/>
          <w:iCs/>
          <w:sz w:val="24"/>
          <w:szCs w:val="24"/>
        </w:rPr>
        <w:t>P</w:t>
      </w:r>
      <w:r>
        <w:rPr>
          <w:rFonts w:hint="default" w:ascii="Times New Roman" w:hAnsi="Times New Roman" w:eastAsia="宋体" w:cs="Times New Roman"/>
          <w:b w:val="0"/>
          <w:bCs/>
          <w:sz w:val="24"/>
          <w:szCs w:val="24"/>
        </w:rPr>
        <w:t xml:space="preserve"> &lt; 0.01</w:t>
      </w:r>
      <w:r>
        <w:rPr>
          <w:rFonts w:hint="default" w:ascii="Times New Roman" w:hAnsi="Times New Roman" w:cs="Times New Roman"/>
          <w:b w:val="0"/>
          <w:bCs/>
          <w:sz w:val="24"/>
          <w:szCs w:val="24"/>
        </w:rPr>
        <w:t xml:space="preserve">; compared with the </w:t>
      </w:r>
      <w:r>
        <w:rPr>
          <w:rFonts w:hint="default" w:ascii="Times New Roman" w:hAnsi="Times New Roman" w:eastAsia="宋体" w:cs="Times New Roman"/>
          <w:b w:val="0"/>
          <w:bCs/>
          <w:sz w:val="24"/>
          <w:szCs w:val="24"/>
          <w:lang w:val="en-US" w:eastAsia="zh-CN"/>
        </w:rPr>
        <w:t>T2DM</w:t>
      </w:r>
      <w:r>
        <w:rPr>
          <w:rFonts w:hint="default" w:ascii="Times New Roman" w:hAnsi="Times New Roman" w:cs="Times New Roman"/>
          <w:b w:val="0"/>
          <w:bCs/>
          <w:sz w:val="24"/>
          <w:szCs w:val="24"/>
        </w:rPr>
        <w:t xml:space="preserve"> group, </w:t>
      </w:r>
      <w:r>
        <w:rPr>
          <w:rFonts w:hint="default" w:ascii="Times New Roman" w:hAnsi="Times New Roman" w:eastAsia="宋体" w:cs="Times New Roman"/>
          <w:b w:val="0"/>
          <w:bCs/>
          <w:sz w:val="24"/>
          <w:szCs w:val="24"/>
          <w:vertAlign w:val="superscript"/>
          <w:lang w:val="en-US" w:eastAsia="zh-CN"/>
        </w:rPr>
        <w:t>#</w:t>
      </w:r>
      <w:r>
        <w:rPr>
          <w:rFonts w:hint="default" w:ascii="Times New Roman" w:hAnsi="Times New Roman" w:eastAsia="宋体" w:cs="Times New Roman"/>
          <w:b w:val="0"/>
          <w:bCs/>
          <w:i/>
          <w:iCs/>
          <w:sz w:val="24"/>
          <w:szCs w:val="24"/>
        </w:rPr>
        <w:t>P</w:t>
      </w:r>
      <w:r>
        <w:rPr>
          <w:rFonts w:hint="default" w:ascii="Times New Roman" w:hAnsi="Times New Roman" w:eastAsia="宋体" w:cs="Times New Roman"/>
          <w:b w:val="0"/>
          <w:bCs/>
          <w:sz w:val="24"/>
          <w:szCs w:val="24"/>
        </w:rPr>
        <w:t xml:space="preserve"> &lt; 0.0</w:t>
      </w:r>
      <w:r>
        <w:rPr>
          <w:rFonts w:hint="default" w:ascii="Times New Roman" w:hAnsi="Times New Roman" w:eastAsia="宋体" w:cs="Times New Roman"/>
          <w:b w:val="0"/>
          <w:bCs/>
          <w:sz w:val="24"/>
          <w:szCs w:val="24"/>
          <w:lang w:val="en-US" w:eastAsia="zh-CN"/>
        </w:rPr>
        <w:t>5,</w:t>
      </w:r>
      <w:r>
        <w:rPr>
          <w:rFonts w:hint="default" w:ascii="Times New Roman" w:hAnsi="Times New Roman" w:cs="Times New Roman"/>
          <w:b w:val="0"/>
          <w:bCs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/>
          <w:sz w:val="24"/>
          <w:szCs w:val="24"/>
          <w:vertAlign w:val="superscript"/>
          <w:lang w:val="en-US" w:eastAsia="zh-CN"/>
        </w:rPr>
        <w:t>##</w:t>
      </w:r>
      <w:r>
        <w:rPr>
          <w:rFonts w:hint="default" w:ascii="Times New Roman" w:hAnsi="Times New Roman" w:eastAsia="宋体" w:cs="Times New Roman"/>
          <w:b w:val="0"/>
          <w:bCs/>
          <w:i/>
          <w:iCs/>
          <w:sz w:val="24"/>
          <w:szCs w:val="24"/>
        </w:rPr>
        <w:t>P</w:t>
      </w:r>
      <w:r>
        <w:rPr>
          <w:rFonts w:hint="default" w:ascii="Times New Roman" w:hAnsi="Times New Roman" w:eastAsia="宋体" w:cs="Times New Roman"/>
          <w:b w:val="0"/>
          <w:bCs/>
          <w:sz w:val="24"/>
          <w:szCs w:val="24"/>
        </w:rPr>
        <w:t xml:space="preserve"> &lt; 0.01</w:t>
      </w:r>
      <w:r>
        <w:rPr>
          <w:rFonts w:hint="default" w:ascii="Times New Roman" w:hAnsi="Times New Roman" w:cs="Times New Roman"/>
          <w:b w:val="0"/>
          <w:bCs/>
          <w:sz w:val="24"/>
          <w:szCs w:val="24"/>
        </w:rPr>
        <w:t>; compared with the EA group,</w:t>
      </w:r>
      <w:r>
        <w:rPr>
          <w:rFonts w:hint="default" w:ascii="Times New Roman" w:hAnsi="Times New Roman" w:eastAsia="宋体" w:cs="Times New Roman"/>
          <w:b w:val="0"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/>
          <w:sz w:val="24"/>
          <w:szCs w:val="24"/>
          <w:vertAlign w:val="superscript"/>
        </w:rPr>
        <w:t>△</w:t>
      </w:r>
      <w:r>
        <w:rPr>
          <w:rFonts w:hint="default" w:ascii="Times New Roman" w:hAnsi="Times New Roman" w:eastAsia="宋体" w:cs="Times New Roman"/>
          <w:b w:val="0"/>
          <w:bCs/>
          <w:i/>
          <w:iCs/>
          <w:sz w:val="24"/>
          <w:szCs w:val="24"/>
        </w:rPr>
        <w:t>P</w:t>
      </w:r>
      <w:r>
        <w:rPr>
          <w:rFonts w:hint="default" w:ascii="Times New Roman" w:hAnsi="Times New Roman" w:eastAsia="宋体" w:cs="Times New Roman"/>
          <w:b w:val="0"/>
          <w:bCs/>
          <w:sz w:val="24"/>
          <w:szCs w:val="24"/>
        </w:rPr>
        <w:t xml:space="preserve"> &lt; 0.0</w:t>
      </w:r>
      <w:r>
        <w:rPr>
          <w:rFonts w:hint="default" w:ascii="Times New Roman" w:hAnsi="Times New Roman" w:eastAsia="宋体" w:cs="Times New Roman"/>
          <w:b w:val="0"/>
          <w:bCs/>
          <w:sz w:val="24"/>
          <w:szCs w:val="24"/>
          <w:lang w:val="en-US" w:eastAsia="zh-CN"/>
        </w:rPr>
        <w:t xml:space="preserve">5, </w:t>
      </w:r>
      <w:r>
        <w:rPr>
          <w:rFonts w:hint="default" w:ascii="Times New Roman" w:hAnsi="Times New Roman" w:eastAsia="宋体" w:cs="Times New Roman"/>
          <w:b w:val="0"/>
          <w:bCs/>
          <w:sz w:val="24"/>
          <w:szCs w:val="24"/>
          <w:vertAlign w:val="superscript"/>
        </w:rPr>
        <w:t>△△</w:t>
      </w:r>
      <w:r>
        <w:rPr>
          <w:rFonts w:hint="default" w:ascii="Times New Roman" w:hAnsi="Times New Roman" w:eastAsia="宋体" w:cs="Times New Roman"/>
          <w:b w:val="0"/>
          <w:bCs/>
          <w:i/>
          <w:iCs/>
          <w:sz w:val="24"/>
          <w:szCs w:val="24"/>
        </w:rPr>
        <w:t>P</w:t>
      </w:r>
      <w:r>
        <w:rPr>
          <w:rFonts w:hint="default" w:ascii="Times New Roman" w:hAnsi="Times New Roman" w:eastAsia="宋体" w:cs="Times New Roman"/>
          <w:b w:val="0"/>
          <w:bCs/>
          <w:sz w:val="24"/>
          <w:szCs w:val="24"/>
        </w:rPr>
        <w:t xml:space="preserve"> &lt; 0.01</w:t>
      </w:r>
      <w:r>
        <w:rPr>
          <w:rFonts w:hint="default" w:ascii="Times New Roman" w:hAnsi="Times New Roman" w:eastAsia="宋体" w:cs="Times New Roman"/>
          <w:b w:val="0"/>
          <w:bCs/>
          <w:sz w:val="24"/>
          <w:szCs w:val="24"/>
          <w:lang w:val="en-US" w:eastAsia="zh-CN"/>
        </w:rPr>
        <w:t xml:space="preserve">; compared with the same group before intervention, </w:t>
      </w:r>
      <w:r>
        <w:rPr>
          <w:rFonts w:hint="default" w:ascii="Times New Roman" w:hAnsi="Times New Roman" w:eastAsia="宋体" w:cs="Times New Roman"/>
          <w:b w:val="0"/>
          <w:bCs/>
          <w:sz w:val="24"/>
          <w:szCs w:val="24"/>
          <w:vertAlign w:val="superscript"/>
        </w:rPr>
        <w:t>●</w:t>
      </w:r>
      <w:r>
        <w:rPr>
          <w:rFonts w:hint="default" w:ascii="Times New Roman" w:hAnsi="Times New Roman" w:eastAsia="宋体" w:cs="Times New Roman"/>
          <w:b w:val="0"/>
          <w:bCs/>
          <w:i/>
          <w:iCs/>
          <w:sz w:val="24"/>
          <w:szCs w:val="24"/>
        </w:rPr>
        <w:t>P</w:t>
      </w:r>
      <w:r>
        <w:rPr>
          <w:rFonts w:hint="default" w:ascii="Times New Roman" w:hAnsi="Times New Roman" w:eastAsia="宋体" w:cs="Times New Roman"/>
          <w:b w:val="0"/>
          <w:bCs/>
          <w:sz w:val="24"/>
          <w:szCs w:val="24"/>
        </w:rPr>
        <w:t xml:space="preserve"> &lt; 0.0</w:t>
      </w:r>
      <w:r>
        <w:rPr>
          <w:rFonts w:hint="default" w:ascii="Times New Roman" w:hAnsi="Times New Roman" w:eastAsia="宋体" w:cs="Times New Roman"/>
          <w:b w:val="0"/>
          <w:bCs/>
          <w:sz w:val="24"/>
          <w:szCs w:val="24"/>
          <w:lang w:val="en-US" w:eastAsia="zh-CN"/>
        </w:rPr>
        <w:t xml:space="preserve">5, </w:t>
      </w:r>
      <w:r>
        <w:rPr>
          <w:rFonts w:hint="default" w:ascii="Times New Roman" w:hAnsi="Times New Roman" w:eastAsia="宋体" w:cs="Times New Roman"/>
          <w:b w:val="0"/>
          <w:bCs/>
          <w:sz w:val="24"/>
          <w:szCs w:val="24"/>
          <w:vertAlign w:val="superscript"/>
        </w:rPr>
        <w:t>●●</w:t>
      </w:r>
      <w:r>
        <w:rPr>
          <w:rFonts w:hint="default" w:ascii="Times New Roman" w:hAnsi="Times New Roman" w:eastAsia="宋体" w:cs="Times New Roman"/>
          <w:b w:val="0"/>
          <w:bCs/>
          <w:i/>
          <w:iCs/>
          <w:sz w:val="24"/>
          <w:szCs w:val="24"/>
        </w:rPr>
        <w:t>P</w:t>
      </w:r>
      <w:r>
        <w:rPr>
          <w:rFonts w:hint="default" w:ascii="Times New Roman" w:hAnsi="Times New Roman" w:eastAsia="宋体" w:cs="Times New Roman"/>
          <w:b w:val="0"/>
          <w:bCs/>
          <w:sz w:val="24"/>
          <w:szCs w:val="24"/>
        </w:rPr>
        <w:t xml:space="preserve"> &lt; 0.01</w:t>
      </w:r>
      <w:r>
        <w:rPr>
          <w:rFonts w:hint="default" w:ascii="Times New Roman" w:hAnsi="Times New Roman" w:eastAsia="宋体" w:cs="Times New Roman"/>
          <w:b w:val="0"/>
          <w:bCs/>
          <w:sz w:val="24"/>
          <w:szCs w:val="24"/>
          <w:lang w:val="en-US" w:eastAsia="zh-CN"/>
        </w:rPr>
        <w:t>.</w:t>
      </w:r>
    </w:p>
    <w:p>
      <w:pPr>
        <w:keepNext/>
        <w:jc w:val="center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drawing>
          <wp:inline distT="0" distB="0" distL="114300" distR="114300">
            <wp:extent cx="5436870" cy="4241165"/>
            <wp:effectExtent l="0" t="0" r="0" b="0"/>
            <wp:docPr id="2" name="图片 2" descr="FIGUR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1"/>
                    <pic:cNvPicPr>
                      <a:picLocks noChangeAspect="1"/>
                    </pic:cNvPicPr>
                  </pic:nvPicPr>
                  <pic:blipFill>
                    <a:blip r:embed="rId10"/>
                    <a:srcRect l="12364" t="-469" b="18093"/>
                    <a:stretch>
                      <a:fillRect/>
                    </a:stretch>
                  </pic:blipFill>
                  <pic:spPr>
                    <a:xfrm>
                      <a:off x="0" y="0"/>
                      <a:ext cx="5436870" cy="4241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spacing w:before="240"/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br w:type="page"/>
      </w:r>
    </w:p>
    <w:p>
      <w:pPr>
        <w:pStyle w:val="8"/>
        <w:spacing w:before="24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Figure </w:t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SEQ Figure \* ARABIC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sz w:val="24"/>
          <w:szCs w:val="24"/>
        </w:rPr>
        <w:t>2</w:t>
      </w:r>
      <w:r>
        <w:rPr>
          <w:rFonts w:hint="default" w:ascii="Times New Roman" w:hAnsi="Times New Roman" w:cs="Times New Roman"/>
          <w:sz w:val="24"/>
          <w:szCs w:val="24"/>
        </w:rPr>
        <w:fldChar w:fldCharType="end"/>
      </w:r>
    </w:p>
    <w:p>
      <w:pPr>
        <w:keepNext/>
        <w:jc w:val="both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The effects of EA on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hepatic </w:t>
      </w:r>
      <w:r>
        <w:rPr>
          <w:rFonts w:hint="default" w:ascii="Times New Roman" w:hAnsi="Times New Roman" w:cs="Times New Roman"/>
          <w:sz w:val="24"/>
          <w:szCs w:val="24"/>
        </w:rPr>
        <w:t>glycolipid metabolism and insulin resistance in T2DM model rats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. A: Protein expression of hepatic glycolipid metabolism signaling pathways. B: Protein expression of hepatic insulin signaling transduction pathway. C: (1)-(4) Quantification of protein levels of PPARα, CPT1A, PGC1-α, PCK2 (n = 3 per group), (5)-(7) mRNA levels of PPARα, SREBP1c, PGC1-α (n = 6 per group). D: Quantification of protein levels of PI3K, AKT, GLUT4 (n = 3 per group). Con: the control group, T2DM: the T2DM group, EA: the electroacupuncture group, Met: the metformin group, EA+Met: combination group of electroacupuncture and metformin, EA+Compd C: combination group of electroacupuncture and compound C. </w:t>
      </w:r>
      <w:r>
        <w:rPr>
          <w:rFonts w:hint="default" w:ascii="Times New Roman" w:hAnsi="Times New Roman" w:cs="Times New Roman"/>
          <w:sz w:val="24"/>
          <w:szCs w:val="24"/>
        </w:rPr>
        <w:t xml:space="preserve">Data are expressed as mean ±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cs="Times New Roman"/>
          <w:sz w:val="24"/>
          <w:szCs w:val="24"/>
        </w:rPr>
        <w:t xml:space="preserve">tandard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e</w:t>
      </w:r>
      <w:r>
        <w:rPr>
          <w:rFonts w:hint="default" w:ascii="Times New Roman" w:hAnsi="Times New Roman" w:cs="Times New Roman"/>
          <w:sz w:val="24"/>
          <w:szCs w:val="24"/>
        </w:rPr>
        <w:t xml:space="preserve">rror of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m</w:t>
      </w:r>
      <w:r>
        <w:rPr>
          <w:rFonts w:hint="default" w:ascii="Times New Roman" w:hAnsi="Times New Roman" w:cs="Times New Roman"/>
          <w:sz w:val="24"/>
          <w:szCs w:val="24"/>
        </w:rPr>
        <w:t xml:space="preserve">ean. Compared with the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cs="Times New Roman"/>
          <w:sz w:val="24"/>
          <w:szCs w:val="24"/>
        </w:rPr>
        <w:t xml:space="preserve">on group, </w:t>
      </w:r>
      <w:r>
        <w:rPr>
          <w:rFonts w:hint="default" w:ascii="Times New Roman" w:hAnsi="Times New Roman" w:eastAsia="宋体" w:cs="Times New Roman"/>
          <w:sz w:val="24"/>
          <w:szCs w:val="24"/>
          <w:vertAlign w:val="superscript"/>
        </w:rPr>
        <w:t>**</w:t>
      </w:r>
      <w:r>
        <w:rPr>
          <w:rFonts w:hint="default" w:ascii="Times New Roman" w:hAnsi="Times New Roman" w:eastAsia="宋体" w:cs="Times New Roman"/>
          <w:i/>
          <w:iCs/>
          <w:sz w:val="24"/>
          <w:szCs w:val="24"/>
        </w:rPr>
        <w:t>P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&lt; 0.01</w:t>
      </w:r>
      <w:r>
        <w:rPr>
          <w:rFonts w:hint="default" w:ascii="Times New Roman" w:hAnsi="Times New Roman" w:cs="Times New Roman"/>
          <w:sz w:val="24"/>
          <w:szCs w:val="24"/>
        </w:rPr>
        <w:t xml:space="preserve">; compared with the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T2DM</w:t>
      </w:r>
      <w:r>
        <w:rPr>
          <w:rFonts w:hint="default" w:ascii="Times New Roman" w:hAnsi="Times New Roman" w:cs="Times New Roman"/>
          <w:sz w:val="24"/>
          <w:szCs w:val="24"/>
        </w:rPr>
        <w:t xml:space="preserve"> group, </w:t>
      </w:r>
      <w:r>
        <w:rPr>
          <w:rFonts w:hint="default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>#</w:t>
      </w:r>
      <w:r>
        <w:rPr>
          <w:rFonts w:hint="default" w:ascii="Times New Roman" w:hAnsi="Times New Roman" w:eastAsia="宋体" w:cs="Times New Roman"/>
          <w:i/>
          <w:iCs/>
          <w:sz w:val="24"/>
          <w:szCs w:val="24"/>
        </w:rPr>
        <w:t>P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&lt; 0.0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5,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>##</w:t>
      </w:r>
      <w:r>
        <w:rPr>
          <w:rFonts w:hint="default" w:ascii="Times New Roman" w:hAnsi="Times New Roman" w:eastAsia="宋体" w:cs="Times New Roman"/>
          <w:i/>
          <w:iCs/>
          <w:sz w:val="24"/>
          <w:szCs w:val="24"/>
        </w:rPr>
        <w:t>P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&lt; 0.01</w:t>
      </w:r>
      <w:r>
        <w:rPr>
          <w:rFonts w:hint="default" w:ascii="Times New Roman" w:hAnsi="Times New Roman" w:cs="Times New Roman"/>
          <w:sz w:val="24"/>
          <w:szCs w:val="24"/>
        </w:rPr>
        <w:t>; compared with the EA group,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  <w:vertAlign w:val="superscript"/>
        </w:rPr>
        <w:t>△△</w:t>
      </w:r>
      <w:r>
        <w:rPr>
          <w:rFonts w:hint="default" w:ascii="Times New Roman" w:hAnsi="Times New Roman" w:eastAsia="宋体" w:cs="Times New Roman"/>
          <w:i/>
          <w:iCs/>
          <w:sz w:val="24"/>
          <w:szCs w:val="24"/>
        </w:rPr>
        <w:t>P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&lt; 0.01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.</w:t>
      </w:r>
    </w:p>
    <w:p>
      <w:pPr>
        <w:keepNext/>
        <w:jc w:val="center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drawing>
          <wp:inline distT="0" distB="0" distL="114300" distR="114300">
            <wp:extent cx="5456555" cy="5912485"/>
            <wp:effectExtent l="0" t="0" r="14605" b="635"/>
            <wp:docPr id="3" name="图片 3" descr="糖脂代谢及胰岛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糖脂代谢及胰岛素"/>
                    <pic:cNvPicPr>
                      <a:picLocks noChangeAspect="1"/>
                    </pic:cNvPicPr>
                  </pic:nvPicPr>
                  <pic:blipFill>
                    <a:blip r:embed="rId11"/>
                    <a:srcRect l="12110" t="236"/>
                    <a:stretch>
                      <a:fillRect/>
                    </a:stretch>
                  </pic:blipFill>
                  <pic:spPr>
                    <a:xfrm>
                      <a:off x="0" y="0"/>
                      <a:ext cx="5456555" cy="591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/>
        <w:jc w:val="both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8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Figure </w:t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SEQ Figure \* ARABIC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sz w:val="24"/>
          <w:szCs w:val="24"/>
        </w:rPr>
        <w:t>3</w:t>
      </w:r>
      <w:r>
        <w:rPr>
          <w:rFonts w:hint="default" w:ascii="Times New Roman" w:hAnsi="Times New Roman" w:cs="Times New Roman"/>
          <w:sz w:val="24"/>
          <w:szCs w:val="24"/>
        </w:rPr>
        <w:fldChar w:fldCharType="end"/>
      </w:r>
    </w:p>
    <w:p>
      <w:pPr>
        <w:keepNext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The effects of EA on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the morphology and function of the liver</w:t>
      </w:r>
      <w:r>
        <w:rPr>
          <w:rFonts w:hint="default" w:ascii="Times New Roman" w:hAnsi="Times New Roman" w:cs="Times New Roman"/>
          <w:sz w:val="24"/>
          <w:szCs w:val="24"/>
        </w:rPr>
        <w:t xml:space="preserve"> in T2DM model rats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. A: HE staining showed hepatic histological changes after intervention (red arrow: hepatocytic lipid vacuoles, black arrow: hepatocyte ballooning). Images are shown at the original magnification of 400×. B: Oil Red O staining evaluated liver steatosis (red arrow: lipid droplets). Images are shown at the original magnification of 400×. C: levels of serum AST, ALT, ALB (n = 10 per group). D: Electron microscopy observed autophagy and lipid droplets in liver cells (red arrow: autophagosomes, yellow arrow: lipid droplets, blue arrow: mitochondria, purple arrow: endoplasmic reticulum, green arrow: lipid vacuoles). Images are shown at the original magnification of 15000×. Con: the control group, T2DM: the T2DM group, EA: the electroacupuncture group, Met: the metformin group, EA+Met: combination group of electroacupuncture and metformin, EA+Compd C: combination group of electroacupuncture and compound C. </w:t>
      </w:r>
      <w:r>
        <w:rPr>
          <w:rFonts w:hint="default" w:ascii="Times New Roman" w:hAnsi="Times New Roman" w:cs="Times New Roman"/>
          <w:sz w:val="24"/>
          <w:szCs w:val="24"/>
        </w:rPr>
        <w:t xml:space="preserve">Data are expressed as mean ±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cs="Times New Roman"/>
          <w:sz w:val="24"/>
          <w:szCs w:val="24"/>
        </w:rPr>
        <w:t xml:space="preserve">tandard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e</w:t>
      </w:r>
      <w:r>
        <w:rPr>
          <w:rFonts w:hint="default" w:ascii="Times New Roman" w:hAnsi="Times New Roman" w:cs="Times New Roman"/>
          <w:sz w:val="24"/>
          <w:szCs w:val="24"/>
        </w:rPr>
        <w:t xml:space="preserve">rror of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m</w:t>
      </w:r>
      <w:r>
        <w:rPr>
          <w:rFonts w:hint="default" w:ascii="Times New Roman" w:hAnsi="Times New Roman" w:cs="Times New Roman"/>
          <w:sz w:val="24"/>
          <w:szCs w:val="24"/>
        </w:rPr>
        <w:t xml:space="preserve">ean. Compared with the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cs="Times New Roman"/>
          <w:sz w:val="24"/>
          <w:szCs w:val="24"/>
        </w:rPr>
        <w:t xml:space="preserve">on group, </w:t>
      </w:r>
      <w:r>
        <w:rPr>
          <w:rFonts w:hint="default" w:ascii="Times New Roman" w:hAnsi="Times New Roman" w:eastAsia="宋体" w:cs="Times New Roman"/>
          <w:sz w:val="24"/>
          <w:szCs w:val="24"/>
          <w:vertAlign w:val="superscript"/>
        </w:rPr>
        <w:t>**</w:t>
      </w:r>
      <w:r>
        <w:rPr>
          <w:rFonts w:hint="default" w:ascii="Times New Roman" w:hAnsi="Times New Roman" w:eastAsia="宋体" w:cs="Times New Roman"/>
          <w:i/>
          <w:iCs/>
          <w:sz w:val="24"/>
          <w:szCs w:val="24"/>
        </w:rPr>
        <w:t>P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&lt; 0.01</w:t>
      </w:r>
      <w:r>
        <w:rPr>
          <w:rFonts w:hint="default" w:ascii="Times New Roman" w:hAnsi="Times New Roman" w:cs="Times New Roman"/>
          <w:sz w:val="24"/>
          <w:szCs w:val="24"/>
        </w:rPr>
        <w:t xml:space="preserve">; compared with the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T2DM</w:t>
      </w:r>
      <w:r>
        <w:rPr>
          <w:rFonts w:hint="default" w:ascii="Times New Roman" w:hAnsi="Times New Roman" w:cs="Times New Roman"/>
          <w:sz w:val="24"/>
          <w:szCs w:val="24"/>
        </w:rPr>
        <w:t xml:space="preserve"> group, </w:t>
      </w:r>
      <w:r>
        <w:rPr>
          <w:rFonts w:hint="default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>#</w:t>
      </w:r>
      <w:r>
        <w:rPr>
          <w:rFonts w:hint="default" w:ascii="Times New Roman" w:hAnsi="Times New Roman" w:eastAsia="宋体" w:cs="Times New Roman"/>
          <w:i/>
          <w:iCs/>
          <w:sz w:val="24"/>
          <w:szCs w:val="24"/>
        </w:rPr>
        <w:t>P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&lt; 0.0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5,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>##</w:t>
      </w:r>
      <w:r>
        <w:rPr>
          <w:rFonts w:hint="default" w:ascii="Times New Roman" w:hAnsi="Times New Roman" w:eastAsia="宋体" w:cs="Times New Roman"/>
          <w:i/>
          <w:iCs/>
          <w:sz w:val="24"/>
          <w:szCs w:val="24"/>
        </w:rPr>
        <w:t>P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&lt; 0.01</w:t>
      </w:r>
      <w:r>
        <w:rPr>
          <w:rFonts w:hint="default" w:ascii="Times New Roman" w:hAnsi="Times New Roman" w:cs="Times New Roman"/>
          <w:sz w:val="24"/>
          <w:szCs w:val="24"/>
        </w:rPr>
        <w:t>; compared with the EA group,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  <w:vertAlign w:val="superscript"/>
        </w:rPr>
        <w:t>△</w:t>
      </w:r>
      <w:r>
        <w:rPr>
          <w:rFonts w:hint="default" w:ascii="Times New Roman" w:hAnsi="Times New Roman" w:eastAsia="宋体" w:cs="Times New Roman"/>
          <w:i/>
          <w:iCs/>
          <w:sz w:val="24"/>
          <w:szCs w:val="24"/>
        </w:rPr>
        <w:t>P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&lt; 0.0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5, </w:t>
      </w:r>
      <w:r>
        <w:rPr>
          <w:rFonts w:hint="default" w:ascii="Times New Roman" w:hAnsi="Times New Roman" w:eastAsia="宋体" w:cs="Times New Roman"/>
          <w:sz w:val="24"/>
          <w:szCs w:val="24"/>
          <w:vertAlign w:val="superscript"/>
        </w:rPr>
        <w:t>△△</w:t>
      </w:r>
      <w:r>
        <w:rPr>
          <w:rFonts w:hint="default" w:ascii="Times New Roman" w:hAnsi="Times New Roman" w:eastAsia="宋体" w:cs="Times New Roman"/>
          <w:i/>
          <w:iCs/>
          <w:sz w:val="24"/>
          <w:szCs w:val="24"/>
        </w:rPr>
        <w:t>P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&lt; 0.01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; compared with</w:t>
      </w:r>
      <w:r>
        <w:rPr>
          <w:rFonts w:hint="default" w:ascii="Times New Roman" w:hAnsi="Times New Roman" w:cs="Times New Roman"/>
          <w:sz w:val="24"/>
          <w:szCs w:val="24"/>
        </w:rPr>
        <w:t xml:space="preserve"> the EA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+Met</w:t>
      </w:r>
      <w:r>
        <w:rPr>
          <w:rFonts w:hint="default" w:ascii="Times New Roman" w:hAnsi="Times New Roman" w:cs="Times New Roman"/>
          <w:sz w:val="24"/>
          <w:szCs w:val="24"/>
        </w:rPr>
        <w:t xml:space="preserve"> group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vertAlign w:val="superscript"/>
        </w:rPr>
        <w:t>●</w:t>
      </w:r>
      <w:r>
        <w:rPr>
          <w:rFonts w:hint="default" w:ascii="Times New Roman" w:hAnsi="Times New Roman" w:eastAsia="宋体" w:cs="Times New Roman"/>
          <w:i/>
          <w:iCs/>
          <w:sz w:val="24"/>
          <w:szCs w:val="24"/>
        </w:rPr>
        <w:t>P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&lt; 0.0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5.</w:t>
      </w:r>
    </w:p>
    <w:p>
      <w:pPr>
        <w:pStyle w:val="9"/>
        <w:jc w:val="center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drawing>
          <wp:inline distT="0" distB="0" distL="114300" distR="114300">
            <wp:extent cx="5510530" cy="5478145"/>
            <wp:effectExtent l="0" t="0" r="0" b="0"/>
            <wp:docPr id="8" name="图片 8" descr="肝形态功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肝形态功能"/>
                    <pic:cNvPicPr>
                      <a:picLocks noChangeAspect="1"/>
                    </pic:cNvPicPr>
                  </pic:nvPicPr>
                  <pic:blipFill>
                    <a:blip r:embed="rId12"/>
                    <a:srcRect l="11241"/>
                    <a:stretch>
                      <a:fillRect/>
                    </a:stretch>
                  </pic:blipFill>
                  <pic:spPr>
                    <a:xfrm>
                      <a:off x="0" y="0"/>
                      <a:ext cx="5510530" cy="5478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Figure </w:t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SEQ Figure \* ARABIC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sz w:val="24"/>
          <w:szCs w:val="24"/>
        </w:rPr>
        <w:t>4</w:t>
      </w:r>
      <w:r>
        <w:rPr>
          <w:rFonts w:hint="default" w:ascii="Times New Roman" w:hAnsi="Times New Roman" w:cs="Times New Roman"/>
          <w:sz w:val="24"/>
          <w:szCs w:val="24"/>
        </w:rPr>
        <w:fldChar w:fldCharType="end"/>
      </w:r>
    </w:p>
    <w:p>
      <w:pPr>
        <w:keepNext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The effects of EA on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hepatic autophagy</w:t>
      </w:r>
      <w:r>
        <w:rPr>
          <w:rFonts w:hint="default" w:ascii="Times New Roman" w:hAnsi="Times New Roman" w:cs="Times New Roman"/>
          <w:sz w:val="24"/>
          <w:szCs w:val="24"/>
        </w:rPr>
        <w:t xml:space="preserve"> in T2DM model rats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. A: Protein expression of hepatic autophagy signaling pathway. B: Quantification of protein levels of p-AMPK/AMPK, p-mTOR/mTOR, LC3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Ⅱ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(n = 3 per group). C: mRNA levels of AMPK, mTOR, LC3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Ⅱ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(n = 6 per group). D, E: Representative images of immunohistochemical staining of AMPK, mTOR expressions in the liver. Images are shown at the original magnification of 400×. F: Representative images of immunofluorescence staining of LC3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Ⅱ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expressions in the liver. Images are shown at the original magnification of 400×. G: Quantitative analyses according to groups (n = 6 per group). Con: the control group, T2DM: the T2DM group, EA: the electroacupuncture group, Met: the metformin group, EA+Met: combination group of electroacupuncture and metformin, EA+Compd C: combination group of electroacupuncture and compound C. </w:t>
      </w:r>
      <w:r>
        <w:rPr>
          <w:rFonts w:hint="default" w:ascii="Times New Roman" w:hAnsi="Times New Roman" w:cs="Times New Roman"/>
          <w:sz w:val="24"/>
          <w:szCs w:val="24"/>
        </w:rPr>
        <w:t xml:space="preserve">Data are expressed as mean ±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cs="Times New Roman"/>
          <w:sz w:val="24"/>
          <w:szCs w:val="24"/>
        </w:rPr>
        <w:t xml:space="preserve">tandard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e</w:t>
      </w:r>
      <w:r>
        <w:rPr>
          <w:rFonts w:hint="default" w:ascii="Times New Roman" w:hAnsi="Times New Roman" w:cs="Times New Roman"/>
          <w:sz w:val="24"/>
          <w:szCs w:val="24"/>
        </w:rPr>
        <w:t xml:space="preserve">rror of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m</w:t>
      </w:r>
      <w:r>
        <w:rPr>
          <w:rFonts w:hint="default" w:ascii="Times New Roman" w:hAnsi="Times New Roman" w:cs="Times New Roman"/>
          <w:sz w:val="24"/>
          <w:szCs w:val="24"/>
        </w:rPr>
        <w:t>ean.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Compared with the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cs="Times New Roman"/>
          <w:sz w:val="24"/>
          <w:szCs w:val="24"/>
        </w:rPr>
        <w:t xml:space="preserve">on group, </w:t>
      </w:r>
      <w:r>
        <w:rPr>
          <w:rFonts w:hint="default" w:ascii="Times New Roman" w:hAnsi="Times New Roman" w:eastAsia="宋体" w:cs="Times New Roman"/>
          <w:sz w:val="24"/>
          <w:szCs w:val="24"/>
          <w:vertAlign w:val="superscript"/>
        </w:rPr>
        <w:t>**</w:t>
      </w:r>
      <w:r>
        <w:rPr>
          <w:rFonts w:hint="default" w:ascii="Times New Roman" w:hAnsi="Times New Roman" w:eastAsia="宋体" w:cs="Times New Roman"/>
          <w:i/>
          <w:iCs/>
          <w:sz w:val="24"/>
          <w:szCs w:val="24"/>
        </w:rPr>
        <w:t>P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&lt; 0.01</w:t>
      </w:r>
      <w:r>
        <w:rPr>
          <w:rFonts w:hint="default" w:ascii="Times New Roman" w:hAnsi="Times New Roman" w:cs="Times New Roman"/>
          <w:sz w:val="24"/>
          <w:szCs w:val="24"/>
        </w:rPr>
        <w:t xml:space="preserve">; compared with the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T2DM</w:t>
      </w:r>
      <w:r>
        <w:rPr>
          <w:rFonts w:hint="default" w:ascii="Times New Roman" w:hAnsi="Times New Roman" w:cs="Times New Roman"/>
          <w:sz w:val="24"/>
          <w:szCs w:val="24"/>
        </w:rPr>
        <w:t xml:space="preserve"> group, </w:t>
      </w:r>
      <w:r>
        <w:rPr>
          <w:rFonts w:hint="default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>#</w:t>
      </w:r>
      <w:r>
        <w:rPr>
          <w:rFonts w:hint="default" w:ascii="Times New Roman" w:hAnsi="Times New Roman" w:eastAsia="宋体" w:cs="Times New Roman"/>
          <w:i/>
          <w:iCs/>
          <w:sz w:val="24"/>
          <w:szCs w:val="24"/>
        </w:rPr>
        <w:t>P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&lt; 0.0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5,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>##</w:t>
      </w:r>
      <w:r>
        <w:rPr>
          <w:rFonts w:hint="default" w:ascii="Times New Roman" w:hAnsi="Times New Roman" w:eastAsia="宋体" w:cs="Times New Roman"/>
          <w:i/>
          <w:iCs/>
          <w:sz w:val="24"/>
          <w:szCs w:val="24"/>
        </w:rPr>
        <w:t>P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&lt; 0.01</w:t>
      </w:r>
      <w:r>
        <w:rPr>
          <w:rFonts w:hint="default" w:ascii="Times New Roman" w:hAnsi="Times New Roman" w:cs="Times New Roman"/>
          <w:sz w:val="24"/>
          <w:szCs w:val="24"/>
        </w:rPr>
        <w:t>; compared with the EA group,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  <w:vertAlign w:val="superscript"/>
        </w:rPr>
        <w:t>△△</w:t>
      </w:r>
      <w:r>
        <w:rPr>
          <w:rFonts w:hint="default" w:ascii="Times New Roman" w:hAnsi="Times New Roman" w:eastAsia="宋体" w:cs="Times New Roman"/>
          <w:i/>
          <w:iCs/>
          <w:sz w:val="24"/>
          <w:szCs w:val="24"/>
        </w:rPr>
        <w:t>P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&lt; 0.01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; compared with</w:t>
      </w:r>
      <w:r>
        <w:rPr>
          <w:rFonts w:hint="default" w:ascii="Times New Roman" w:hAnsi="Times New Roman" w:cs="Times New Roman"/>
          <w:sz w:val="24"/>
          <w:szCs w:val="24"/>
        </w:rPr>
        <w:t xml:space="preserve"> the EA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+Met</w:t>
      </w:r>
      <w:r>
        <w:rPr>
          <w:rFonts w:hint="default" w:ascii="Times New Roman" w:hAnsi="Times New Roman" w:cs="Times New Roman"/>
          <w:sz w:val="24"/>
          <w:szCs w:val="24"/>
        </w:rPr>
        <w:t xml:space="preserve"> group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vertAlign w:val="superscript"/>
        </w:rPr>
        <w:t>●</w:t>
      </w:r>
      <w:r>
        <w:rPr>
          <w:rFonts w:hint="default" w:ascii="Times New Roman" w:hAnsi="Times New Roman" w:eastAsia="宋体" w:cs="Times New Roman"/>
          <w:i/>
          <w:iCs/>
          <w:sz w:val="24"/>
          <w:szCs w:val="24"/>
        </w:rPr>
        <w:t>P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&lt; 0.0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5,</w:t>
      </w:r>
      <w:r>
        <w:rPr>
          <w:rFonts w:hint="default" w:ascii="Times New Roman" w:hAnsi="Times New Roman" w:eastAsia="宋体" w:cs="Times New Roman"/>
          <w:sz w:val="24"/>
          <w:szCs w:val="24"/>
          <w:vertAlign w:val="superscript"/>
        </w:rPr>
        <w:t>●●</w:t>
      </w:r>
      <w:r>
        <w:rPr>
          <w:rFonts w:hint="default" w:ascii="Times New Roman" w:hAnsi="Times New Roman" w:eastAsia="宋体" w:cs="Times New Roman"/>
          <w:i/>
          <w:iCs/>
          <w:sz w:val="24"/>
          <w:szCs w:val="24"/>
        </w:rPr>
        <w:t>P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&lt; 0.0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1.</w:t>
      </w:r>
    </w:p>
    <w:p>
      <w:pPr>
        <w:pStyle w:val="9"/>
        <w:jc w:val="center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drawing>
          <wp:inline distT="0" distB="0" distL="114300" distR="114300">
            <wp:extent cx="6208395" cy="6229985"/>
            <wp:effectExtent l="0" t="0" r="9525" b="3175"/>
            <wp:docPr id="16" name="图片 16" descr="自噬加组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自噬加组化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6229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br w:type="page"/>
      </w:r>
    </w:p>
    <w:p>
      <w:pPr>
        <w:pStyle w:val="8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Figure </w:t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SEQ Figure \* ARABIC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sz w:val="24"/>
          <w:szCs w:val="24"/>
        </w:rPr>
        <w:t>5</w:t>
      </w:r>
      <w:r>
        <w:rPr>
          <w:rFonts w:hint="default" w:ascii="Times New Roman" w:hAnsi="Times New Roman" w:cs="Times New Roman"/>
          <w:sz w:val="24"/>
          <w:szCs w:val="24"/>
        </w:rPr>
        <w:fldChar w:fldCharType="end"/>
      </w:r>
    </w:p>
    <w:p>
      <w:pPr>
        <w:keepNext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The effects of EA on 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liver fibrosis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 in T2DM model rats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 xml:space="preserve">. A: Protein expression of hepatic fibrosis signaling pathway. B: Quantification of protein levels of TGFβ1, SMAD3, </w:t>
      </w:r>
      <w:r>
        <w:rPr>
          <w:rFonts w:hint="default" w:ascii="Times New Roman" w:hAnsi="Times New Roman" w:eastAsia="Georgia" w:cs="Times New Roman"/>
          <w:color w:val="1F1F1F"/>
          <w:sz w:val="24"/>
          <w:szCs w:val="24"/>
          <w:highlight w:val="none"/>
        </w:rPr>
        <w:t>α-SMA</w:t>
      </w:r>
      <w:r>
        <w:rPr>
          <w:rFonts w:hint="default" w:ascii="Times New Roman" w:hAnsi="Times New Roman" w:eastAsia="宋体" w:cs="Times New Roman"/>
          <w:color w:val="1F1F1F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 xml:space="preserve">(n = 3 per group). C: mRNA levels of TGFβ1, SMAD2, SMAD3 (n = 6 per group). D: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Masson staining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evaluate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d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 liver 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eastAsia="zh-CN"/>
        </w:rPr>
        <w:t>fibrosis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 xml:space="preserve">(black arrow: collagen fibers). Images are shown at the original magnification of 400×. E: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Representative images of immunohistochemical staining of 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TGFβ1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expressions in the liver. Images are shown at the original magnification of 400×. F: Representative images of immunofluorescence staining of </w:t>
      </w:r>
      <w:r>
        <w:rPr>
          <w:rFonts w:hint="default" w:ascii="Times New Roman" w:hAnsi="Times New Roman" w:eastAsia="Georgia" w:cs="Times New Roman"/>
          <w:color w:val="1F1F1F"/>
          <w:sz w:val="24"/>
          <w:szCs w:val="24"/>
        </w:rPr>
        <w:t>α-SMA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expressions in the liver. Images are shown at the original magnification of 400×. G: Quantitative analyses according to groups (n = 6 per group). H: Electron microscopy observed 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collagen fibers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in liver cells (white arrow: 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collagen fibers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). Images are shown at the original magnification of 15000×. Con: the control group, T2DM: the T2DM group, EA: the electroacupuncture group, Met: the metformin group, EA+Met: combination group of electroacupuncture and metformin, EA+Compd C: combination group of electroacupuncture and compound C. </w:t>
      </w:r>
      <w:r>
        <w:rPr>
          <w:rFonts w:hint="default" w:ascii="Times New Roman" w:hAnsi="Times New Roman" w:cs="Times New Roman"/>
          <w:sz w:val="24"/>
          <w:szCs w:val="24"/>
        </w:rPr>
        <w:t xml:space="preserve">Data are expressed as mean ±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cs="Times New Roman"/>
          <w:sz w:val="24"/>
          <w:szCs w:val="24"/>
        </w:rPr>
        <w:t xml:space="preserve">tandard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e</w:t>
      </w:r>
      <w:r>
        <w:rPr>
          <w:rFonts w:hint="default" w:ascii="Times New Roman" w:hAnsi="Times New Roman" w:cs="Times New Roman"/>
          <w:sz w:val="24"/>
          <w:szCs w:val="24"/>
        </w:rPr>
        <w:t xml:space="preserve">rror of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m</w:t>
      </w:r>
      <w:r>
        <w:rPr>
          <w:rFonts w:hint="default" w:ascii="Times New Roman" w:hAnsi="Times New Roman" w:cs="Times New Roman"/>
          <w:sz w:val="24"/>
          <w:szCs w:val="24"/>
        </w:rPr>
        <w:t>ean.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Compared with the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cs="Times New Roman"/>
          <w:sz w:val="24"/>
          <w:szCs w:val="24"/>
        </w:rPr>
        <w:t xml:space="preserve">on group, </w:t>
      </w:r>
      <w:r>
        <w:rPr>
          <w:rFonts w:hint="default" w:ascii="Times New Roman" w:hAnsi="Times New Roman" w:eastAsia="宋体" w:cs="Times New Roman"/>
          <w:sz w:val="24"/>
          <w:szCs w:val="24"/>
          <w:vertAlign w:val="superscript"/>
        </w:rPr>
        <w:t>*</w:t>
      </w:r>
      <w:r>
        <w:rPr>
          <w:rFonts w:hint="default" w:ascii="Times New Roman" w:hAnsi="Times New Roman" w:eastAsia="宋体" w:cs="Times New Roman"/>
          <w:i/>
          <w:iCs/>
          <w:sz w:val="24"/>
          <w:szCs w:val="24"/>
        </w:rPr>
        <w:t>P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&lt; 0.0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5, </w:t>
      </w:r>
      <w:r>
        <w:rPr>
          <w:rFonts w:hint="default" w:ascii="Times New Roman" w:hAnsi="Times New Roman" w:eastAsia="宋体" w:cs="Times New Roman"/>
          <w:sz w:val="24"/>
          <w:szCs w:val="24"/>
          <w:vertAlign w:val="superscript"/>
        </w:rPr>
        <w:t>**</w:t>
      </w:r>
      <w:r>
        <w:rPr>
          <w:rFonts w:hint="default" w:ascii="Times New Roman" w:hAnsi="Times New Roman" w:eastAsia="宋体" w:cs="Times New Roman"/>
          <w:i/>
          <w:iCs/>
          <w:sz w:val="24"/>
          <w:szCs w:val="24"/>
        </w:rPr>
        <w:t>P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&lt; 0.01</w:t>
      </w:r>
      <w:r>
        <w:rPr>
          <w:rFonts w:hint="default" w:ascii="Times New Roman" w:hAnsi="Times New Roman" w:cs="Times New Roman"/>
          <w:sz w:val="24"/>
          <w:szCs w:val="24"/>
        </w:rPr>
        <w:t xml:space="preserve">; compared with the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T2DM</w:t>
      </w:r>
      <w:r>
        <w:rPr>
          <w:rFonts w:hint="default" w:ascii="Times New Roman" w:hAnsi="Times New Roman" w:cs="Times New Roman"/>
          <w:sz w:val="24"/>
          <w:szCs w:val="24"/>
        </w:rPr>
        <w:t xml:space="preserve"> group, </w:t>
      </w:r>
      <w:r>
        <w:rPr>
          <w:rFonts w:hint="default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>#</w:t>
      </w:r>
      <w:r>
        <w:rPr>
          <w:rFonts w:hint="default" w:ascii="Times New Roman" w:hAnsi="Times New Roman" w:eastAsia="宋体" w:cs="Times New Roman"/>
          <w:i/>
          <w:iCs/>
          <w:sz w:val="24"/>
          <w:szCs w:val="24"/>
        </w:rPr>
        <w:t>P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&lt; 0.0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5,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>##</w:t>
      </w:r>
      <w:r>
        <w:rPr>
          <w:rFonts w:hint="default" w:ascii="Times New Roman" w:hAnsi="Times New Roman" w:eastAsia="宋体" w:cs="Times New Roman"/>
          <w:i/>
          <w:iCs/>
          <w:sz w:val="24"/>
          <w:szCs w:val="24"/>
        </w:rPr>
        <w:t>P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&lt; 0.01</w:t>
      </w:r>
      <w:r>
        <w:rPr>
          <w:rFonts w:hint="default" w:ascii="Times New Roman" w:hAnsi="Times New Roman" w:cs="Times New Roman"/>
          <w:sz w:val="24"/>
          <w:szCs w:val="24"/>
        </w:rPr>
        <w:t>; compared with the EA group,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  <w:vertAlign w:val="superscript"/>
        </w:rPr>
        <w:t>△△</w:t>
      </w:r>
      <w:r>
        <w:rPr>
          <w:rFonts w:hint="default" w:ascii="Times New Roman" w:hAnsi="Times New Roman" w:eastAsia="宋体" w:cs="Times New Roman"/>
          <w:i/>
          <w:iCs/>
          <w:sz w:val="24"/>
          <w:szCs w:val="24"/>
        </w:rPr>
        <w:t>P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&lt; 0.01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.</w:t>
      </w:r>
    </w:p>
    <w:p>
      <w:pPr>
        <w:keepNext/>
        <w:jc w:val="both"/>
        <w:rPr>
          <w:rFonts w:hint="default" w:ascii="Times New Roman" w:hAnsi="Times New Roman" w:eastAsia="宋体" w:cs="Times New Roman"/>
          <w:sz w:val="24"/>
          <w:szCs w:val="24"/>
          <w:highlight w:val="yellow"/>
          <w:lang w:val="en-US" w:eastAsia="zh-CN"/>
        </w:rPr>
      </w:pPr>
    </w:p>
    <w:p>
      <w:pPr>
        <w:pStyle w:val="9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9"/>
        <w:jc w:val="center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bookmarkStart w:id="0" w:name="_GoBack"/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drawing>
          <wp:inline distT="0" distB="0" distL="114300" distR="114300">
            <wp:extent cx="6207125" cy="6629400"/>
            <wp:effectExtent l="0" t="0" r="10795" b="0"/>
            <wp:docPr id="15" name="图片 15" descr="纤维化加组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纤维化加组化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207125" cy="662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br w:type="page"/>
      </w:r>
    </w:p>
    <w:p>
      <w:pPr>
        <w:pStyle w:val="8"/>
        <w:rPr>
          <w:rFonts w:hint="eastAsia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Figure </w:t>
      </w:r>
      <w:r>
        <w:rPr>
          <w:rFonts w:hint="eastAsia" w:eastAsia="宋体" w:cs="Times New Roman"/>
          <w:sz w:val="24"/>
          <w:szCs w:val="24"/>
          <w:lang w:val="en-US" w:eastAsia="zh-CN"/>
        </w:rPr>
        <w:t>6</w:t>
      </w:r>
    </w:p>
    <w:p>
      <w:pPr>
        <w:spacing w:before="100" w:beforeAutospacing="1" w:after="0"/>
        <w:jc w:val="both"/>
        <w:rPr>
          <w:rFonts w:hint="eastAsia" w:eastAsia="宋体" w:cs="Times New Roman"/>
          <w:szCs w:val="24"/>
          <w:lang w:val="en-US" w:eastAsia="zh-CN"/>
        </w:rPr>
      </w:pPr>
      <w:r>
        <w:rPr>
          <w:rFonts w:hint="eastAsia" w:eastAsia="宋体" w:cs="Times New Roman"/>
          <w:szCs w:val="24"/>
          <w:lang w:eastAsia="zh-CN"/>
        </w:rPr>
        <w:t>The relationship between AMPK and metabolic signaling pathways</w:t>
      </w:r>
      <w:r>
        <w:rPr>
          <w:rFonts w:hint="eastAsia" w:eastAsia="宋体" w:cs="Times New Roman"/>
          <w:szCs w:val="24"/>
          <w:lang w:val="en-US" w:eastAsia="zh-CN"/>
        </w:rPr>
        <w:t>.</w:t>
      </w:r>
    </w:p>
    <w:p>
      <w:pPr>
        <w:spacing w:before="100" w:beforeAutospacing="1" w:after="0"/>
        <w:jc w:val="both"/>
        <w:rPr>
          <w:rFonts w:hint="default" w:eastAsia="宋体" w:cs="Times New Roman"/>
          <w:szCs w:val="24"/>
          <w:lang w:val="en-US" w:eastAsia="zh-CN"/>
        </w:rPr>
      </w:pPr>
      <w:r>
        <w:rPr>
          <w:rFonts w:hint="default" w:eastAsia="宋体" w:cs="Times New Roman"/>
          <w:szCs w:val="24"/>
          <w:lang w:val="en-US" w:eastAsia="zh-CN"/>
        </w:rPr>
        <w:drawing>
          <wp:inline distT="0" distB="0" distL="114300" distR="114300">
            <wp:extent cx="6203315" cy="3938905"/>
            <wp:effectExtent l="0" t="0" r="14605" b="8255"/>
            <wp:docPr id="4" name="图片 4" descr="export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export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203315" cy="3938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br w:type="page"/>
      </w:r>
    </w:p>
    <w:p>
      <w:pPr>
        <w:pStyle w:val="8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Table </w:t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SEQ Table \* ARABIC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sz w:val="24"/>
          <w:szCs w:val="24"/>
        </w:rPr>
        <w:t>1</w:t>
      </w:r>
      <w:r>
        <w:rPr>
          <w:rFonts w:hint="default" w:ascii="Times New Roman" w:hAnsi="Times New Roman" w:cs="Times New Roman"/>
          <w:sz w:val="24"/>
          <w:szCs w:val="24"/>
        </w:rPr>
        <w:fldChar w:fldCharType="end"/>
      </w:r>
    </w:p>
    <w:p>
      <w:pPr>
        <w:pStyle w:val="9"/>
        <w:rPr>
          <w:rFonts w:hint="eastAsia" w:eastAsia="宋体"/>
          <w:lang w:val="en-US" w:eastAsia="zh-CN"/>
        </w:rPr>
      </w:pPr>
      <w:r>
        <w:rPr>
          <w:rFonts w:ascii="Times New Roman" w:hAnsi="Times New Roman"/>
          <w:sz w:val="24"/>
          <w:szCs w:val="24"/>
        </w:rPr>
        <w:t xml:space="preserve">List of </w:t>
      </w:r>
      <w:r>
        <w:rPr>
          <w:rFonts w:hint="eastAsia" w:ascii="Times New Roman" w:hAnsi="Times New Roman"/>
          <w:sz w:val="24"/>
          <w:szCs w:val="24"/>
        </w:rPr>
        <w:t>antibodies</w:t>
      </w:r>
      <w:r>
        <w:rPr>
          <w:rFonts w:ascii="Times New Roman" w:hAnsi="Times New Roman"/>
          <w:sz w:val="24"/>
          <w:szCs w:val="24"/>
        </w:rPr>
        <w:t xml:space="preserve"> used for </w:t>
      </w:r>
      <w:r>
        <w:rPr>
          <w:rFonts w:hint="eastAsia" w:ascii="Times New Roman" w:hAnsi="Times New Roman"/>
          <w:sz w:val="24"/>
          <w:szCs w:val="24"/>
        </w:rPr>
        <w:t>immunohistochemical staining</w:t>
      </w:r>
      <w:r>
        <w:rPr>
          <w:rFonts w:hint="eastAsia" w:eastAsia="宋体"/>
          <w:sz w:val="24"/>
          <w:szCs w:val="24"/>
          <w:lang w:val="en-US" w:eastAsia="zh-CN"/>
        </w:rPr>
        <w:t xml:space="preserve"> and</w:t>
      </w:r>
      <w:r>
        <w:rPr>
          <w:rFonts w:hint="eastAsia" w:ascii="Times New Roman" w:hAnsi="Times New Roman"/>
          <w:sz w:val="24"/>
          <w:szCs w:val="24"/>
        </w:rPr>
        <w:t xml:space="preserve"> immunofluorescence staining</w:t>
      </w:r>
      <w:r>
        <w:rPr>
          <w:rFonts w:hint="eastAsia" w:eastAsia="宋体"/>
          <w:sz w:val="24"/>
          <w:szCs w:val="24"/>
          <w:lang w:val="en-US" w:eastAsia="zh-CN"/>
        </w:rPr>
        <w:t>.</w:t>
      </w:r>
    </w:p>
    <w:tbl>
      <w:tblPr>
        <w:tblStyle w:val="54"/>
        <w:tblpPr w:leftFromText="180" w:rightFromText="180" w:vertAnchor="text" w:horzAnchor="page" w:tblpX="1261" w:tblpY="263"/>
        <w:tblOverlap w:val="never"/>
        <w:tblW w:w="4994" w:type="pct"/>
        <w:tblInd w:w="0" w:type="dxa"/>
        <w:tblBorders>
          <w:top w:val="single" w:color="auto" w:sz="12" w:space="0"/>
          <w:left w:val="none" w:color="auto" w:sz="6" w:space="0"/>
          <w:bottom w:val="single" w:color="auto" w:sz="12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3"/>
        <w:gridCol w:w="1399"/>
        <w:gridCol w:w="4248"/>
        <w:gridCol w:w="1971"/>
      </w:tblGrid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3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Name</w:t>
            </w:r>
          </w:p>
        </w:tc>
        <w:tc>
          <w:tcPr>
            <w:tcW w:w="701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Cat No</w:t>
            </w:r>
          </w:p>
        </w:tc>
        <w:tc>
          <w:tcPr>
            <w:tcW w:w="2127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ource</w:t>
            </w:r>
          </w:p>
        </w:tc>
        <w:tc>
          <w:tcPr>
            <w:tcW w:w="987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Dilution ratio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AMPK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18167-1-AP</w:t>
            </w:r>
          </w:p>
        </w:tc>
        <w:tc>
          <w:tcPr>
            <w:tcW w:w="2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Proteintech Group, Inc. (Chicago, USA)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1:400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mTOR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66888-1-Ig</w:t>
            </w:r>
          </w:p>
        </w:tc>
        <w:tc>
          <w:tcPr>
            <w:tcW w:w="2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Proteintech Group, Inc. (Chicago, USA)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1:800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LC3Ⅱ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14600-1-AP</w:t>
            </w:r>
          </w:p>
        </w:tc>
        <w:tc>
          <w:tcPr>
            <w:tcW w:w="2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Proteintech Group, Inc. (Chicago, USA)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1:500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TGFβ1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21898-1-AP</w:t>
            </w:r>
          </w:p>
        </w:tc>
        <w:tc>
          <w:tcPr>
            <w:tcW w:w="2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Proteintech Group, Inc. (Chicago, USA)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1:300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α-SMA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80008-1-RR</w:t>
            </w:r>
          </w:p>
        </w:tc>
        <w:tc>
          <w:tcPr>
            <w:tcW w:w="2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Proteintech Group, Inc. (Chicago, USA)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1:2000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Immunohistochemical secondary antibody kit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KIT-9701, KIT-9706</w:t>
            </w:r>
          </w:p>
        </w:tc>
        <w:tc>
          <w:tcPr>
            <w:tcW w:w="2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en-US" w:bidi="ar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MXB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, Inc. (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Fujian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China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1:500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3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Cy3 labeled goat anti rabbit IgG</w:t>
            </w:r>
          </w:p>
        </w:tc>
        <w:tc>
          <w:tcPr>
            <w:tcW w:w="701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GB27303</w:t>
            </w:r>
          </w:p>
        </w:tc>
        <w:tc>
          <w:tcPr>
            <w:tcW w:w="2127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en-US" w:bidi="ar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Servicebio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, Inc. (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Wuhan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China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87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1:600</w:t>
            </w:r>
          </w:p>
        </w:tc>
      </w:tr>
    </w:tbl>
    <w:p>
      <w:pPr>
        <w:pStyle w:val="9"/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br w:type="page"/>
      </w:r>
    </w:p>
    <w:p>
      <w:pPr>
        <w:pStyle w:val="8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Table </w:t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SEQ Table \* ARABIC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sz w:val="24"/>
          <w:szCs w:val="24"/>
        </w:rPr>
        <w:t>2</w:t>
      </w:r>
      <w:r>
        <w:rPr>
          <w:rFonts w:hint="default" w:ascii="Times New Roman" w:hAnsi="Times New Roman" w:cs="Times New Roman"/>
          <w:sz w:val="24"/>
          <w:szCs w:val="24"/>
        </w:rPr>
        <w:fldChar w:fldCharType="end"/>
      </w:r>
    </w:p>
    <w:p>
      <w:pPr>
        <w:pStyle w:val="9"/>
        <w:rPr>
          <w:rFonts w:hint="default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List of </w:t>
      </w:r>
      <w:r>
        <w:rPr>
          <w:rFonts w:hint="eastAsia" w:ascii="Times New Roman" w:hAnsi="Times New Roman"/>
          <w:sz w:val="24"/>
          <w:szCs w:val="24"/>
        </w:rPr>
        <w:t>antibodies</w:t>
      </w:r>
      <w:r>
        <w:rPr>
          <w:rFonts w:ascii="Times New Roman" w:hAnsi="Times New Roman"/>
          <w:sz w:val="24"/>
          <w:szCs w:val="24"/>
        </w:rPr>
        <w:t xml:space="preserve"> used for </w:t>
      </w:r>
      <w:r>
        <w:rPr>
          <w:rFonts w:hint="eastAsia" w:eastAsia="宋体"/>
          <w:sz w:val="24"/>
          <w:szCs w:val="24"/>
          <w:lang w:val="en-US" w:eastAsia="zh-CN"/>
        </w:rPr>
        <w:t>Western Blotting</w:t>
      </w:r>
      <w:r>
        <w:rPr>
          <w:rFonts w:ascii="Times New Roman" w:hAnsi="Times New Roman"/>
          <w:sz w:val="24"/>
          <w:szCs w:val="24"/>
        </w:rPr>
        <w:t>.</w:t>
      </w:r>
    </w:p>
    <w:tbl>
      <w:tblPr>
        <w:tblStyle w:val="54"/>
        <w:tblpPr w:leftFromText="180" w:rightFromText="180" w:vertAnchor="text" w:horzAnchor="page" w:tblpX="1261" w:tblpY="263"/>
        <w:tblOverlap w:val="never"/>
        <w:tblW w:w="4996" w:type="pct"/>
        <w:tblInd w:w="0" w:type="dxa"/>
        <w:tblBorders>
          <w:top w:val="single" w:color="auto" w:sz="12" w:space="0"/>
          <w:left w:val="none" w:color="auto" w:sz="6" w:space="0"/>
          <w:bottom w:val="single" w:color="auto" w:sz="12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1552"/>
        <w:gridCol w:w="4465"/>
        <w:gridCol w:w="2054"/>
      </w:tblGrid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Name</w:t>
            </w:r>
          </w:p>
        </w:tc>
        <w:tc>
          <w:tcPr>
            <w:tcW w:w="777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Cat No</w:t>
            </w:r>
          </w:p>
        </w:tc>
        <w:tc>
          <w:tcPr>
            <w:tcW w:w="2235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ource</w:t>
            </w:r>
          </w:p>
        </w:tc>
        <w:tc>
          <w:tcPr>
            <w:tcW w:w="1028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Dilution ratio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AMPK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18167-1-AP</w:t>
            </w:r>
          </w:p>
        </w:tc>
        <w:tc>
          <w:tcPr>
            <w:tcW w:w="2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Proteintech Group, Inc. (Chicago, USA)</w:t>
            </w: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1:1000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Phospho-AMPKα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#2535</w:t>
            </w:r>
          </w:p>
        </w:tc>
        <w:tc>
          <w:tcPr>
            <w:tcW w:w="2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Cell Signaling Technology, Inc. (USA)</w:t>
            </w: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1:1000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PPARα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66826-1-Ig</w:t>
            </w:r>
          </w:p>
        </w:tc>
        <w:tc>
          <w:tcPr>
            <w:tcW w:w="2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Proteintech Group, Inc. (Chicago, USA)</w:t>
            </w: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1:1000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CPT1A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15184-1-AP</w:t>
            </w:r>
          </w:p>
        </w:tc>
        <w:tc>
          <w:tcPr>
            <w:tcW w:w="2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Proteintech Group, Inc. (Chicago, USA)</w:t>
            </w: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1:20000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PGC-1α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66369-1-Ig</w:t>
            </w:r>
          </w:p>
        </w:tc>
        <w:tc>
          <w:tcPr>
            <w:tcW w:w="2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Proteintech Group, Inc. (Chicago, USA)</w:t>
            </w: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1:1000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PCK2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14892-1-AP</w:t>
            </w:r>
          </w:p>
        </w:tc>
        <w:tc>
          <w:tcPr>
            <w:tcW w:w="2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Proteintech Group, Inc. (Chicago, USA)</w:t>
            </w: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1:5000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PI3K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60225-1-AP</w:t>
            </w:r>
          </w:p>
        </w:tc>
        <w:tc>
          <w:tcPr>
            <w:tcW w:w="2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Proteintech Group, Inc. (Chicago, USA)</w:t>
            </w: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1:2000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AKT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60203-2-Ig</w:t>
            </w:r>
          </w:p>
        </w:tc>
        <w:tc>
          <w:tcPr>
            <w:tcW w:w="2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Proteintech Group, Inc. (Chicago, USA)</w:t>
            </w: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1:1000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GLUT4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66846-1-Ig</w:t>
            </w:r>
          </w:p>
        </w:tc>
        <w:tc>
          <w:tcPr>
            <w:tcW w:w="2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Proteintech Group, Inc. (Chicago, USA)</w:t>
            </w: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1:1000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mTOR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66888-1-Ig</w:t>
            </w:r>
          </w:p>
        </w:tc>
        <w:tc>
          <w:tcPr>
            <w:tcW w:w="2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Proteintech Group, Inc. (Chicago, USA)</w:t>
            </w: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1:10000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Phospho-mTOR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80596-1-RR</w:t>
            </w:r>
          </w:p>
        </w:tc>
        <w:tc>
          <w:tcPr>
            <w:tcW w:w="2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Proteintech Group, Inc. (Chicago, USA)</w:t>
            </w: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1:5000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LC3Ⅱ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14600-1-AP</w:t>
            </w:r>
          </w:p>
        </w:tc>
        <w:tc>
          <w:tcPr>
            <w:tcW w:w="2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Proteintech Group, Inc. (Chicago, USA)</w:t>
            </w: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1:4000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TGFβ1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YP-Ab-15967</w:t>
            </w:r>
          </w:p>
        </w:tc>
        <w:tc>
          <w:tcPr>
            <w:tcW w:w="2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UpingBio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Group, Inc. (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Shenzhen, China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1:1000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Smad3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YP-Ab-01173</w:t>
            </w:r>
          </w:p>
        </w:tc>
        <w:tc>
          <w:tcPr>
            <w:tcW w:w="2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UpingBio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Group, Inc. (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Shenzhen, China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1:1000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α-SMA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80008-1-RR</w:t>
            </w:r>
          </w:p>
        </w:tc>
        <w:tc>
          <w:tcPr>
            <w:tcW w:w="2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Proteintech Group, Inc. (Chicago, USA)</w:t>
            </w: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1:5000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β-actin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66009-1-Ig</w:t>
            </w:r>
          </w:p>
        </w:tc>
        <w:tc>
          <w:tcPr>
            <w:tcW w:w="2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Proteintech Group, Inc. (Chicago, USA)</w:t>
            </w: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1:1000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HRP-conjugated Affinipure Goat Anti-Rabbit IgG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SA00001-2</w:t>
            </w:r>
          </w:p>
        </w:tc>
        <w:tc>
          <w:tcPr>
            <w:tcW w:w="2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en-US"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Proteintech Group, Inc. (Chicago, USA)</w:t>
            </w: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1:1000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HRP-conjugated Affinipure Goat Anti-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mouse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IgG</w:t>
            </w:r>
          </w:p>
        </w:tc>
        <w:tc>
          <w:tcPr>
            <w:tcW w:w="777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SA00001-1</w:t>
            </w:r>
          </w:p>
        </w:tc>
        <w:tc>
          <w:tcPr>
            <w:tcW w:w="2235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en-US"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Proteintech Group, Inc. (Chicago, USA)</w:t>
            </w:r>
          </w:p>
        </w:tc>
        <w:tc>
          <w:tcPr>
            <w:tcW w:w="1028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1:5000</w:t>
            </w:r>
          </w:p>
        </w:tc>
      </w:tr>
    </w:tbl>
    <w:p>
      <w:pPr>
        <w:pStyle w:val="9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8"/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br w:type="page"/>
      </w:r>
    </w:p>
    <w:p>
      <w:pPr>
        <w:pStyle w:val="8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Table </w:t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SEQ Table \* ARABIC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sz w:val="24"/>
          <w:szCs w:val="24"/>
        </w:rPr>
        <w:t>3</w:t>
      </w:r>
      <w:r>
        <w:rPr>
          <w:rFonts w:hint="default" w:ascii="Times New Roman" w:hAnsi="Times New Roman" w:cs="Times New Roman"/>
          <w:sz w:val="24"/>
          <w:szCs w:val="24"/>
        </w:rPr>
        <w:fldChar w:fldCharType="end"/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4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ascii="Times New Roman" w:hAnsi="Times New Roman"/>
          <w:sz w:val="24"/>
          <w:szCs w:val="24"/>
        </w:rPr>
        <w:t>List of primers used for RT-PCR.</w:t>
      </w:r>
    </w:p>
    <w:tbl>
      <w:tblPr>
        <w:tblStyle w:val="54"/>
        <w:tblW w:w="0" w:type="auto"/>
        <w:tblInd w:w="0" w:type="dxa"/>
        <w:tblBorders>
          <w:top w:val="single" w:color="auto" w:sz="12" w:space="0"/>
          <w:left w:val="none" w:color="auto" w:sz="6" w:space="0"/>
          <w:bottom w:val="single" w:color="auto" w:sz="12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3"/>
        <w:gridCol w:w="4230"/>
        <w:gridCol w:w="4030"/>
      </w:tblGrid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c>
          <w:tcPr>
            <w:tcW w:w="1951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Name</w:t>
            </w:r>
          </w:p>
        </w:tc>
        <w:tc>
          <w:tcPr>
            <w:tcW w:w="373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Forward Primer 5’-3’</w:t>
            </w:r>
          </w:p>
        </w:tc>
        <w:tc>
          <w:tcPr>
            <w:tcW w:w="2841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Reverse Primer 5’-3’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AMPK</w:t>
            </w:r>
          </w:p>
        </w:tc>
        <w:tc>
          <w:tcPr>
            <w:tcW w:w="3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CAAGCCCACCCGATTCTTTCCTC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CGCCTTGGTGTTTGGATTTCTGTG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PGC-1α</w:t>
            </w:r>
          </w:p>
        </w:tc>
        <w:tc>
          <w:tcPr>
            <w:tcW w:w="3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TCACACCAAACCCACAGAGAACAG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TTGCGACTGCGGTTGTGTATGG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PPARα</w:t>
            </w:r>
          </w:p>
        </w:tc>
        <w:tc>
          <w:tcPr>
            <w:tcW w:w="3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ACGATGCTGTCCTCCTTGATGAAC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ATGATGTCGCAGAATGGCTTCCTC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SREBP1c</w:t>
            </w:r>
          </w:p>
        </w:tc>
        <w:tc>
          <w:tcPr>
            <w:tcW w:w="3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AGCCACAATGAAGACCGCAG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ATGGTCCCTCCACTCACCAG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mTOR</w:t>
            </w:r>
          </w:p>
        </w:tc>
        <w:tc>
          <w:tcPr>
            <w:tcW w:w="3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TTGTGGACCCTGGGACAGTT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ACACTCGGATGGCCTCTCTC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LC3Ⅱ</w:t>
            </w:r>
          </w:p>
        </w:tc>
        <w:tc>
          <w:tcPr>
            <w:tcW w:w="3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CCACACCCATCGTCGACATC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CCGAAGGTTTCTTGGGAGGC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TGFβ1</w:t>
            </w:r>
          </w:p>
        </w:tc>
        <w:tc>
          <w:tcPr>
            <w:tcW w:w="3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GTCCAGTCTGCTTCGTCTGC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TTGGTACGCGGTGGTGAATG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Smad2</w:t>
            </w:r>
          </w:p>
        </w:tc>
        <w:tc>
          <w:tcPr>
            <w:tcW w:w="3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GCCAGACCTTCACAGCCATC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GCACCAAGACTGGAGGCAAG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Smad3</w:t>
            </w:r>
          </w:p>
        </w:tc>
        <w:tc>
          <w:tcPr>
            <w:tcW w:w="3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CTGCACAGCCACCATGAGTT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TGGCACCAACACTGGAGGTA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β-actin</w:t>
            </w:r>
          </w:p>
        </w:tc>
        <w:tc>
          <w:tcPr>
            <w:tcW w:w="373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ACCGTGAAAAGATGACCCAGCAT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CCAGAGGCATACAGGGACAA</w:t>
            </w:r>
          </w:p>
        </w:tc>
      </w:tr>
    </w:tbl>
    <w:p>
      <w:pPr>
        <w:pStyle w:val="9"/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eastAsia" w:cs="Times New Roman"/>
          <w:sz w:val="24"/>
          <w:szCs w:val="24"/>
          <w:lang w:val="en-US" w:eastAsia="zh-CN"/>
        </w:rPr>
      </w:pPr>
      <w:r>
        <w:rPr>
          <w:rFonts w:hint="eastAsia" w:cs="Times New Roman"/>
          <w:sz w:val="24"/>
          <w:szCs w:val="24"/>
          <w:lang w:val="en-US" w:eastAsia="zh-CN"/>
        </w:rPr>
        <w:br w:type="page"/>
      </w:r>
    </w:p>
    <w:p>
      <w:pPr>
        <w:pStyle w:val="8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T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he complete blot for Figures 2, 4, 5. </w:t>
      </w:r>
    </w:p>
    <w:p>
      <w:pPr>
        <w:pStyle w:val="9"/>
        <w:rPr>
          <w:rFonts w:hint="default" w:cs="Times New Roman"/>
          <w:sz w:val="24"/>
          <w:szCs w:val="24"/>
          <w:lang w:val="en-US" w:eastAsia="zh-CN"/>
        </w:rPr>
      </w:pPr>
      <w:r>
        <w:rPr>
          <w:rFonts w:hint="default" w:cs="Times New Roman"/>
          <w:sz w:val="24"/>
          <w:szCs w:val="24"/>
          <w:lang w:val="en-US" w:eastAsia="zh-CN"/>
        </w:rPr>
        <w:drawing>
          <wp:inline distT="0" distB="0" distL="114300" distR="114300">
            <wp:extent cx="5599430" cy="7464425"/>
            <wp:effectExtent l="0" t="0" r="8890" b="3175"/>
            <wp:docPr id="13" name="图片 13" descr="完整条带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完整条带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99430" cy="746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rPr>
          <w:rFonts w:hint="default" w:cs="Times New Roman"/>
          <w:sz w:val="24"/>
          <w:szCs w:val="24"/>
          <w:lang w:val="en-US" w:eastAsia="zh-CN"/>
        </w:rPr>
      </w:pPr>
      <w:r>
        <w:rPr>
          <w:rFonts w:hint="default" w:cs="Times New Roman"/>
          <w:sz w:val="24"/>
          <w:szCs w:val="24"/>
          <w:lang w:val="en-US" w:eastAsia="zh-CN"/>
        </w:rPr>
        <w:drawing>
          <wp:inline distT="0" distB="0" distL="114300" distR="114300">
            <wp:extent cx="5638800" cy="7534910"/>
            <wp:effectExtent l="0" t="0" r="0" b="8890"/>
            <wp:docPr id="14" name="图片 14" descr="完整条带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完整条带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7534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r:id="rId6" w:type="first"/>
      <w:footerReference r:id="rId7" w:type="default"/>
      <w:headerReference r:id="rId5" w:type="even"/>
      <w:footerReference r:id="rId8" w:type="even"/>
      <w:pgSz w:w="12240" w:h="15840"/>
      <w:pgMar w:top="1138" w:right="1181" w:bottom="1138" w:left="1282" w:header="720" w:footer="720" w:gutter="0"/>
      <w:cols w:space="720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b/>
        <w:sz w:val="20"/>
        <w:szCs w:val="24"/>
      </w:rPr>
    </w:pPr>
    <w:r>
      <w:rPr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3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56" o:spid="_x0000_s1026" o:spt="202" type="#_x0000_t202" style="position:absolute;left:0pt;margin-left:434.15pt;margin-top:726.5pt;height:31.15pt;width:118.8pt;mso-position-horizontal-relative:page;mso-position-vertical-relative:page;z-index:251659264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RAcAODMCAAB1BAAADgAAAGRycy9lMm9Eb2MueG1srVRNb9swDL0P&#10;2H8QdF/spEnaBnGKrEGGAcVaoC12VmQ5NqCvSUrs7tfvSXbSotuhh10ciqQe+R6pLG86JclRON8Y&#10;XdDxKKdEaG7KRu8L+vy0/XJFiQ9Ml0waLQr6Ijy9WX3+tGztQkxMbWQpHAGI9ovWFrQOwS6yzPNa&#10;KOZHxgqNYGWcYgFHt89Kx1qgK5lN8nyetcaV1hkuvId30wfpgOg+AmiqquFiY/hBCR16VCckC6Dk&#10;68Z6ukrdVpXg4b6qvAhEFhRMQ/qiCOxd/GarJVvsHbN1w4cW2EdaeMdJsUaj6BlqwwIjB9f8BaUa&#10;7ow3VRhxo7KeSFIELMb5O20ea2ZF4gKpvT2L7v8fLP9xfHCkKQs6m1OimcLEn0QXyFfTEbigT2v9&#10;AmmPFomhgx9bc/J7OCPtrnIq/oIQQRzqvpzVjWg8XprlV5dzhDhiF9ezeT6LMNnrbet8+CaMItEo&#10;qMP0kqjseOdDn3pKicW02TZSpglKTdqCzi9mebpwjgBc6pgr0i4MMJFR33m0QrfrBpo7U76ApTP9&#10;nnjLtw1auWM+PDCHxUD3eDrhHp9KGpQ0g0VJbdzvf/ljPuaFKCUtFq2g/teBOUGJ/K4xyevxdArY&#10;kA7T2eUEB/c2snsb0Qd1a7DLYzxSy5MZ84M8mZUz6ide2DpWRYhpjtoFDSfzNvTrjxfKxXqdkrCL&#10;loU7/Wh5hI6Cebs+BAicdI8y9dpgXvGAbUyTG15OXPe355T1+m+x+g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MV0Qi0gAAAAQBAAAPAAAAAAAAAAEAIAAAACIAAABkcnMvZG93bnJldi54bWxQSwEC&#10;FAAUAAAACACHTuJARAcAODMCAAB1BAAADgAAAAAAAAABACAAAAAhAQAAZHJzL2Uyb0RvYy54bWxQ&#10;SwUGAAAAAAYABgBZAQAAxgUAAAAA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3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color w:val="C00000"/>
        <w:szCs w:val="24"/>
      </w:rPr>
    </w:pPr>
    <w:r>
      <w:rPr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434.15pt;margin-top:724.2pt;height:31.15pt;width:118.8pt;mso-position-horizontal-relative:page;mso-position-vertical-relative:page;z-index:251660288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WxHV8TECAABzBAAADgAAAGRycy9lMm9Eb2MueG1srVRNb9swDL0P&#10;2H8QdF/stEnaBnWKrEGGAcFaIC12VmS5NqCvSUrs7NfvSXbSotuhh10ciqQe+R6p3N51SpKDcL4x&#10;uqDjUU6J0NyUjX4p6PPT+ss1JT4wXTJptCjoUXh6t/j86ba1c3FhaiNL4QhAtJ+3tqB1CHaeZZ7X&#10;QjE/MlZoBCvjFAs4upesdKwFupLZRZ7Psta40jrDhffwrvogHRDdRwBNVTVcrAzfK6FDj+qEZAGU&#10;fN1YTxep26oSPDxUlReByIKCaUhfFIG9i99sccvmL47ZuuFDC+wjLbzjpFijUfQMtWKBkb1r/oJS&#10;DXfGmyqMuFFZTyQpAhbj/J0225pZkbhAam/Povv/B8t/HB4daUpsAiWaKQz8SXSBfDUdGUd1Wuvn&#10;SNpapIUO7pg5+D2ckXRXORV/QYcgDm2PZ20jGI+Xpvn11QwhjtjlzXSWTyNM9nrbOh++CaNINArq&#10;MLskKTtsfOhTTymxmDbrRkr42Vxq0hZ0djnN04VzBOBSxwSRNmGAiYz6zqMVul030NmZ8giWzvRb&#10;4i1fN2hlw3x4ZA5rge7xcMIDPpU0KGkGi5LauN//8sd8TAtRSlqsWUH9rz1zghL5XWOON+PJBLAh&#10;HSbTqwsc3NvI7m1E79W9wSZjVugumTE/yJNZOaN+4n0tY1WEmOaoXdBwMu9Dv/x4n1wslykJm2hZ&#10;2Oit5RE6Cubtch8gcNI9ytRrg3nFA3YxTW54N3HZ355T1ut/xeI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TFdEItIAAAAEAQAADwAAAAAAAAABACAAAAAiAAAAZHJzL2Rvd25yZXYueG1sUEsBAhQA&#10;FAAAAAgAh07iQFsR1fExAgAAcwQAAA4AAAAAAAAAAQAgAAAAI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cs="Times New Roman"/>
      </w:rPr>
    </w:pPr>
    <w:r>
      <w:rPr>
        <w:rFonts w:cs="Times New Roman"/>
      </w:rPr>
      <w:ptab w:relativeTo="margin" w:alignment="center" w:leader="none"/>
    </w:r>
    <w:r>
      <w:rPr>
        <w:rFonts w:cs="Times New Roman"/>
      </w:rPr>
      <w:ptab w:relativeTo="margin" w:alignment="right" w:leader="none"/>
    </w:r>
    <w:r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C0601A"/>
    <w:multiLevelType w:val="multilevel"/>
    <w:tmpl w:val="1EC0601A"/>
    <w:lvl w:ilvl="0" w:tentative="0">
      <w:start w:val="1"/>
      <w:numFmt w:val="decimal"/>
      <w:pStyle w:val="2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pStyle w:val="6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pStyle w:val="7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>
    <w:nsid w:val="225305B5"/>
    <w:multiLevelType w:val="multilevel"/>
    <w:tmpl w:val="225305B5"/>
    <w:lvl w:ilvl="0" w:tentative="0">
      <w:start w:val="1"/>
      <w:numFmt w:val="bullet"/>
      <w:pStyle w:val="3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720"/>
  <w:evenAndOddHeaders w:val="1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balanceSingleByteDoubleByteWidth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dmODA3MTE5Y2U2MWI3Y2ViNTVmMjIyMWY3Y2M2MzAifQ=="/>
  </w:docVars>
  <w:rsids>
    <w:rsidRoot w:val="00803D24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267D18"/>
    <w:rsid w:val="002868E2"/>
    <w:rsid w:val="002869C3"/>
    <w:rsid w:val="002936E4"/>
    <w:rsid w:val="002B4A57"/>
    <w:rsid w:val="002C74CA"/>
    <w:rsid w:val="003544FB"/>
    <w:rsid w:val="003D2D47"/>
    <w:rsid w:val="003D2F2D"/>
    <w:rsid w:val="00401590"/>
    <w:rsid w:val="00447801"/>
    <w:rsid w:val="00452E9C"/>
    <w:rsid w:val="004735C8"/>
    <w:rsid w:val="004961FF"/>
    <w:rsid w:val="00517A89"/>
    <w:rsid w:val="005250F2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C206C"/>
    <w:rsid w:val="00803D24"/>
    <w:rsid w:val="00817DD6"/>
    <w:rsid w:val="0085245D"/>
    <w:rsid w:val="00885156"/>
    <w:rsid w:val="009151AA"/>
    <w:rsid w:val="0093429D"/>
    <w:rsid w:val="00943573"/>
    <w:rsid w:val="00970F7D"/>
    <w:rsid w:val="00994A3D"/>
    <w:rsid w:val="009C2B12"/>
    <w:rsid w:val="009C70F3"/>
    <w:rsid w:val="00A174D9"/>
    <w:rsid w:val="00A569CD"/>
    <w:rsid w:val="00AB5EE2"/>
    <w:rsid w:val="00AB6715"/>
    <w:rsid w:val="00B1671E"/>
    <w:rsid w:val="00B25EB8"/>
    <w:rsid w:val="00B354E1"/>
    <w:rsid w:val="00B37F4D"/>
    <w:rsid w:val="00C52A7B"/>
    <w:rsid w:val="00C56BAF"/>
    <w:rsid w:val="00C679AA"/>
    <w:rsid w:val="00C75972"/>
    <w:rsid w:val="00CC0A3A"/>
    <w:rsid w:val="00CD066B"/>
    <w:rsid w:val="00CE4FEE"/>
    <w:rsid w:val="00DB59C3"/>
    <w:rsid w:val="00DC259A"/>
    <w:rsid w:val="00DE23E8"/>
    <w:rsid w:val="00E52377"/>
    <w:rsid w:val="00E64E17"/>
    <w:rsid w:val="00E866C9"/>
    <w:rsid w:val="00EA3D3C"/>
    <w:rsid w:val="00F46900"/>
    <w:rsid w:val="00F61D89"/>
    <w:rsid w:val="02312950"/>
    <w:rsid w:val="04434F76"/>
    <w:rsid w:val="044B5ACE"/>
    <w:rsid w:val="08412974"/>
    <w:rsid w:val="08DB2913"/>
    <w:rsid w:val="0E5A3C89"/>
    <w:rsid w:val="0F7722CF"/>
    <w:rsid w:val="165430B9"/>
    <w:rsid w:val="167B790C"/>
    <w:rsid w:val="190E15C2"/>
    <w:rsid w:val="20BD685C"/>
    <w:rsid w:val="21DD5B8D"/>
    <w:rsid w:val="253B1474"/>
    <w:rsid w:val="29784072"/>
    <w:rsid w:val="33F4372E"/>
    <w:rsid w:val="34F37E7E"/>
    <w:rsid w:val="3627310D"/>
    <w:rsid w:val="36C77E76"/>
    <w:rsid w:val="3EB06FBA"/>
    <w:rsid w:val="4DF84263"/>
    <w:rsid w:val="4F0F1789"/>
    <w:rsid w:val="53CB3001"/>
    <w:rsid w:val="5DF27A4A"/>
    <w:rsid w:val="65FB7330"/>
    <w:rsid w:val="67B31CE5"/>
    <w:rsid w:val="6F353C86"/>
    <w:rsid w:val="70835897"/>
    <w:rsid w:val="750E49C4"/>
    <w:rsid w:val="7534563F"/>
    <w:rsid w:val="7A4E15EA"/>
    <w:rsid w:val="7C3E3C5A"/>
    <w:rsid w:val="7F052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2" w:semiHidden="0" w:name="heading 1"/>
    <w:lsdException w:qFormat="1" w:unhideWhenUsed="0" w:uiPriority="2" w:semiHidden="0" w:name="heading 2"/>
    <w:lsdException w:qFormat="1" w:unhideWhenUsed="0" w:uiPriority="2" w:semiHidden="0" w:name="heading 3"/>
    <w:lsdException w:qFormat="1" w:unhideWhenUsed="0" w:uiPriority="2" w:semiHidden="0" w:name="heading 4"/>
    <w:lsdException w:qFormat="1" w:unhideWhenUsed="0" w:uiPriority="2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4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paragraph" w:styleId="2">
    <w:name w:val="heading 1"/>
    <w:basedOn w:val="3"/>
    <w:next w:val="1"/>
    <w:link w:val="31"/>
    <w:qFormat/>
    <w:uiPriority w:val="2"/>
    <w:pPr>
      <w:numPr>
        <w:ilvl w:val="0"/>
        <w:numId w:val="1"/>
      </w:numPr>
      <w:spacing w:before="240"/>
      <w:contextualSpacing w:val="0"/>
      <w:outlineLvl w:val="0"/>
    </w:pPr>
    <w:rPr>
      <w:b/>
    </w:rPr>
  </w:style>
  <w:style w:type="paragraph" w:styleId="4">
    <w:name w:val="heading 2"/>
    <w:basedOn w:val="2"/>
    <w:next w:val="1"/>
    <w:link w:val="32"/>
    <w:autoRedefine/>
    <w:qFormat/>
    <w:uiPriority w:val="2"/>
    <w:pPr>
      <w:numPr>
        <w:ilvl w:val="1"/>
      </w:numPr>
      <w:spacing w:after="200"/>
      <w:outlineLvl w:val="1"/>
    </w:pPr>
  </w:style>
  <w:style w:type="paragraph" w:styleId="5">
    <w:name w:val="heading 3"/>
    <w:basedOn w:val="1"/>
    <w:next w:val="1"/>
    <w:link w:val="45"/>
    <w:autoRedefine/>
    <w:qFormat/>
    <w:uiPriority w:val="2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6">
    <w:name w:val="heading 4"/>
    <w:basedOn w:val="5"/>
    <w:next w:val="1"/>
    <w:link w:val="46"/>
    <w:autoRedefine/>
    <w:qFormat/>
    <w:uiPriority w:val="2"/>
    <w:pPr>
      <w:numPr>
        <w:ilvl w:val="3"/>
      </w:numPr>
      <w:outlineLvl w:val="3"/>
    </w:pPr>
    <w:rPr>
      <w:iCs/>
    </w:rPr>
  </w:style>
  <w:style w:type="paragraph" w:styleId="7">
    <w:name w:val="heading 5"/>
    <w:basedOn w:val="6"/>
    <w:next w:val="1"/>
    <w:link w:val="47"/>
    <w:autoRedefine/>
    <w:qFormat/>
    <w:uiPriority w:val="2"/>
    <w:pPr>
      <w:numPr>
        <w:ilvl w:val="4"/>
      </w:numPr>
      <w:outlineLvl w:val="4"/>
    </w:pPr>
  </w:style>
  <w:style w:type="character" w:default="1" w:styleId="22">
    <w:name w:val="Default Paragraph Font"/>
    <w:autoRedefine/>
    <w:semiHidden/>
    <w:unhideWhenUsed/>
    <w:qFormat/>
    <w:uiPriority w:val="1"/>
  </w:style>
  <w:style w:type="table" w:default="1" w:styleId="20">
    <w:name w:val="Normal Table"/>
    <w:autoRedefine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autoRedefine/>
    <w:qFormat/>
    <w:uiPriority w:val="3"/>
    <w:pPr>
      <w:numPr>
        <w:ilvl w:val="0"/>
        <w:numId w:val="2"/>
      </w:numPr>
      <w:contextualSpacing/>
    </w:pPr>
    <w:rPr>
      <w:rFonts w:eastAsia="Cambria" w:cs="Times New Roman"/>
      <w:szCs w:val="24"/>
    </w:rPr>
  </w:style>
  <w:style w:type="paragraph" w:styleId="8">
    <w:name w:val="caption"/>
    <w:basedOn w:val="1"/>
    <w:next w:val="9"/>
    <w:autoRedefine/>
    <w:unhideWhenUsed/>
    <w:qFormat/>
    <w:uiPriority w:val="35"/>
    <w:pPr>
      <w:keepNext/>
    </w:pPr>
    <w:rPr>
      <w:rFonts w:cs="Times New Roman"/>
      <w:b/>
      <w:bCs/>
      <w:szCs w:val="24"/>
    </w:rPr>
  </w:style>
  <w:style w:type="paragraph" w:styleId="9">
    <w:name w:val="No Spacing"/>
    <w:autoRedefine/>
    <w:unhideWhenUsed/>
    <w:qFormat/>
    <w:uiPriority w:val="99"/>
    <w:pPr>
      <w:spacing w:after="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paragraph" w:styleId="10">
    <w:name w:val="annotation text"/>
    <w:basedOn w:val="1"/>
    <w:link w:val="37"/>
    <w:autoRedefine/>
    <w:semiHidden/>
    <w:unhideWhenUsed/>
    <w:qFormat/>
    <w:uiPriority w:val="99"/>
    <w:rPr>
      <w:sz w:val="20"/>
      <w:szCs w:val="20"/>
    </w:rPr>
  </w:style>
  <w:style w:type="paragraph" w:styleId="11">
    <w:name w:val="endnote text"/>
    <w:basedOn w:val="1"/>
    <w:link w:val="39"/>
    <w:autoRedefine/>
    <w:semiHidden/>
    <w:unhideWhenUsed/>
    <w:qFormat/>
    <w:uiPriority w:val="99"/>
    <w:pPr>
      <w:spacing w:after="0"/>
    </w:pPr>
    <w:rPr>
      <w:sz w:val="20"/>
      <w:szCs w:val="20"/>
    </w:rPr>
  </w:style>
  <w:style w:type="paragraph" w:styleId="12">
    <w:name w:val="Balloon Text"/>
    <w:basedOn w:val="1"/>
    <w:link w:val="35"/>
    <w:autoRedefine/>
    <w:semiHidden/>
    <w:unhideWhenUsed/>
    <w:qFormat/>
    <w:uiPriority w:val="99"/>
    <w:pPr>
      <w:spacing w:after="0"/>
    </w:pPr>
    <w:rPr>
      <w:rFonts w:ascii="Tahoma" w:hAnsi="Tahoma" w:cs="Tahoma"/>
      <w:sz w:val="16"/>
      <w:szCs w:val="16"/>
    </w:rPr>
  </w:style>
  <w:style w:type="paragraph" w:styleId="13">
    <w:name w:val="footer"/>
    <w:basedOn w:val="1"/>
    <w:link w:val="40"/>
    <w:autoRedefine/>
    <w:unhideWhenUsed/>
    <w:qFormat/>
    <w:uiPriority w:val="99"/>
    <w:pPr>
      <w:tabs>
        <w:tab w:val="center" w:pos="4844"/>
        <w:tab w:val="right" w:pos="9689"/>
      </w:tabs>
      <w:spacing w:after="0"/>
    </w:pPr>
  </w:style>
  <w:style w:type="paragraph" w:styleId="14">
    <w:name w:val="header"/>
    <w:basedOn w:val="1"/>
    <w:link w:val="42"/>
    <w:autoRedefine/>
    <w:unhideWhenUsed/>
    <w:qFormat/>
    <w:uiPriority w:val="99"/>
    <w:pPr>
      <w:tabs>
        <w:tab w:val="center" w:pos="4844"/>
        <w:tab w:val="right" w:pos="9689"/>
      </w:tabs>
    </w:pPr>
    <w:rPr>
      <w:b/>
    </w:rPr>
  </w:style>
  <w:style w:type="paragraph" w:styleId="15">
    <w:name w:val="Subtitle"/>
    <w:basedOn w:val="1"/>
    <w:next w:val="1"/>
    <w:link w:val="33"/>
    <w:autoRedefine/>
    <w:unhideWhenUsed/>
    <w:qFormat/>
    <w:uiPriority w:val="99"/>
    <w:pPr>
      <w:spacing w:before="240"/>
    </w:pPr>
    <w:rPr>
      <w:rFonts w:cs="Times New Roman"/>
      <w:b/>
      <w:szCs w:val="24"/>
    </w:rPr>
  </w:style>
  <w:style w:type="paragraph" w:styleId="16">
    <w:name w:val="footnote text"/>
    <w:basedOn w:val="1"/>
    <w:link w:val="41"/>
    <w:autoRedefine/>
    <w:semiHidden/>
    <w:unhideWhenUsed/>
    <w:qFormat/>
    <w:uiPriority w:val="99"/>
    <w:pPr>
      <w:spacing w:after="0"/>
    </w:pPr>
    <w:rPr>
      <w:sz w:val="20"/>
      <w:szCs w:val="20"/>
    </w:rPr>
  </w:style>
  <w:style w:type="paragraph" w:styleId="17">
    <w:name w:val="Normal (Web)"/>
    <w:basedOn w:val="1"/>
    <w:autoRedefine/>
    <w:unhideWhenUsed/>
    <w:qFormat/>
    <w:uiPriority w:val="99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18">
    <w:name w:val="Title"/>
    <w:basedOn w:val="1"/>
    <w:next w:val="1"/>
    <w:link w:val="51"/>
    <w:autoRedefine/>
    <w:qFormat/>
    <w:uiPriority w:val="0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paragraph" w:styleId="19">
    <w:name w:val="annotation subject"/>
    <w:basedOn w:val="10"/>
    <w:next w:val="10"/>
    <w:link w:val="38"/>
    <w:autoRedefine/>
    <w:semiHidden/>
    <w:unhideWhenUsed/>
    <w:qFormat/>
    <w:uiPriority w:val="99"/>
    <w:rPr>
      <w:b/>
      <w:bCs/>
    </w:rPr>
  </w:style>
  <w:style w:type="table" w:styleId="21">
    <w:name w:val="Table Grid"/>
    <w:basedOn w:val="20"/>
    <w:autoRedefine/>
    <w:qFormat/>
    <w:uiPriority w:val="59"/>
    <w:pPr>
      <w:spacing w:after="0" w:line="240" w:lineRule="auto"/>
    </w:pPr>
    <w:rPr>
      <w:rFonts w:asciiTheme="majorHAnsi" w:hAnsiTheme="majorHAns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Strong"/>
    <w:basedOn w:val="22"/>
    <w:autoRedefine/>
    <w:qFormat/>
    <w:uiPriority w:val="22"/>
    <w:rPr>
      <w:rFonts w:ascii="Times New Roman" w:hAnsi="Times New Roman"/>
      <w:b/>
      <w:bCs/>
    </w:rPr>
  </w:style>
  <w:style w:type="character" w:styleId="24">
    <w:name w:val="endnote reference"/>
    <w:basedOn w:val="22"/>
    <w:autoRedefine/>
    <w:semiHidden/>
    <w:unhideWhenUsed/>
    <w:qFormat/>
    <w:uiPriority w:val="99"/>
    <w:rPr>
      <w:vertAlign w:val="superscript"/>
    </w:rPr>
  </w:style>
  <w:style w:type="character" w:styleId="25">
    <w:name w:val="FollowedHyperlink"/>
    <w:basedOn w:val="22"/>
    <w:autoRedefine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26">
    <w:name w:val="Emphasis"/>
    <w:basedOn w:val="22"/>
    <w:autoRedefine/>
    <w:qFormat/>
    <w:uiPriority w:val="20"/>
    <w:rPr>
      <w:rFonts w:ascii="Times New Roman" w:hAnsi="Times New Roman"/>
      <w:i/>
      <w:iCs/>
    </w:rPr>
  </w:style>
  <w:style w:type="character" w:styleId="27">
    <w:name w:val="line number"/>
    <w:basedOn w:val="22"/>
    <w:autoRedefine/>
    <w:semiHidden/>
    <w:unhideWhenUsed/>
    <w:qFormat/>
    <w:uiPriority w:val="99"/>
  </w:style>
  <w:style w:type="character" w:styleId="28">
    <w:name w:val="Hyperlink"/>
    <w:basedOn w:val="22"/>
    <w:autoRedefine/>
    <w:unhideWhenUsed/>
    <w:qFormat/>
    <w:uiPriority w:val="99"/>
    <w:rPr>
      <w:color w:val="0000FF"/>
      <w:u w:val="single"/>
    </w:rPr>
  </w:style>
  <w:style w:type="character" w:styleId="29">
    <w:name w:val="annotation reference"/>
    <w:basedOn w:val="22"/>
    <w:autoRedefine/>
    <w:semiHidden/>
    <w:unhideWhenUsed/>
    <w:qFormat/>
    <w:uiPriority w:val="99"/>
    <w:rPr>
      <w:sz w:val="16"/>
      <w:szCs w:val="16"/>
    </w:rPr>
  </w:style>
  <w:style w:type="character" w:styleId="30">
    <w:name w:val="footnote reference"/>
    <w:basedOn w:val="22"/>
    <w:autoRedefine/>
    <w:semiHidden/>
    <w:unhideWhenUsed/>
    <w:qFormat/>
    <w:uiPriority w:val="99"/>
    <w:rPr>
      <w:vertAlign w:val="superscript"/>
    </w:rPr>
  </w:style>
  <w:style w:type="character" w:customStyle="1" w:styleId="31">
    <w:name w:val="Heading 1 Char"/>
    <w:basedOn w:val="22"/>
    <w:link w:val="2"/>
    <w:autoRedefine/>
    <w:qFormat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2">
    <w:name w:val="Heading 2 Char"/>
    <w:basedOn w:val="22"/>
    <w:link w:val="4"/>
    <w:autoRedefine/>
    <w:qFormat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3">
    <w:name w:val="Subtitle Char"/>
    <w:basedOn w:val="22"/>
    <w:link w:val="15"/>
    <w:autoRedefine/>
    <w:qFormat/>
    <w:uiPriority w:val="99"/>
    <w:rPr>
      <w:rFonts w:ascii="Times New Roman" w:hAnsi="Times New Roman" w:cs="Times New Roman"/>
      <w:b/>
      <w:sz w:val="24"/>
      <w:szCs w:val="24"/>
    </w:rPr>
  </w:style>
  <w:style w:type="paragraph" w:customStyle="1" w:styleId="34">
    <w:name w:val="Author List"/>
    <w:basedOn w:val="15"/>
    <w:next w:val="1"/>
    <w:autoRedefine/>
    <w:qFormat/>
    <w:uiPriority w:val="1"/>
  </w:style>
  <w:style w:type="character" w:customStyle="1" w:styleId="35">
    <w:name w:val="Balloon Text Char"/>
    <w:basedOn w:val="22"/>
    <w:link w:val="12"/>
    <w:autoRedefine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36">
    <w:name w:val="Book Title"/>
    <w:basedOn w:val="22"/>
    <w:autoRedefine/>
    <w:qFormat/>
    <w:uiPriority w:val="33"/>
    <w:rPr>
      <w:rFonts w:ascii="Times New Roman" w:hAnsi="Times New Roman"/>
      <w:b/>
      <w:bCs/>
      <w:i/>
      <w:iCs/>
      <w:spacing w:val="5"/>
    </w:rPr>
  </w:style>
  <w:style w:type="character" w:customStyle="1" w:styleId="37">
    <w:name w:val="Comment Text Char"/>
    <w:basedOn w:val="22"/>
    <w:link w:val="10"/>
    <w:autoRedefine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38">
    <w:name w:val="Comment Subject Char"/>
    <w:basedOn w:val="37"/>
    <w:link w:val="19"/>
    <w:autoRedefine/>
    <w:semiHidden/>
    <w:qFormat/>
    <w:uiPriority w:val="99"/>
    <w:rPr>
      <w:rFonts w:ascii="Times New Roman" w:hAnsi="Times New Roman"/>
      <w:b/>
      <w:bCs/>
      <w:sz w:val="20"/>
      <w:szCs w:val="20"/>
    </w:rPr>
  </w:style>
  <w:style w:type="character" w:customStyle="1" w:styleId="39">
    <w:name w:val="Endnote Text Char"/>
    <w:basedOn w:val="22"/>
    <w:link w:val="11"/>
    <w:autoRedefine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40">
    <w:name w:val="Footer Char"/>
    <w:basedOn w:val="22"/>
    <w:link w:val="13"/>
    <w:autoRedefine/>
    <w:qFormat/>
    <w:uiPriority w:val="99"/>
    <w:rPr>
      <w:rFonts w:ascii="Times New Roman" w:hAnsi="Times New Roman"/>
      <w:sz w:val="24"/>
    </w:rPr>
  </w:style>
  <w:style w:type="character" w:customStyle="1" w:styleId="41">
    <w:name w:val="Footnote Text Char"/>
    <w:basedOn w:val="22"/>
    <w:link w:val="16"/>
    <w:autoRedefine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42">
    <w:name w:val="Header Char"/>
    <w:basedOn w:val="22"/>
    <w:link w:val="14"/>
    <w:autoRedefine/>
    <w:qFormat/>
    <w:uiPriority w:val="99"/>
    <w:rPr>
      <w:rFonts w:ascii="Times New Roman" w:hAnsi="Times New Roman"/>
      <w:b/>
      <w:sz w:val="24"/>
    </w:rPr>
  </w:style>
  <w:style w:type="character" w:customStyle="1" w:styleId="43">
    <w:name w:val="Intense Emphasis"/>
    <w:basedOn w:val="22"/>
    <w:autoRedefine/>
    <w:unhideWhenUsed/>
    <w:qFormat/>
    <w:uiPriority w:val="21"/>
    <w:rPr>
      <w:rFonts w:ascii="Times New Roman" w:hAnsi="Times New Roman"/>
      <w:i/>
      <w:iCs/>
      <w:color w:val="auto"/>
    </w:rPr>
  </w:style>
  <w:style w:type="character" w:customStyle="1" w:styleId="44">
    <w:name w:val="Intense Reference"/>
    <w:basedOn w:val="22"/>
    <w:autoRedefine/>
    <w:qFormat/>
    <w:uiPriority w:val="32"/>
    <w:rPr>
      <w:b/>
      <w:bCs/>
      <w:smallCaps/>
      <w:color w:val="auto"/>
      <w:spacing w:val="5"/>
    </w:rPr>
  </w:style>
  <w:style w:type="character" w:customStyle="1" w:styleId="45">
    <w:name w:val="Heading 3 Char"/>
    <w:basedOn w:val="22"/>
    <w:link w:val="5"/>
    <w:autoRedefine/>
    <w:qFormat/>
    <w:uiPriority w:val="2"/>
    <w:rPr>
      <w:rFonts w:ascii="Times New Roman" w:hAnsi="Times New Roman" w:eastAsiaTheme="majorEastAsia" w:cstheme="majorBidi"/>
      <w:b/>
      <w:sz w:val="24"/>
      <w:szCs w:val="24"/>
    </w:rPr>
  </w:style>
  <w:style w:type="character" w:customStyle="1" w:styleId="46">
    <w:name w:val="Heading 4 Char"/>
    <w:basedOn w:val="22"/>
    <w:link w:val="6"/>
    <w:autoRedefine/>
    <w:qFormat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character" w:customStyle="1" w:styleId="47">
    <w:name w:val="Heading 5 Char"/>
    <w:basedOn w:val="22"/>
    <w:link w:val="7"/>
    <w:autoRedefine/>
    <w:qFormat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paragraph" w:styleId="48">
    <w:name w:val="Quote"/>
    <w:basedOn w:val="1"/>
    <w:next w:val="1"/>
    <w:link w:val="49"/>
    <w:autoRedefine/>
    <w:qFormat/>
    <w:uiPriority w:val="2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9">
    <w:name w:val="Quote Char"/>
    <w:basedOn w:val="22"/>
    <w:link w:val="48"/>
    <w:autoRedefine/>
    <w:qFormat/>
    <w:uiPriority w:val="29"/>
    <w:rPr>
      <w:rFonts w:ascii="Times New Roman" w:hAnsi="Times New Roman"/>
      <w:i/>
      <w:iCs/>
      <w:color w:val="404040" w:themeColor="text1" w:themeTint="BF"/>
      <w:sz w:val="24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0">
    <w:name w:val="Subtle Emphasis"/>
    <w:basedOn w:val="22"/>
    <w:autoRedefine/>
    <w:qFormat/>
    <w:uiPriority w:val="19"/>
    <w:rPr>
      <w:rFonts w:ascii="Times New Roman" w:hAnsi="Times New Roman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1">
    <w:name w:val="Title Char"/>
    <w:basedOn w:val="22"/>
    <w:link w:val="18"/>
    <w:autoRedefine/>
    <w:qFormat/>
    <w:uiPriority w:val="0"/>
    <w:rPr>
      <w:rFonts w:ascii="Times New Roman" w:hAnsi="Times New Roman" w:cs="Times New Roman"/>
      <w:b/>
      <w:sz w:val="32"/>
      <w:szCs w:val="32"/>
    </w:rPr>
  </w:style>
  <w:style w:type="paragraph" w:customStyle="1" w:styleId="52">
    <w:name w:val="Supplementary Material"/>
    <w:basedOn w:val="18"/>
    <w:next w:val="18"/>
    <w:autoRedefine/>
    <w:qFormat/>
    <w:uiPriority w:val="0"/>
    <w:pPr>
      <w:spacing w:after="120"/>
    </w:pPr>
    <w:rPr>
      <w:i/>
    </w:rPr>
  </w:style>
  <w:style w:type="paragraph" w:customStyle="1" w:styleId="53">
    <w:name w:val="Revision"/>
    <w:autoRedefine/>
    <w:hidden/>
    <w:semiHidden/>
    <w:qFormat/>
    <w:uiPriority w:val="99"/>
    <w:pPr>
      <w:spacing w:after="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table" w:customStyle="1" w:styleId="54">
    <w:name w:val="三线表"/>
    <w:basedOn w:val="2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sz w:val="20"/>
      <w:szCs w:val="20"/>
    </w:rPr>
    <w:tblPr>
      <w:tblBorders>
        <w:top w:val="single" w:color="auto" w:sz="12" w:space="0"/>
        <w:bottom w:val="single" w:color="auto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12" w:space="0"/>
        <w:left w:val="nil"/>
        <w:bottom w:val="single" w:color="auto" w:sz="12" w:space="0"/>
        <w:right w:val="nil"/>
      </w:tcBorders>
    </w:tcPr>
    <w:tblStylePr w:type="firstRow">
      <w:tcPr>
        <w:tcBorders>
          <w:bottom w:val="single" w:color="auto" w:sz="4" w:space="0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customXml" Target="../customXml/item6.xml"/><Relationship Id="rId23" Type="http://schemas.openxmlformats.org/officeDocument/2006/relationships/customXml" Target="../customXml/item5.xml"/><Relationship Id="rId22" Type="http://schemas.openxmlformats.org/officeDocument/2006/relationships/customXml" Target="../customXml/item4.xml"/><Relationship Id="rId21" Type="http://schemas.openxmlformats.org/officeDocument/2006/relationships/customXml" Target="../customXml/item3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8.tiff"/><Relationship Id="rId16" Type="http://schemas.openxmlformats.org/officeDocument/2006/relationships/image" Target="media/image7.tiff"/><Relationship Id="rId15" Type="http://schemas.openxmlformats.org/officeDocument/2006/relationships/image" Target="media/image6.tiff"/><Relationship Id="rId14" Type="http://schemas.openxmlformats.org/officeDocument/2006/relationships/image" Target="media/image5.tiff"/><Relationship Id="rId13" Type="http://schemas.openxmlformats.org/officeDocument/2006/relationships/image" Target="media/image4.tiff"/><Relationship Id="rId12" Type="http://schemas.openxmlformats.org/officeDocument/2006/relationships/image" Target="media/image3.tiff"/><Relationship Id="rId11" Type="http://schemas.openxmlformats.org/officeDocument/2006/relationships/image" Target="media/image2.tiff"/><Relationship Id="rId10" Type="http://schemas.openxmlformats.org/officeDocument/2006/relationships/image" Target="media/image1.tiff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6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FF441E3-103C-4487-877D-08CD22337C19}">
  <ds:schemaRefs/>
</ds:datastoreItem>
</file>

<file path=customXml/itemProps3.xml><?xml version="1.0" encoding="utf-8"?>
<ds:datastoreItem xmlns:ds="http://schemas.openxmlformats.org/officeDocument/2006/customXml" ds:itemID="{114314AF-3C36-4C2C-B599-40A76C6FFFC1}">
  <ds:schemaRefs/>
</ds:datastoreItem>
</file>

<file path=customXml/itemProps4.xml><?xml version="1.0" encoding="utf-8"?>
<ds:datastoreItem xmlns:ds="http://schemas.openxmlformats.org/officeDocument/2006/customXml" ds:itemID="{2558679B-78FB-42CD-A1EA-A99096AF5568}">
  <ds:schemaRefs/>
</ds:datastoreItem>
</file>

<file path=customXml/itemProps5.xml><?xml version="1.0" encoding="utf-8"?>
<ds:datastoreItem xmlns:ds="http://schemas.openxmlformats.org/officeDocument/2006/customXml" ds:itemID="{4B2E0E22-D442-4EBE-AAA2-EDC8871E7B41}">
  <ds:schemaRefs/>
</ds:datastoreItem>
</file>

<file path=customXml/itemProps6.xml><?xml version="1.0" encoding="utf-8"?>
<ds:datastoreItem xmlns:ds="http://schemas.openxmlformats.org/officeDocument/2006/customXml" ds:itemID="{A3D4929F-83D0-432F-8F82-6D4423C25F5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Pages>14</Pages>
  <Words>1166</Words>
  <Characters>6856</Characters>
  <Lines>6</Lines>
  <Paragraphs>1</Paragraphs>
  <TotalTime>7</TotalTime>
  <ScaleCrop>false</ScaleCrop>
  <LinksUpToDate>false</LinksUpToDate>
  <CharactersWithSpaces>7851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2022-11-17T16:58:00Z</dcterms:created>
  <dc:creator>Frontiers</dc:creator>
  <cp:lastModifiedBy>HP</cp:lastModifiedBy>
  <cp:lastPrinted>2013-10-03T12:51:00Z</cp:lastPrinted>
  <dcterms:modified xsi:type="dcterms:W3CDTF">2024-05-26T15:07:54Z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  <property fmtid="{D5CDD505-2E9C-101B-9397-08002B2CF9AE}" pid="10" name="KSOProductBuildVer">
    <vt:lpwstr>2052-12.1.0.16929</vt:lpwstr>
  </property>
  <property fmtid="{D5CDD505-2E9C-101B-9397-08002B2CF9AE}" pid="11" name="ICV">
    <vt:lpwstr>1716B7F5B3FC4BDDAACF828F5417C6E9_13</vt:lpwstr>
  </property>
</Properties>
</file>