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E54AB" w14:textId="77777777" w:rsidR="00654E8F" w:rsidRPr="001549D3" w:rsidRDefault="00654E8F" w:rsidP="0001436A">
      <w:pPr>
        <w:pStyle w:val="SupplementaryMaterial"/>
        <w:rPr>
          <w:b w:val="0"/>
        </w:rPr>
      </w:pPr>
      <w:r w:rsidRPr="001549D3">
        <w:t>Supplementary Material</w:t>
      </w:r>
    </w:p>
    <w:p w14:paraId="2F3E5C92" w14:textId="77777777" w:rsidR="007B1802" w:rsidRPr="00376CC5" w:rsidRDefault="007B1802" w:rsidP="00F32EA7">
      <w:pPr>
        <w:pStyle w:val="aff6"/>
        <w:jc w:val="left"/>
      </w:pPr>
      <w:r w:rsidRPr="00807170">
        <w:t>Cyclic di-AMP alleviates periodontitis by activating PI3K/Akt/NrF2 pathways</w:t>
      </w:r>
    </w:p>
    <w:p w14:paraId="06720EC1" w14:textId="77777777" w:rsidR="007B1802" w:rsidRPr="00376CC5" w:rsidRDefault="007B1802" w:rsidP="007B1802">
      <w:pPr>
        <w:pStyle w:val="AuthorList"/>
      </w:pPr>
      <w:r w:rsidRPr="00807170">
        <w:t>Kaihua Luo</w:t>
      </w:r>
      <w:r w:rsidRPr="00A545C6">
        <w:rPr>
          <w:vertAlign w:val="superscript"/>
        </w:rPr>
        <w:t>1</w:t>
      </w:r>
      <w:r>
        <w:rPr>
          <w:rFonts w:hint="eastAsia"/>
          <w:vertAlign w:val="superscript"/>
          <w:lang w:eastAsia="zh-CN"/>
        </w:rPr>
        <w:t xml:space="preserve">, </w:t>
      </w:r>
      <w:proofErr w:type="gramStart"/>
      <w:r>
        <w:rPr>
          <w:rFonts w:hint="eastAsia"/>
          <w:vertAlign w:val="superscript"/>
          <w:lang w:eastAsia="zh-CN"/>
        </w:rPr>
        <w:t xml:space="preserve">2 </w:t>
      </w:r>
      <w:r w:rsidRPr="00376CC5">
        <w:t>,</w:t>
      </w:r>
      <w:proofErr w:type="gramEnd"/>
      <w:r w:rsidRPr="00376CC5">
        <w:t xml:space="preserve"> </w:t>
      </w:r>
      <w:proofErr w:type="spellStart"/>
      <w:r w:rsidRPr="00807170">
        <w:t>Qinrui</w:t>
      </w:r>
      <w:proofErr w:type="spellEnd"/>
      <w:r w:rsidRPr="00807170">
        <w:t xml:space="preserve"> Wu</w:t>
      </w:r>
      <w:r>
        <w:rPr>
          <w:rFonts w:hint="eastAsia"/>
          <w:vertAlign w:val="superscript"/>
          <w:lang w:eastAsia="zh-CN"/>
        </w:rPr>
        <w:t>1, 2</w:t>
      </w:r>
      <w:r w:rsidRPr="00807170">
        <w:t>, Zhengyi Li</w:t>
      </w:r>
      <w:r>
        <w:rPr>
          <w:rFonts w:hint="eastAsia"/>
          <w:vertAlign w:val="superscript"/>
          <w:lang w:eastAsia="zh-CN"/>
        </w:rPr>
        <w:t>1</w:t>
      </w:r>
      <w:r w:rsidRPr="00807170">
        <w:t xml:space="preserve">, </w:t>
      </w:r>
      <w:proofErr w:type="spellStart"/>
      <w:r w:rsidRPr="00807170">
        <w:t>Yajie</w:t>
      </w:r>
      <w:proofErr w:type="spellEnd"/>
      <w:r w:rsidRPr="00807170">
        <w:t xml:space="preserve"> Wu</w:t>
      </w:r>
      <w:r>
        <w:rPr>
          <w:rFonts w:hint="eastAsia"/>
          <w:vertAlign w:val="superscript"/>
          <w:lang w:eastAsia="zh-CN"/>
        </w:rPr>
        <w:t>1, 2</w:t>
      </w:r>
      <w:r w:rsidRPr="00807170">
        <w:t>, Zhifei Su</w:t>
      </w:r>
      <w:r>
        <w:rPr>
          <w:rFonts w:hint="eastAsia"/>
          <w:vertAlign w:val="superscript"/>
          <w:lang w:eastAsia="zh-CN"/>
        </w:rPr>
        <w:t>1, 2</w:t>
      </w:r>
      <w:r w:rsidRPr="00807170">
        <w:t xml:space="preserve">, </w:t>
      </w:r>
      <w:proofErr w:type="spellStart"/>
      <w:r w:rsidRPr="00807170">
        <w:t>Fangjie</w:t>
      </w:r>
      <w:proofErr w:type="spellEnd"/>
      <w:r w:rsidRPr="00807170">
        <w:t xml:space="preserve"> Zhou</w:t>
      </w:r>
      <w:r>
        <w:rPr>
          <w:rFonts w:hint="eastAsia"/>
          <w:vertAlign w:val="superscript"/>
          <w:lang w:eastAsia="zh-CN"/>
        </w:rPr>
        <w:t>1, 2</w:t>
      </w:r>
      <w:r w:rsidRPr="00807170">
        <w:t>, Qinyang Li</w:t>
      </w:r>
      <w:r>
        <w:rPr>
          <w:rFonts w:hint="eastAsia"/>
          <w:vertAlign w:val="superscript"/>
          <w:lang w:eastAsia="zh-CN"/>
        </w:rPr>
        <w:t>1, 2</w:t>
      </w:r>
      <w:r w:rsidRPr="00807170">
        <w:t>, Biao Ren</w:t>
      </w:r>
      <w:r>
        <w:rPr>
          <w:rFonts w:hint="eastAsia"/>
          <w:vertAlign w:val="superscript"/>
          <w:lang w:eastAsia="zh-CN"/>
        </w:rPr>
        <w:t>1</w:t>
      </w:r>
      <w:r w:rsidRPr="00807170">
        <w:t>, Yuqing Li</w:t>
      </w:r>
      <w:r>
        <w:rPr>
          <w:rFonts w:hint="eastAsia"/>
          <w:vertAlign w:val="superscript"/>
          <w:lang w:eastAsia="zh-CN"/>
        </w:rPr>
        <w:t>1</w:t>
      </w:r>
      <w:r w:rsidRPr="00807170">
        <w:t>, Jiyao Li</w:t>
      </w:r>
      <w:r>
        <w:rPr>
          <w:rFonts w:hint="eastAsia"/>
          <w:vertAlign w:val="superscript"/>
          <w:lang w:eastAsia="zh-CN"/>
        </w:rPr>
        <w:t>1, 2</w:t>
      </w:r>
      <w:r w:rsidRPr="00A545C6">
        <w:rPr>
          <w:vertAlign w:val="superscript"/>
        </w:rPr>
        <w:t>*</w:t>
      </w:r>
      <w:r w:rsidRPr="00807170">
        <w:t>, Xian Peng</w:t>
      </w:r>
      <w:r>
        <w:rPr>
          <w:rFonts w:hint="eastAsia"/>
          <w:vertAlign w:val="superscript"/>
          <w:lang w:eastAsia="zh-CN"/>
        </w:rPr>
        <w:t>1</w:t>
      </w:r>
      <w:r w:rsidRPr="00A545C6">
        <w:rPr>
          <w:vertAlign w:val="superscript"/>
        </w:rPr>
        <w:t>*</w:t>
      </w:r>
    </w:p>
    <w:p w14:paraId="60ACC10D" w14:textId="77777777" w:rsidR="007B1802" w:rsidRPr="00376CC5" w:rsidRDefault="007B1802" w:rsidP="007B1802">
      <w:pPr>
        <w:spacing w:before="240" w:after="0"/>
        <w:rPr>
          <w:rFonts w:cs="Times New Roman"/>
          <w:b/>
          <w:szCs w:val="24"/>
        </w:rPr>
      </w:pPr>
      <w:r w:rsidRPr="00376CC5">
        <w:rPr>
          <w:rFonts w:cs="Times New Roman"/>
          <w:szCs w:val="24"/>
          <w:vertAlign w:val="superscript"/>
        </w:rPr>
        <w:t>1</w:t>
      </w:r>
      <w:r w:rsidRPr="00807170">
        <w:rPr>
          <w:rFonts w:cs="Times New Roman" w:hint="eastAsia"/>
          <w:szCs w:val="24"/>
        </w:rPr>
        <w:t>State Key Laboratory of Oral Diseases &amp; National Center for Stomatology &amp; National Clinical Research Center for Oral Diseases</w:t>
      </w:r>
      <w:r>
        <w:rPr>
          <w:rFonts w:cs="Times New Roman" w:hint="eastAsia"/>
          <w:szCs w:val="24"/>
          <w:lang w:eastAsia="zh-CN"/>
        </w:rPr>
        <w:t xml:space="preserve">, </w:t>
      </w:r>
      <w:r w:rsidRPr="00807170">
        <w:rPr>
          <w:rFonts w:cs="Times New Roman" w:hint="eastAsia"/>
          <w:szCs w:val="24"/>
        </w:rPr>
        <w:t>West China Hospital of Stomatology, Sichuan University, Chengdu 610041, Sichuan, China</w:t>
      </w:r>
    </w:p>
    <w:p w14:paraId="5E76FFBD" w14:textId="77777777" w:rsidR="007B1802" w:rsidRPr="00376CC5" w:rsidRDefault="007B1802" w:rsidP="007B1802">
      <w:pPr>
        <w:spacing w:after="0"/>
        <w:rPr>
          <w:rFonts w:cs="Times New Roman"/>
          <w:b/>
          <w:szCs w:val="24"/>
        </w:rPr>
      </w:pPr>
      <w:r w:rsidRPr="00376CC5">
        <w:rPr>
          <w:rFonts w:cs="Times New Roman"/>
          <w:szCs w:val="24"/>
          <w:vertAlign w:val="superscript"/>
        </w:rPr>
        <w:t>2</w:t>
      </w:r>
      <w:r w:rsidRPr="00807170">
        <w:rPr>
          <w:rFonts w:cs="Times New Roman"/>
          <w:szCs w:val="24"/>
        </w:rPr>
        <w:t>Department of Cariology and Endodontics, West China Hospital of Stomatology, Sichuan University, Chengdu 610041, Sichuan</w:t>
      </w:r>
      <w:r>
        <w:rPr>
          <w:rFonts w:cs="Times New Roman" w:hint="eastAsia"/>
          <w:szCs w:val="24"/>
          <w:lang w:eastAsia="zh-CN"/>
        </w:rPr>
        <w:t>,</w:t>
      </w:r>
      <w:r w:rsidRPr="00807170">
        <w:rPr>
          <w:rFonts w:cs="Times New Roman"/>
          <w:szCs w:val="24"/>
        </w:rPr>
        <w:t xml:space="preserve"> China</w:t>
      </w:r>
    </w:p>
    <w:p w14:paraId="163DE4B5" w14:textId="77777777" w:rsidR="007B1802" w:rsidRPr="00376CC5" w:rsidRDefault="007B1802" w:rsidP="007B1802">
      <w:pPr>
        <w:spacing w:before="240" w:after="0"/>
        <w:rPr>
          <w:rFonts w:cs="Times New Roman"/>
          <w:b/>
          <w:szCs w:val="24"/>
        </w:rPr>
      </w:pPr>
      <w:r w:rsidRPr="00376CC5">
        <w:rPr>
          <w:rFonts w:cs="Times New Roman"/>
          <w:b/>
          <w:szCs w:val="24"/>
        </w:rPr>
        <w:t xml:space="preserve">* Correspondence: </w:t>
      </w:r>
      <w:r w:rsidRPr="00376CC5">
        <w:rPr>
          <w:rFonts w:cs="Times New Roman"/>
          <w:b/>
          <w:szCs w:val="24"/>
        </w:rPr>
        <w:br/>
      </w:r>
      <w:r w:rsidRPr="00807170">
        <w:rPr>
          <w:rFonts w:cs="Times New Roman"/>
          <w:szCs w:val="24"/>
        </w:rPr>
        <w:t>Jiyao Li,</w:t>
      </w:r>
      <w:r>
        <w:rPr>
          <w:rFonts w:cs="Times New Roman" w:hint="eastAsia"/>
          <w:szCs w:val="24"/>
          <w:lang w:eastAsia="zh-CN"/>
        </w:rPr>
        <w:t xml:space="preserve"> jiyaoliscu@163.com</w:t>
      </w:r>
      <w:r w:rsidRPr="00807170">
        <w:rPr>
          <w:rFonts w:cs="Times New Roman"/>
          <w:szCs w:val="24"/>
        </w:rPr>
        <w:t>; Xian Peng,</w:t>
      </w:r>
      <w:r>
        <w:rPr>
          <w:rFonts w:cs="Times New Roman" w:hint="eastAsia"/>
          <w:szCs w:val="24"/>
          <w:lang w:eastAsia="zh-CN"/>
        </w:rPr>
        <w:t xml:space="preserve"> </w:t>
      </w:r>
      <w:r w:rsidRPr="00807170">
        <w:rPr>
          <w:rFonts w:cs="Times New Roman"/>
          <w:szCs w:val="24"/>
        </w:rPr>
        <w:t>pengx@scu.edu.cn;</w:t>
      </w:r>
    </w:p>
    <w:p w14:paraId="29026311" w14:textId="68AE775C" w:rsidR="00EA3D3C" w:rsidRPr="00994A3D" w:rsidRDefault="007B1802" w:rsidP="0001436A">
      <w:pPr>
        <w:pStyle w:val="1"/>
      </w:pPr>
      <w:r w:rsidRPr="007B1802">
        <w:t>Materials and methods:</w:t>
      </w:r>
    </w:p>
    <w:p w14:paraId="6B580AC5" w14:textId="77777777" w:rsidR="007B1802" w:rsidRPr="006B2434" w:rsidRDefault="007B1802" w:rsidP="007B1802">
      <w:pPr>
        <w:spacing w:line="360" w:lineRule="auto"/>
        <w:rPr>
          <w:b/>
          <w:bCs/>
          <w:color w:val="000000" w:themeColor="text1"/>
          <w:szCs w:val="21"/>
          <w:lang w:bidi="ar"/>
        </w:rPr>
      </w:pPr>
      <w:r>
        <w:rPr>
          <w:b/>
          <w:bCs/>
          <w:color w:val="000000" w:themeColor="text1"/>
          <w:szCs w:val="21"/>
          <w:lang w:bidi="ar"/>
        </w:rPr>
        <w:t>R</w:t>
      </w:r>
      <w:r>
        <w:rPr>
          <w:rFonts w:hint="eastAsia"/>
          <w:b/>
          <w:bCs/>
          <w:color w:val="000000" w:themeColor="text1"/>
          <w:szCs w:val="21"/>
          <w:lang w:bidi="ar"/>
        </w:rPr>
        <w:t>eagents</w:t>
      </w:r>
    </w:p>
    <w:p w14:paraId="05E82D62" w14:textId="38E9B8D9" w:rsidR="007B1802" w:rsidRPr="007B1802" w:rsidRDefault="007B1802" w:rsidP="007B1802">
      <w:pPr>
        <w:spacing w:line="360" w:lineRule="auto"/>
        <w:rPr>
          <w:color w:val="000000" w:themeColor="text1"/>
          <w:szCs w:val="21"/>
          <w:lang w:eastAsia="zh-CN" w:bidi="ar"/>
        </w:rPr>
      </w:pPr>
      <w:r w:rsidRPr="006B2434">
        <w:rPr>
          <w:rFonts w:hint="eastAsia"/>
          <w:color w:val="000000" w:themeColor="text1"/>
          <w:szCs w:val="21"/>
          <w:lang w:bidi="ar"/>
        </w:rPr>
        <w:t xml:space="preserve">The c-di-AMP (purity </w:t>
      </w:r>
      <w:r w:rsidRPr="006B2434">
        <w:rPr>
          <w:rFonts w:hint="eastAsia"/>
          <w:color w:val="000000" w:themeColor="text1"/>
          <w:szCs w:val="21"/>
          <w:lang w:bidi="ar"/>
        </w:rPr>
        <w:t>≥</w:t>
      </w:r>
      <w:r w:rsidRPr="006B2434">
        <w:rPr>
          <w:rFonts w:hint="eastAsia"/>
          <w:color w:val="000000" w:themeColor="text1"/>
          <w:szCs w:val="21"/>
          <w:lang w:bidi="ar"/>
        </w:rPr>
        <w:t xml:space="preserve"> 98%)</w:t>
      </w:r>
      <w:r>
        <w:rPr>
          <w:color w:val="000000" w:themeColor="text1"/>
          <w:szCs w:val="21"/>
          <w:lang w:bidi="ar"/>
        </w:rPr>
        <w:t xml:space="preserve"> was</w:t>
      </w:r>
      <w:r w:rsidRPr="006B2434">
        <w:rPr>
          <w:rFonts w:hint="eastAsia"/>
          <w:color w:val="000000" w:themeColor="text1"/>
          <w:szCs w:val="21"/>
          <w:lang w:bidi="ar"/>
        </w:rPr>
        <w:t xml:space="preserve"> obtained from Sigma-Aldrich technology, Co. (Shanghai, China) and diluted in PBS for in vivo and in vitro experiments.</w:t>
      </w:r>
      <w:r w:rsidRPr="000334FC">
        <w:t xml:space="preserve"> </w:t>
      </w:r>
      <w:r w:rsidRPr="000334FC">
        <w:rPr>
          <w:color w:val="000000" w:themeColor="text1"/>
          <w:szCs w:val="21"/>
          <w:lang w:bidi="ar"/>
        </w:rPr>
        <w:t xml:space="preserve">LPS from </w:t>
      </w:r>
      <w:proofErr w:type="spellStart"/>
      <w:r w:rsidRPr="000334FC">
        <w:rPr>
          <w:i/>
          <w:iCs/>
          <w:color w:val="000000" w:themeColor="text1"/>
          <w:szCs w:val="21"/>
          <w:lang w:bidi="ar"/>
        </w:rPr>
        <w:t>Porphyromonas</w:t>
      </w:r>
      <w:proofErr w:type="spellEnd"/>
      <w:r w:rsidRPr="000334FC">
        <w:rPr>
          <w:i/>
          <w:iCs/>
          <w:color w:val="000000" w:themeColor="text1"/>
          <w:szCs w:val="21"/>
          <w:lang w:bidi="ar"/>
        </w:rPr>
        <w:t xml:space="preserve"> </w:t>
      </w:r>
      <w:proofErr w:type="spellStart"/>
      <w:r w:rsidRPr="000334FC">
        <w:rPr>
          <w:i/>
          <w:iCs/>
          <w:color w:val="000000" w:themeColor="text1"/>
          <w:szCs w:val="21"/>
          <w:lang w:bidi="ar"/>
        </w:rPr>
        <w:t>gingivalis</w:t>
      </w:r>
      <w:proofErr w:type="spellEnd"/>
      <w:r w:rsidRPr="000334FC">
        <w:rPr>
          <w:color w:val="000000" w:themeColor="text1"/>
          <w:szCs w:val="21"/>
          <w:lang w:bidi="ar"/>
        </w:rPr>
        <w:t xml:space="preserve"> </w:t>
      </w:r>
      <w:r>
        <w:rPr>
          <w:color w:val="000000" w:themeColor="text1"/>
          <w:szCs w:val="21"/>
          <w:lang w:bidi="ar"/>
        </w:rPr>
        <w:t>was</w:t>
      </w:r>
      <w:r w:rsidRPr="006B2434">
        <w:rPr>
          <w:rFonts w:hint="eastAsia"/>
          <w:color w:val="000000" w:themeColor="text1"/>
          <w:szCs w:val="21"/>
          <w:lang w:bidi="ar"/>
        </w:rPr>
        <w:t xml:space="preserve"> obtained from Sigma-Aldrich technology, Co. (Shanghai, China)</w:t>
      </w:r>
      <w:r>
        <w:rPr>
          <w:color w:val="000000" w:themeColor="text1"/>
          <w:szCs w:val="21"/>
          <w:lang w:bidi="ar"/>
        </w:rPr>
        <w:t xml:space="preserve">. </w:t>
      </w:r>
      <w:r w:rsidRPr="000334FC">
        <w:rPr>
          <w:color w:val="000000" w:themeColor="text1"/>
          <w:szCs w:val="21"/>
          <w:lang w:bidi="ar"/>
        </w:rPr>
        <w:t xml:space="preserve">MK-2206 </w:t>
      </w:r>
      <w:r>
        <w:rPr>
          <w:rFonts w:hint="eastAsia"/>
          <w:color w:val="000000" w:themeColor="text1"/>
          <w:szCs w:val="21"/>
          <w:lang w:bidi="ar"/>
        </w:rPr>
        <w:t>and</w:t>
      </w:r>
      <w:r>
        <w:rPr>
          <w:color w:val="000000" w:themeColor="text1"/>
          <w:szCs w:val="21"/>
          <w:lang w:bidi="ar"/>
        </w:rPr>
        <w:t xml:space="preserve"> C176 </w:t>
      </w:r>
      <w:r w:rsidRPr="000334FC">
        <w:rPr>
          <w:color w:val="000000" w:themeColor="text1"/>
          <w:szCs w:val="21"/>
          <w:lang w:bidi="ar"/>
        </w:rPr>
        <w:t xml:space="preserve">were purchased from </w:t>
      </w:r>
      <w:proofErr w:type="spellStart"/>
      <w:r w:rsidRPr="000334FC">
        <w:rPr>
          <w:color w:val="000000" w:themeColor="text1"/>
          <w:szCs w:val="21"/>
          <w:lang w:bidi="ar"/>
        </w:rPr>
        <w:t>APExBIO</w:t>
      </w:r>
      <w:proofErr w:type="spellEnd"/>
      <w:r w:rsidRPr="000334FC">
        <w:rPr>
          <w:color w:val="000000" w:themeColor="text1"/>
          <w:szCs w:val="21"/>
          <w:lang w:bidi="ar"/>
        </w:rPr>
        <w:t xml:space="preserve"> (USA)</w:t>
      </w:r>
      <w:r>
        <w:rPr>
          <w:rFonts w:hint="eastAsia"/>
          <w:color w:val="000000" w:themeColor="text1"/>
          <w:szCs w:val="21"/>
          <w:lang w:bidi="ar"/>
        </w:rPr>
        <w:t>.</w:t>
      </w:r>
      <w:r>
        <w:rPr>
          <w:color w:val="000000" w:themeColor="text1"/>
          <w:szCs w:val="21"/>
          <w:lang w:bidi="ar"/>
        </w:rPr>
        <w:t xml:space="preserve"> </w:t>
      </w:r>
    </w:p>
    <w:p w14:paraId="3721CE96" w14:textId="77777777" w:rsidR="007B1802" w:rsidRPr="006B2434" w:rsidRDefault="007B1802" w:rsidP="007B1802">
      <w:pPr>
        <w:spacing w:line="360" w:lineRule="auto"/>
        <w:rPr>
          <w:b/>
          <w:bCs/>
          <w:color w:val="000000" w:themeColor="text1"/>
          <w:szCs w:val="21"/>
          <w:lang w:bidi="ar"/>
        </w:rPr>
      </w:pPr>
      <w:r w:rsidRPr="006B2434">
        <w:rPr>
          <w:b/>
          <w:bCs/>
          <w:color w:val="000000" w:themeColor="text1"/>
          <w:szCs w:val="21"/>
          <w:lang w:bidi="ar"/>
        </w:rPr>
        <w:t>Animal Experiments</w:t>
      </w:r>
    </w:p>
    <w:p w14:paraId="53197669" w14:textId="77777777" w:rsidR="00C157F5" w:rsidRDefault="00C157F5" w:rsidP="007B1802">
      <w:pPr>
        <w:spacing w:line="360" w:lineRule="auto"/>
        <w:rPr>
          <w:color w:val="000000" w:themeColor="text1"/>
          <w:szCs w:val="21"/>
          <w:lang w:bidi="ar"/>
        </w:rPr>
      </w:pPr>
      <w:r w:rsidRPr="00C157F5">
        <w:rPr>
          <w:color w:val="000000" w:themeColor="text1"/>
          <w:szCs w:val="21"/>
          <w:lang w:bidi="ar"/>
        </w:rPr>
        <w:t xml:space="preserve">After a 2-week acclimatization period, 6-week-old male C57BL/6 mice were anesthetized using isoflurane, administered at 3-4% for induction and 1.5-2% for maintenance in oxygen via a precision vaporizer. Then, mice were ligatured around the second maxillary molars on the left side to induce experimental periodontitis, using the right side as controls. The mice were randomly divided into three groups (n = 9 per group): with the groups receiving topical applications of phosphate-buffered saline (PBS), 10 µM c-di-AMP, or 100 µM c-di-AMP (3 times a week for 3 weeks). The experiments were started with mice at 6-week of age after 1-week of adaptive feeding and terminated at the 4th week (Fig. 1A). All mice were kept in standard environment with controlled temperature, humidity and a 12 h light/dark cycle under specific-pathogen-free conditions within randomly assigned microisolator cages (3mice/cage) with food and water ad libitum. For </w:t>
      </w:r>
      <w:proofErr w:type="spellStart"/>
      <w:r w:rsidRPr="00C157F5">
        <w:rPr>
          <w:color w:val="000000" w:themeColor="text1"/>
          <w:szCs w:val="21"/>
          <w:lang w:bidi="ar"/>
        </w:rPr>
        <w:t>μCT</w:t>
      </w:r>
      <w:proofErr w:type="spellEnd"/>
      <w:r w:rsidRPr="00C157F5">
        <w:rPr>
          <w:color w:val="000000" w:themeColor="text1"/>
          <w:szCs w:val="21"/>
          <w:lang w:bidi="ar"/>
        </w:rPr>
        <w:t xml:space="preserve"> analysis, alveolar bone </w:t>
      </w:r>
      <w:r w:rsidRPr="00C157F5">
        <w:rPr>
          <w:color w:val="000000" w:themeColor="text1"/>
          <w:szCs w:val="21"/>
          <w:lang w:bidi="ar"/>
        </w:rPr>
        <w:lastRenderedPageBreak/>
        <w:t xml:space="preserve">tissue was collected (Miyajima et al. 2014; Morelli et al. 2018; Rekhi et al. 2021). 2-week alveolar bone with gingival tissue were collected from all mice for H&amp;E staining (Leite et al. 2017; </w:t>
      </w:r>
      <w:proofErr w:type="spellStart"/>
      <w:r w:rsidRPr="00C157F5">
        <w:rPr>
          <w:color w:val="000000" w:themeColor="text1"/>
          <w:szCs w:val="21"/>
          <w:lang w:bidi="ar"/>
        </w:rPr>
        <w:t>Marchesan</w:t>
      </w:r>
      <w:proofErr w:type="spellEnd"/>
      <w:r w:rsidRPr="00C157F5">
        <w:rPr>
          <w:color w:val="000000" w:themeColor="text1"/>
          <w:szCs w:val="21"/>
          <w:lang w:bidi="ar"/>
        </w:rPr>
        <w:t xml:space="preserve"> et al. 2018). Experiments were conducted under conditions authorized by the Institutional Ethical Committee on Experimental Animals (WCHSIRB-D-2020-031) and followed the Animal Research: Reporting of In Vivo Experiments 2.0 (ARRIVE 2.0) guidelines.</w:t>
      </w:r>
    </w:p>
    <w:p w14:paraId="67E2EA12" w14:textId="34379344" w:rsidR="007B1802" w:rsidRPr="006B2434" w:rsidRDefault="007B1802" w:rsidP="007B1802">
      <w:pPr>
        <w:spacing w:line="360" w:lineRule="auto"/>
        <w:rPr>
          <w:b/>
          <w:bCs/>
          <w:color w:val="000000" w:themeColor="text1"/>
          <w:szCs w:val="21"/>
          <w:lang w:bidi="ar"/>
        </w:rPr>
      </w:pPr>
      <w:r w:rsidRPr="006B2434">
        <w:rPr>
          <w:b/>
          <w:bCs/>
          <w:color w:val="000000" w:themeColor="text1"/>
          <w:szCs w:val="21"/>
          <w:lang w:bidi="ar"/>
        </w:rPr>
        <w:t>Tissue Collection and Preparation</w:t>
      </w:r>
    </w:p>
    <w:p w14:paraId="71F85169" w14:textId="3A81FB12" w:rsidR="007B1802" w:rsidRPr="007B1802" w:rsidRDefault="007B1802" w:rsidP="007B1802">
      <w:pPr>
        <w:spacing w:line="360" w:lineRule="auto"/>
        <w:rPr>
          <w:color w:val="000000" w:themeColor="text1"/>
          <w:szCs w:val="21"/>
          <w:lang w:eastAsia="zh-CN" w:bidi="ar"/>
        </w:rPr>
      </w:pPr>
      <w:bookmarkStart w:id="0" w:name="_Hlk164766552"/>
      <w:r w:rsidRPr="006B2434">
        <w:rPr>
          <w:color w:val="000000" w:themeColor="text1"/>
          <w:szCs w:val="21"/>
          <w:lang w:bidi="ar"/>
        </w:rPr>
        <w:t xml:space="preserve">Following the successful establishment of the models, the mice were euthanized and sampled. </w:t>
      </w:r>
      <w:r>
        <w:rPr>
          <w:color w:val="000000" w:themeColor="text1"/>
          <w:szCs w:val="21"/>
          <w:lang w:bidi="ar"/>
        </w:rPr>
        <w:t>A</w:t>
      </w:r>
      <w:r w:rsidRPr="00CE1BCF">
        <w:rPr>
          <w:color w:val="000000" w:themeColor="text1"/>
          <w:szCs w:val="21"/>
          <w:lang w:bidi="ar"/>
        </w:rPr>
        <w:t xml:space="preserve">lveolar bones </w:t>
      </w:r>
      <w:r>
        <w:rPr>
          <w:rFonts w:hint="eastAsia"/>
          <w:color w:val="000000" w:themeColor="text1"/>
          <w:szCs w:val="21"/>
          <w:lang w:bidi="ar"/>
        </w:rPr>
        <w:t>and</w:t>
      </w:r>
      <w:r>
        <w:rPr>
          <w:color w:val="000000" w:themeColor="text1"/>
          <w:szCs w:val="21"/>
          <w:lang w:bidi="ar"/>
        </w:rPr>
        <w:t xml:space="preserve"> </w:t>
      </w:r>
      <w:r>
        <w:rPr>
          <w:rFonts w:hint="eastAsia"/>
          <w:color w:val="000000" w:themeColor="text1"/>
          <w:szCs w:val="21"/>
          <w:lang w:bidi="ar"/>
        </w:rPr>
        <w:t>gingival</w:t>
      </w:r>
      <w:r>
        <w:rPr>
          <w:color w:val="000000" w:themeColor="text1"/>
          <w:szCs w:val="21"/>
          <w:lang w:bidi="ar"/>
        </w:rPr>
        <w:t xml:space="preserve"> tissue </w:t>
      </w:r>
      <w:r w:rsidRPr="00CE1BCF">
        <w:rPr>
          <w:color w:val="000000" w:themeColor="text1"/>
          <w:szCs w:val="21"/>
          <w:lang w:bidi="ar"/>
        </w:rPr>
        <w:t>were harvested from the mice, postfixed with 4% paraformaldehyde overnight, and stored in 70% ethanol at 4 °C for long-term storage. Silk samples were collected before euthanasia in sterile Eppendorf tubes and kept at -80℃ for future analysis.</w:t>
      </w:r>
    </w:p>
    <w:bookmarkEnd w:id="0"/>
    <w:p w14:paraId="5E580C59" w14:textId="77777777" w:rsidR="007B1802" w:rsidRPr="006B2434" w:rsidRDefault="007B1802" w:rsidP="007B1802">
      <w:pPr>
        <w:spacing w:line="360" w:lineRule="auto"/>
        <w:rPr>
          <w:b/>
          <w:bCs/>
          <w:color w:val="000000" w:themeColor="text1"/>
          <w:szCs w:val="21"/>
          <w:lang w:bidi="ar"/>
        </w:rPr>
      </w:pPr>
      <w:r w:rsidRPr="006B2434">
        <w:rPr>
          <w:b/>
          <w:bCs/>
          <w:color w:val="000000" w:themeColor="text1"/>
          <w:szCs w:val="21"/>
          <w:lang w:bidi="ar"/>
        </w:rPr>
        <w:t>Micro-Computed Tomography Analysis</w:t>
      </w:r>
    </w:p>
    <w:p w14:paraId="6188A510" w14:textId="2789BE14" w:rsidR="007B1802" w:rsidRPr="007B1802" w:rsidRDefault="007B1802" w:rsidP="007B1802">
      <w:pPr>
        <w:spacing w:line="360" w:lineRule="auto"/>
        <w:rPr>
          <w:color w:val="000000" w:themeColor="text1"/>
          <w:szCs w:val="21"/>
          <w:lang w:eastAsia="zh-CN" w:bidi="ar"/>
        </w:rPr>
      </w:pPr>
      <w:bookmarkStart w:id="1" w:name="_Hlk164766663"/>
      <w:r w:rsidRPr="006B2434">
        <w:rPr>
          <w:color w:val="000000" w:themeColor="text1"/>
          <w:szCs w:val="21"/>
          <w:lang w:bidi="ar"/>
        </w:rPr>
        <w:t>The microarchitectural properties of alveolar bone tissues were imported with µ-CT system.</w:t>
      </w:r>
      <w:r>
        <w:rPr>
          <w:color w:val="000000" w:themeColor="text1"/>
          <w:szCs w:val="21"/>
          <w:lang w:bidi="ar"/>
        </w:rPr>
        <w:t xml:space="preserve"> </w:t>
      </w:r>
      <w:r w:rsidRPr="006014F3">
        <w:rPr>
          <w:color w:val="000000" w:themeColor="text1"/>
          <w:szCs w:val="21"/>
          <w:lang w:bidi="ar"/>
        </w:rPr>
        <w:t xml:space="preserve">Parameter settings were as follows: the scanning was performed at 70 kV and 200 </w:t>
      </w:r>
      <w:proofErr w:type="spellStart"/>
      <w:r w:rsidRPr="006014F3">
        <w:rPr>
          <w:color w:val="000000" w:themeColor="text1"/>
          <w:szCs w:val="21"/>
          <w:lang w:bidi="ar"/>
        </w:rPr>
        <w:t>μA</w:t>
      </w:r>
      <w:proofErr w:type="spellEnd"/>
      <w:r w:rsidRPr="006014F3">
        <w:rPr>
          <w:color w:val="000000" w:themeColor="text1"/>
          <w:szCs w:val="21"/>
          <w:lang w:bidi="ar"/>
        </w:rPr>
        <w:t xml:space="preserve"> with 300ms integration time at a voxel resolution of 10μm. </w:t>
      </w:r>
      <w:r w:rsidRPr="006B2434">
        <w:rPr>
          <w:color w:val="000000" w:themeColor="text1"/>
          <w:szCs w:val="21"/>
          <w:lang w:bidi="ar"/>
        </w:rPr>
        <w:t xml:space="preserve">The images were reconstructed using mimics (version 21.0, </w:t>
      </w:r>
      <w:proofErr w:type="spellStart"/>
      <w:r w:rsidRPr="006B2434">
        <w:rPr>
          <w:color w:val="000000" w:themeColor="text1"/>
          <w:szCs w:val="21"/>
          <w:lang w:bidi="ar"/>
        </w:rPr>
        <w:t>Materialise</w:t>
      </w:r>
      <w:proofErr w:type="spellEnd"/>
      <w:r w:rsidRPr="006B2434">
        <w:rPr>
          <w:color w:val="000000" w:themeColor="text1"/>
          <w:szCs w:val="21"/>
          <w:lang w:bidi="ar"/>
        </w:rPr>
        <w:t xml:space="preserve"> N.V., Leuven, Belgium). The results of BV/TV, BMD, and CEJ-ABC were obtained within the region of interest, which surrounds the second molar. </w:t>
      </w:r>
      <w:r>
        <w:rPr>
          <w:color w:val="000000" w:themeColor="text1"/>
          <w:szCs w:val="21"/>
          <w:lang w:bidi="ar"/>
        </w:rPr>
        <w:t>CEJ-ABC</w:t>
      </w:r>
      <w:r w:rsidRPr="006014F3">
        <w:rPr>
          <w:color w:val="000000" w:themeColor="text1"/>
          <w:szCs w:val="21"/>
          <w:lang w:bidi="ar"/>
        </w:rPr>
        <w:t xml:space="preserve"> was determined by measuring the average distance between the alveolar bone crest (ABC) and the cementoenamel junction (CEJ) in the sagittal images.</w:t>
      </w:r>
      <w:r>
        <w:rPr>
          <w:color w:val="000000" w:themeColor="text1"/>
          <w:szCs w:val="21"/>
          <w:lang w:bidi="ar"/>
        </w:rPr>
        <w:t xml:space="preserve"> </w:t>
      </w:r>
      <w:r w:rsidRPr="006B2434">
        <w:rPr>
          <w:color w:val="000000" w:themeColor="text1"/>
          <w:szCs w:val="21"/>
          <w:lang w:bidi="ar"/>
        </w:rPr>
        <w:t xml:space="preserve">And </w:t>
      </w:r>
      <w:proofErr w:type="spellStart"/>
      <w:r w:rsidRPr="006B2434">
        <w:rPr>
          <w:color w:val="000000" w:themeColor="text1"/>
          <w:szCs w:val="21"/>
          <w:lang w:bidi="ar"/>
        </w:rPr>
        <w:t>δCEJ</w:t>
      </w:r>
      <w:proofErr w:type="spellEnd"/>
      <w:r w:rsidRPr="006B2434">
        <w:rPr>
          <w:color w:val="000000" w:themeColor="text1"/>
          <w:szCs w:val="21"/>
          <w:lang w:bidi="ar"/>
        </w:rPr>
        <w:t xml:space="preserve">-ABC refers to the difference between CEJ-ABC on the left side and CEJ-ABC on the right side. </w:t>
      </w:r>
      <w:r w:rsidRPr="006014F3">
        <w:rPr>
          <w:color w:val="000000" w:themeColor="text1"/>
          <w:szCs w:val="21"/>
          <w:lang w:bidi="ar"/>
        </w:rPr>
        <w:t>Trabecular bone volume fraction (Bone volume/Total volume, BV/TV) was used to analyze the degree of trabecular bone resorption.</w:t>
      </w:r>
    </w:p>
    <w:bookmarkEnd w:id="1"/>
    <w:p w14:paraId="52315404" w14:textId="77777777" w:rsidR="007B1802" w:rsidRPr="006B2434" w:rsidRDefault="007B1802" w:rsidP="007B1802">
      <w:pPr>
        <w:spacing w:line="360" w:lineRule="auto"/>
        <w:rPr>
          <w:b/>
          <w:bCs/>
          <w:color w:val="000000" w:themeColor="text1"/>
          <w:szCs w:val="21"/>
          <w:lang w:bidi="ar"/>
        </w:rPr>
      </w:pPr>
      <w:r w:rsidRPr="006B2434">
        <w:rPr>
          <w:b/>
          <w:bCs/>
          <w:color w:val="000000" w:themeColor="text1"/>
          <w:szCs w:val="21"/>
          <w:lang w:bidi="ar"/>
        </w:rPr>
        <w:t>Hematoxylin and Eosin Staining</w:t>
      </w:r>
    </w:p>
    <w:p w14:paraId="10CB4764" w14:textId="6A4DC541" w:rsidR="007B1802" w:rsidRPr="007B1802" w:rsidRDefault="007B1802" w:rsidP="007B1802">
      <w:pPr>
        <w:spacing w:line="360" w:lineRule="auto"/>
        <w:rPr>
          <w:color w:val="000000" w:themeColor="text1"/>
          <w:szCs w:val="21"/>
          <w:lang w:eastAsia="zh-CN" w:bidi="ar"/>
        </w:rPr>
      </w:pPr>
      <w:r w:rsidRPr="006B2434">
        <w:rPr>
          <w:color w:val="000000" w:themeColor="text1"/>
          <w:szCs w:val="21"/>
          <w:lang w:bidi="ar"/>
        </w:rPr>
        <w:t xml:space="preserve">To assess the severity of the periodontitis condition and the height of the alveolar crest, Hematoxylin and Eosin Staining was processed. </w:t>
      </w:r>
    </w:p>
    <w:p w14:paraId="617E8691" w14:textId="77777777" w:rsidR="007B1802" w:rsidRPr="006B2434" w:rsidRDefault="007B1802" w:rsidP="007B1802">
      <w:pPr>
        <w:spacing w:line="360" w:lineRule="auto"/>
        <w:rPr>
          <w:b/>
          <w:bCs/>
          <w:color w:val="000000" w:themeColor="text1"/>
          <w:szCs w:val="21"/>
          <w:lang w:bidi="ar"/>
        </w:rPr>
      </w:pPr>
      <w:r w:rsidRPr="006B2434">
        <w:rPr>
          <w:b/>
          <w:bCs/>
          <w:color w:val="000000" w:themeColor="text1"/>
          <w:szCs w:val="21"/>
          <w:lang w:bidi="ar"/>
        </w:rPr>
        <w:t>16S rRNA Sequencing and Analysis</w:t>
      </w:r>
    </w:p>
    <w:p w14:paraId="09ADFF74" w14:textId="44952D19" w:rsidR="007B1802" w:rsidRPr="00B7348D" w:rsidRDefault="007B1802" w:rsidP="007B1802">
      <w:pPr>
        <w:spacing w:line="360" w:lineRule="auto"/>
        <w:rPr>
          <w:color w:val="000000" w:themeColor="text1"/>
          <w:szCs w:val="21"/>
          <w:lang w:eastAsia="zh-CN" w:bidi="ar"/>
        </w:rPr>
      </w:pPr>
      <w:bookmarkStart w:id="2" w:name="_Hlk164766687"/>
      <w:r w:rsidRPr="006B2434">
        <w:rPr>
          <w:color w:val="000000" w:themeColor="text1"/>
          <w:szCs w:val="21"/>
          <w:lang w:bidi="ar"/>
        </w:rPr>
        <w:t xml:space="preserve">The microbiomes of silk ligatures underwent 16S ribosomal RNA (rRNA) analysis. </w:t>
      </w:r>
      <w:r w:rsidRPr="00B7348D">
        <w:rPr>
          <w:color w:val="000000" w:themeColor="text1"/>
          <w:szCs w:val="21"/>
          <w:lang w:bidi="ar"/>
        </w:rPr>
        <w:t>Total genomic DNA was extracted using DNA Extraction Kit following the manufacturer’s</w:t>
      </w:r>
      <w:r>
        <w:rPr>
          <w:rFonts w:hint="eastAsia"/>
          <w:color w:val="000000" w:themeColor="text1"/>
          <w:szCs w:val="21"/>
          <w:lang w:bidi="ar"/>
        </w:rPr>
        <w:t xml:space="preserve"> </w:t>
      </w:r>
      <w:r w:rsidRPr="00B7348D">
        <w:rPr>
          <w:color w:val="000000" w:themeColor="text1"/>
          <w:szCs w:val="21"/>
          <w:lang w:bidi="ar"/>
        </w:rPr>
        <w:t xml:space="preserve">instructions. Concentration of DNA was verified with </w:t>
      </w:r>
      <w:proofErr w:type="spellStart"/>
      <w:r w:rsidRPr="00B7348D">
        <w:rPr>
          <w:color w:val="000000" w:themeColor="text1"/>
          <w:szCs w:val="21"/>
          <w:lang w:bidi="ar"/>
        </w:rPr>
        <w:t>NanoDrop</w:t>
      </w:r>
      <w:proofErr w:type="spellEnd"/>
      <w:r w:rsidRPr="00B7348D">
        <w:rPr>
          <w:color w:val="000000" w:themeColor="text1"/>
          <w:szCs w:val="21"/>
          <w:lang w:bidi="ar"/>
        </w:rPr>
        <w:t xml:space="preserve"> and agarose gel. The genome</w:t>
      </w:r>
      <w:r>
        <w:rPr>
          <w:rFonts w:hint="eastAsia"/>
          <w:color w:val="000000" w:themeColor="text1"/>
          <w:szCs w:val="21"/>
          <w:lang w:bidi="ar"/>
        </w:rPr>
        <w:t xml:space="preserve"> </w:t>
      </w:r>
      <w:r w:rsidRPr="00B7348D">
        <w:rPr>
          <w:color w:val="000000" w:themeColor="text1"/>
          <w:szCs w:val="21"/>
          <w:lang w:bidi="ar"/>
        </w:rPr>
        <w:t xml:space="preserve">DNA was used as template for PCR amplification with the barcoded primers and </w:t>
      </w:r>
      <w:proofErr w:type="spellStart"/>
      <w:r w:rsidRPr="00B7348D">
        <w:rPr>
          <w:color w:val="000000" w:themeColor="text1"/>
          <w:szCs w:val="21"/>
          <w:lang w:bidi="ar"/>
        </w:rPr>
        <w:t>Tks</w:t>
      </w:r>
      <w:proofErr w:type="spellEnd"/>
      <w:r w:rsidRPr="00B7348D">
        <w:rPr>
          <w:color w:val="000000" w:themeColor="text1"/>
          <w:szCs w:val="21"/>
          <w:lang w:bidi="ar"/>
        </w:rPr>
        <w:t xml:space="preserve"> </w:t>
      </w:r>
      <w:proofErr w:type="spellStart"/>
      <w:r w:rsidRPr="00B7348D">
        <w:rPr>
          <w:color w:val="000000" w:themeColor="text1"/>
          <w:szCs w:val="21"/>
          <w:lang w:bidi="ar"/>
        </w:rPr>
        <w:t>Gflex</w:t>
      </w:r>
      <w:proofErr w:type="spellEnd"/>
      <w:r w:rsidRPr="00B7348D">
        <w:rPr>
          <w:color w:val="000000" w:themeColor="text1"/>
          <w:szCs w:val="21"/>
          <w:lang w:bidi="ar"/>
        </w:rPr>
        <w:t xml:space="preserve"> DNA</w:t>
      </w:r>
      <w:r>
        <w:rPr>
          <w:rFonts w:hint="eastAsia"/>
          <w:color w:val="000000" w:themeColor="text1"/>
          <w:szCs w:val="21"/>
          <w:lang w:bidi="ar"/>
        </w:rPr>
        <w:t xml:space="preserve"> </w:t>
      </w:r>
      <w:r w:rsidRPr="00B7348D">
        <w:rPr>
          <w:color w:val="000000" w:themeColor="text1"/>
          <w:szCs w:val="21"/>
          <w:lang w:bidi="ar"/>
        </w:rPr>
        <w:t>Polymerase (Takara). For bacterial diversity analysis, V3-V4 variable regions of 16S rRNA genes was</w:t>
      </w:r>
      <w:r>
        <w:rPr>
          <w:rFonts w:hint="eastAsia"/>
          <w:color w:val="000000" w:themeColor="text1"/>
          <w:szCs w:val="21"/>
          <w:lang w:bidi="ar"/>
        </w:rPr>
        <w:t xml:space="preserve"> </w:t>
      </w:r>
      <w:r w:rsidRPr="00B7348D">
        <w:rPr>
          <w:color w:val="000000" w:themeColor="text1"/>
          <w:szCs w:val="21"/>
          <w:lang w:bidi="ar"/>
        </w:rPr>
        <w:t>amplified with universal primers 343 F and 798 R</w:t>
      </w:r>
      <w:r>
        <w:rPr>
          <w:color w:val="000000" w:themeColor="text1"/>
          <w:szCs w:val="21"/>
          <w:lang w:bidi="ar"/>
        </w:rPr>
        <w:t xml:space="preserve"> </w:t>
      </w:r>
      <w:r w:rsidRPr="00336EBB">
        <w:rPr>
          <w:color w:val="000000" w:themeColor="text1"/>
          <w:szCs w:val="21"/>
          <w:lang w:bidi="ar"/>
        </w:rPr>
        <w:t xml:space="preserve">performed by </w:t>
      </w:r>
      <w:proofErr w:type="spellStart"/>
      <w:r>
        <w:rPr>
          <w:color w:val="000000" w:themeColor="text1"/>
          <w:szCs w:val="21"/>
          <w:lang w:bidi="ar"/>
        </w:rPr>
        <w:t>oebiotech</w:t>
      </w:r>
      <w:proofErr w:type="spellEnd"/>
      <w:r w:rsidRPr="00336EBB">
        <w:rPr>
          <w:color w:val="000000" w:themeColor="text1"/>
          <w:szCs w:val="21"/>
          <w:lang w:bidi="ar"/>
        </w:rPr>
        <w:t xml:space="preserve"> Technology Co., Ltd, Shanghai, China</w:t>
      </w:r>
      <w:r>
        <w:rPr>
          <w:rFonts w:hint="eastAsia"/>
          <w:color w:val="000000" w:themeColor="text1"/>
          <w:szCs w:val="21"/>
          <w:lang w:bidi="ar"/>
        </w:rPr>
        <w:t>.</w:t>
      </w:r>
    </w:p>
    <w:bookmarkEnd w:id="2"/>
    <w:p w14:paraId="732DC175" w14:textId="77777777" w:rsidR="007B1802" w:rsidRPr="006B2434" w:rsidRDefault="007B1802" w:rsidP="007B1802">
      <w:pPr>
        <w:spacing w:line="360" w:lineRule="auto"/>
        <w:rPr>
          <w:b/>
          <w:bCs/>
          <w:color w:val="000000" w:themeColor="text1"/>
          <w:szCs w:val="21"/>
          <w:lang w:bidi="ar"/>
        </w:rPr>
      </w:pPr>
      <w:r w:rsidRPr="006B2434">
        <w:rPr>
          <w:b/>
          <w:bCs/>
          <w:color w:val="000000" w:themeColor="text1"/>
          <w:szCs w:val="21"/>
          <w:lang w:bidi="ar"/>
        </w:rPr>
        <w:t xml:space="preserve">Transcriptome sequencing and Analysis </w:t>
      </w:r>
    </w:p>
    <w:p w14:paraId="2E5DF607" w14:textId="29EFF3CC" w:rsidR="007B1802" w:rsidRPr="007B1802" w:rsidRDefault="007B1802" w:rsidP="007B1802">
      <w:pPr>
        <w:spacing w:line="360" w:lineRule="auto"/>
        <w:rPr>
          <w:color w:val="000000" w:themeColor="text1"/>
          <w:szCs w:val="21"/>
          <w:lang w:eastAsia="zh-CN" w:bidi="ar"/>
        </w:rPr>
      </w:pPr>
      <w:bookmarkStart w:id="3" w:name="_Hlk164766711"/>
      <w:r w:rsidRPr="006B2434">
        <w:rPr>
          <w:color w:val="000000" w:themeColor="text1"/>
          <w:szCs w:val="21"/>
          <w:lang w:bidi="ar"/>
        </w:rPr>
        <w:t>RNA extraction was performed to isolate RNA from the gingival tissues</w:t>
      </w:r>
      <w:r>
        <w:rPr>
          <w:color w:val="000000" w:themeColor="text1"/>
          <w:szCs w:val="21"/>
          <w:lang w:bidi="ar"/>
        </w:rPr>
        <w:t xml:space="preserve"> and human gingival epithelial cells.</w:t>
      </w:r>
      <w:r w:rsidRPr="006B2434">
        <w:rPr>
          <w:color w:val="000000" w:themeColor="text1"/>
          <w:szCs w:val="21"/>
          <w:lang w:bidi="ar"/>
        </w:rPr>
        <w:t xml:space="preserve"> </w:t>
      </w:r>
      <w:r>
        <w:rPr>
          <w:color w:val="000000" w:themeColor="text1"/>
          <w:szCs w:val="21"/>
          <w:lang w:bidi="ar"/>
        </w:rPr>
        <w:t xml:space="preserve">And </w:t>
      </w:r>
      <w:r w:rsidRPr="006B2434">
        <w:rPr>
          <w:color w:val="000000" w:themeColor="text1"/>
          <w:szCs w:val="21"/>
          <w:lang w:bidi="ar"/>
        </w:rPr>
        <w:t>transcriptome sequencing (RNA-seq) was conducted to analyze the gene expression profile.</w:t>
      </w:r>
    </w:p>
    <w:bookmarkEnd w:id="3"/>
    <w:p w14:paraId="65B43E9C" w14:textId="77777777" w:rsidR="007B1802" w:rsidRPr="006B2434" w:rsidRDefault="007B1802" w:rsidP="007B1802">
      <w:pPr>
        <w:spacing w:line="360" w:lineRule="auto"/>
        <w:rPr>
          <w:b/>
          <w:bCs/>
          <w:color w:val="000000" w:themeColor="text1"/>
          <w:szCs w:val="21"/>
          <w:lang w:bidi="ar"/>
        </w:rPr>
      </w:pPr>
      <w:r w:rsidRPr="006B2434">
        <w:rPr>
          <w:b/>
          <w:bCs/>
          <w:color w:val="000000" w:themeColor="text1"/>
          <w:szCs w:val="21"/>
          <w:lang w:bidi="ar"/>
        </w:rPr>
        <w:t>Cell Cultures</w:t>
      </w:r>
    </w:p>
    <w:p w14:paraId="0ACABE3E" w14:textId="7568992C" w:rsidR="007B1802" w:rsidRPr="007B1802" w:rsidRDefault="007B1802" w:rsidP="007B1802">
      <w:pPr>
        <w:spacing w:line="360" w:lineRule="auto"/>
        <w:rPr>
          <w:color w:val="000000" w:themeColor="text1"/>
          <w:szCs w:val="21"/>
          <w:lang w:eastAsia="zh-CN" w:bidi="ar"/>
        </w:rPr>
      </w:pPr>
      <w:bookmarkStart w:id="4" w:name="_Hlk164766734"/>
      <w:r w:rsidRPr="006B2434">
        <w:rPr>
          <w:color w:val="000000" w:themeColor="text1"/>
          <w:szCs w:val="21"/>
          <w:lang w:bidi="ar"/>
        </w:rPr>
        <w:t>HGECs were cultured and seeded at a density of 1 × 10</w:t>
      </w:r>
      <w:r w:rsidRPr="00F05E89">
        <w:rPr>
          <w:color w:val="000000" w:themeColor="text1"/>
          <w:szCs w:val="21"/>
          <w:vertAlign w:val="superscript"/>
          <w:lang w:bidi="ar"/>
        </w:rPr>
        <w:t>5</w:t>
      </w:r>
      <w:r w:rsidRPr="006B2434">
        <w:rPr>
          <w:color w:val="000000" w:themeColor="text1"/>
          <w:szCs w:val="21"/>
          <w:lang w:bidi="ar"/>
        </w:rPr>
        <w:t>/mL in a growth medium (DMEM) in 6-well plates overnight. Different doses of c-di-AMP (0, 10, 100 µM)</w:t>
      </w:r>
      <w:r>
        <w:rPr>
          <w:color w:val="000000" w:themeColor="text1"/>
          <w:szCs w:val="21"/>
          <w:lang w:bidi="ar"/>
        </w:rPr>
        <w:t xml:space="preserve"> with or witho</w:t>
      </w:r>
      <w:r w:rsidRPr="002F1CC9">
        <w:rPr>
          <w:color w:val="000000" w:themeColor="text1"/>
          <w:szCs w:val="21"/>
          <w:lang w:bidi="ar"/>
        </w:rPr>
        <w:t>ut LPS (1μg/L</w:t>
      </w:r>
      <w:r>
        <w:rPr>
          <w:color w:val="000000" w:themeColor="text1"/>
          <w:szCs w:val="21"/>
          <w:lang w:bidi="ar"/>
        </w:rPr>
        <w:t xml:space="preserve">) </w:t>
      </w:r>
      <w:r w:rsidRPr="006B2434">
        <w:rPr>
          <w:color w:val="000000" w:themeColor="text1"/>
          <w:szCs w:val="21"/>
          <w:lang w:bidi="ar"/>
        </w:rPr>
        <w:t xml:space="preserve">were added to the HGECs, and the samples were incubated for 24h. </w:t>
      </w:r>
    </w:p>
    <w:bookmarkEnd w:id="4"/>
    <w:p w14:paraId="1EF101E7" w14:textId="77777777" w:rsidR="007B1802" w:rsidRPr="006B2434" w:rsidRDefault="007B1802" w:rsidP="007B1802">
      <w:pPr>
        <w:spacing w:line="360" w:lineRule="auto"/>
        <w:rPr>
          <w:b/>
          <w:bCs/>
          <w:color w:val="000000" w:themeColor="text1"/>
          <w:szCs w:val="21"/>
          <w:lang w:bidi="ar"/>
        </w:rPr>
      </w:pPr>
      <w:r w:rsidRPr="006B2434">
        <w:rPr>
          <w:b/>
          <w:bCs/>
          <w:color w:val="000000" w:themeColor="text1"/>
          <w:szCs w:val="21"/>
          <w:lang w:bidi="ar"/>
        </w:rPr>
        <w:t>RT-PCR Analysis</w:t>
      </w:r>
    </w:p>
    <w:p w14:paraId="7D511BEF" w14:textId="48C91270" w:rsidR="007B1802" w:rsidRPr="007B1802" w:rsidRDefault="007B1802" w:rsidP="007B1802">
      <w:pPr>
        <w:spacing w:line="360" w:lineRule="auto"/>
        <w:rPr>
          <w:color w:val="000000" w:themeColor="text1"/>
          <w:szCs w:val="21"/>
          <w:lang w:eastAsia="zh-CN" w:bidi="ar"/>
        </w:rPr>
      </w:pPr>
      <w:bookmarkStart w:id="5" w:name="_Hlk164766746"/>
      <w:r w:rsidRPr="00593EB7">
        <w:rPr>
          <w:color w:val="000000" w:themeColor="text1"/>
          <w:szCs w:val="21"/>
          <w:lang w:bidi="ar"/>
        </w:rPr>
        <w:t>Total RNA extracted from human gingival epithelial cells</w:t>
      </w:r>
      <w:r w:rsidRPr="006B2434">
        <w:rPr>
          <w:color w:val="000000" w:themeColor="text1"/>
          <w:szCs w:val="21"/>
          <w:lang w:bidi="ar"/>
        </w:rPr>
        <w:t xml:space="preserve"> was used for subsequent Fast TB Green</w:t>
      </w:r>
      <w:r>
        <w:rPr>
          <w:color w:val="000000" w:themeColor="text1"/>
          <w:szCs w:val="21"/>
          <w:lang w:bidi="ar"/>
        </w:rPr>
        <w:t xml:space="preserve"> </w:t>
      </w:r>
      <w:r w:rsidRPr="00CE1BCF">
        <w:rPr>
          <w:color w:val="000000" w:themeColor="text1"/>
          <w:szCs w:val="21"/>
          <w:lang w:bidi="ar"/>
        </w:rPr>
        <w:t>(RR820A, Takara Bio, Japan)</w:t>
      </w:r>
      <w:r>
        <w:rPr>
          <w:color w:val="000000" w:themeColor="text1"/>
          <w:szCs w:val="21"/>
          <w:lang w:bidi="ar"/>
        </w:rPr>
        <w:t xml:space="preserve"> </w:t>
      </w:r>
      <w:r w:rsidRPr="006B2434">
        <w:rPr>
          <w:color w:val="000000" w:themeColor="text1"/>
          <w:szCs w:val="21"/>
          <w:lang w:bidi="ar"/>
        </w:rPr>
        <w:t xml:space="preserve">quantitative polymerase chain reactions (PCRs), and relative quantitative analysis was performed with the 2−ΔΔCT method. </w:t>
      </w:r>
      <w:r w:rsidRPr="00CE1BCF">
        <w:rPr>
          <w:color w:val="000000" w:themeColor="text1"/>
          <w:szCs w:val="21"/>
          <w:lang w:bidi="ar"/>
        </w:rPr>
        <w:t>The gene expression of</w:t>
      </w:r>
      <w:r>
        <w:rPr>
          <w:color w:val="000000" w:themeColor="text1"/>
          <w:szCs w:val="21"/>
          <w:lang w:bidi="ar"/>
        </w:rPr>
        <w:t xml:space="preserve"> </w:t>
      </w:r>
      <w:r w:rsidRPr="006014F3">
        <w:rPr>
          <w:color w:val="000000" w:themeColor="text1"/>
          <w:szCs w:val="21"/>
          <w:lang w:bidi="ar"/>
        </w:rPr>
        <w:t>EPHA2</w:t>
      </w:r>
      <w:r>
        <w:rPr>
          <w:color w:val="000000" w:themeColor="text1"/>
          <w:szCs w:val="21"/>
          <w:lang w:bidi="ar"/>
        </w:rPr>
        <w:t xml:space="preserve">, Akt, </w:t>
      </w:r>
      <w:r w:rsidRPr="002F1CC9">
        <w:rPr>
          <w:color w:val="000000" w:themeColor="text1"/>
          <w:szCs w:val="21"/>
          <w:lang w:bidi="ar"/>
        </w:rPr>
        <w:t>NFE2L2</w:t>
      </w:r>
      <w:r>
        <w:rPr>
          <w:color w:val="000000" w:themeColor="text1"/>
          <w:szCs w:val="21"/>
          <w:lang w:bidi="ar"/>
        </w:rPr>
        <w:t>,</w:t>
      </w:r>
      <w:r w:rsidRPr="00CE1BCF">
        <w:rPr>
          <w:color w:val="000000" w:themeColor="text1"/>
          <w:szCs w:val="21"/>
          <w:lang w:bidi="ar"/>
        </w:rPr>
        <w:t xml:space="preserve"> IL-6, TNF-α,</w:t>
      </w:r>
      <w:r w:rsidRPr="00CE1BCF">
        <w:rPr>
          <w:color w:val="000000" w:themeColor="text1"/>
          <w:kern w:val="24"/>
          <w:szCs w:val="21"/>
          <w:lang w:val="it" w:bidi="ar"/>
        </w:rPr>
        <w:t xml:space="preserve"> </w:t>
      </w:r>
      <w:r w:rsidRPr="00CE1BCF">
        <w:rPr>
          <w:color w:val="000000" w:themeColor="text1"/>
          <w:szCs w:val="21"/>
          <w:lang w:bidi="ar"/>
        </w:rPr>
        <w:t>was quantified with the GAPDH as an internal control. The primer sequences used are shown in Appendix</w:t>
      </w:r>
      <w:r w:rsidRPr="00CE1BCF">
        <w:rPr>
          <w:rFonts w:hint="eastAsia"/>
          <w:color w:val="000000" w:themeColor="text1"/>
          <w:szCs w:val="21"/>
          <w:lang w:bidi="ar"/>
        </w:rPr>
        <w:t xml:space="preserve"> t</w:t>
      </w:r>
      <w:r w:rsidRPr="00CE1BCF">
        <w:rPr>
          <w:color w:val="000000" w:themeColor="text1"/>
          <w:szCs w:val="21"/>
          <w:lang w:bidi="ar"/>
        </w:rPr>
        <w:t xml:space="preserve">able </w:t>
      </w:r>
      <w:r>
        <w:rPr>
          <w:color w:val="000000" w:themeColor="text1"/>
          <w:szCs w:val="21"/>
          <w:lang w:bidi="ar"/>
        </w:rPr>
        <w:t>1</w:t>
      </w:r>
      <w:r w:rsidRPr="00CE1BCF">
        <w:rPr>
          <w:color w:val="000000" w:themeColor="text1"/>
          <w:szCs w:val="21"/>
          <w:lang w:bidi="ar"/>
        </w:rPr>
        <w:t>.</w:t>
      </w:r>
      <w:r>
        <w:rPr>
          <w:rFonts w:hint="eastAsia"/>
          <w:b/>
          <w:bCs/>
          <w:color w:val="000000" w:themeColor="text1"/>
          <w:szCs w:val="21"/>
        </w:rPr>
        <w:t xml:space="preserve"> </w:t>
      </w:r>
    </w:p>
    <w:bookmarkEnd w:id="5"/>
    <w:p w14:paraId="2BA989ED" w14:textId="77777777" w:rsidR="007B1802" w:rsidRPr="006B2434" w:rsidRDefault="007B1802" w:rsidP="007B1802">
      <w:pPr>
        <w:spacing w:line="360" w:lineRule="auto"/>
        <w:rPr>
          <w:b/>
          <w:bCs/>
          <w:color w:val="000000" w:themeColor="text1"/>
          <w:szCs w:val="21"/>
          <w:lang w:bidi="ar"/>
        </w:rPr>
      </w:pPr>
      <w:r w:rsidRPr="006B2434">
        <w:rPr>
          <w:b/>
          <w:bCs/>
          <w:color w:val="000000" w:themeColor="text1"/>
          <w:szCs w:val="21"/>
          <w:lang w:bidi="ar"/>
        </w:rPr>
        <w:t>Statistical Analysis</w:t>
      </w:r>
    </w:p>
    <w:p w14:paraId="221D045E" w14:textId="77777777" w:rsidR="007B1802" w:rsidRDefault="007B1802" w:rsidP="007B1802">
      <w:pPr>
        <w:spacing w:line="360" w:lineRule="auto"/>
        <w:rPr>
          <w:color w:val="000000" w:themeColor="text1"/>
          <w:szCs w:val="21"/>
          <w:lang w:bidi="ar"/>
        </w:rPr>
      </w:pPr>
      <w:r w:rsidRPr="006B2434">
        <w:rPr>
          <w:color w:val="000000" w:themeColor="text1"/>
          <w:szCs w:val="21"/>
          <w:lang w:bidi="ar"/>
        </w:rPr>
        <w:t>Western blot analysis was repeated three times using individually cultured cells. Other in vitro experiments were performed once in triplicate. For in vivo experiments, the total number of mice used is indicated in the figure legends. Data are expressed as means ± standard deviations (SDs), and statistical analysis was performed using one-way ANOVA and Tukey’s honestly using GraphPad Prism 9 (GraphPad Software Inc, San Diego, CA, USA). p-values were expressed as follows: *p &lt; 0.05, ** p &lt; 0.01, and *** p &lt; 0.001.</w:t>
      </w:r>
    </w:p>
    <w:p w14:paraId="60C98C56" w14:textId="77777777" w:rsidR="007B1802" w:rsidRDefault="007B1802" w:rsidP="007B1802">
      <w:pPr>
        <w:spacing w:line="360" w:lineRule="auto"/>
        <w:rPr>
          <w:color w:val="000000" w:themeColor="text1"/>
          <w:szCs w:val="21"/>
          <w:lang w:eastAsia="zh-CN" w:bidi="ar"/>
        </w:rPr>
      </w:pPr>
    </w:p>
    <w:p w14:paraId="040CCC90" w14:textId="77777777" w:rsidR="007B1802" w:rsidRDefault="007B1802" w:rsidP="007B1802">
      <w:pPr>
        <w:spacing w:line="360" w:lineRule="auto"/>
        <w:rPr>
          <w:color w:val="000000" w:themeColor="text1"/>
          <w:szCs w:val="21"/>
          <w:lang w:eastAsia="zh-CN" w:bidi="ar"/>
        </w:rPr>
      </w:pPr>
    </w:p>
    <w:p w14:paraId="5E584EE8" w14:textId="77777777" w:rsidR="00994A3D" w:rsidRPr="00994A3D" w:rsidRDefault="00654E8F" w:rsidP="0001436A">
      <w:pPr>
        <w:pStyle w:val="1"/>
      </w:pPr>
      <w:r w:rsidRPr="00994A3D">
        <w:t>Supplementary Figures and Tables</w:t>
      </w:r>
    </w:p>
    <w:p w14:paraId="44FE84BD" w14:textId="77777777" w:rsidR="007B1802" w:rsidRPr="00CE1BCF" w:rsidRDefault="007B1802" w:rsidP="007B1802">
      <w:pPr>
        <w:spacing w:line="360" w:lineRule="auto"/>
        <w:rPr>
          <w:b/>
          <w:bCs/>
          <w:color w:val="000000" w:themeColor="text1"/>
          <w:szCs w:val="21"/>
        </w:rPr>
      </w:pPr>
      <w:r>
        <w:rPr>
          <w:noProof/>
        </w:rPr>
        <w:drawing>
          <wp:inline distT="0" distB="0" distL="0" distR="0" wp14:anchorId="6A4C7843" wp14:editId="12AEA46B">
            <wp:extent cx="5274310" cy="1351915"/>
            <wp:effectExtent l="0" t="0" r="2540" b="635"/>
            <wp:docPr id="6193439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43961" name=""/>
                    <pic:cNvPicPr/>
                  </pic:nvPicPr>
                  <pic:blipFill>
                    <a:blip r:embed="rId12"/>
                    <a:stretch>
                      <a:fillRect/>
                    </a:stretch>
                  </pic:blipFill>
                  <pic:spPr>
                    <a:xfrm>
                      <a:off x="0" y="0"/>
                      <a:ext cx="5274310" cy="1351915"/>
                    </a:xfrm>
                    <a:prstGeom prst="rect">
                      <a:avLst/>
                    </a:prstGeom>
                  </pic:spPr>
                </pic:pic>
              </a:graphicData>
            </a:graphic>
          </wp:inline>
        </w:drawing>
      </w:r>
    </w:p>
    <w:p w14:paraId="733730C1" w14:textId="71E2CAF6" w:rsidR="007B1802" w:rsidRPr="007574FA" w:rsidRDefault="007B1802" w:rsidP="007B1802">
      <w:pPr>
        <w:spacing w:line="360" w:lineRule="auto"/>
        <w:rPr>
          <w:color w:val="000000" w:themeColor="text1"/>
          <w:szCs w:val="21"/>
        </w:rPr>
      </w:pPr>
      <w:r w:rsidRPr="00CE1BCF">
        <w:rPr>
          <w:b/>
          <w:bCs/>
          <w:color w:val="000000" w:themeColor="text1"/>
          <w:szCs w:val="21"/>
        </w:rPr>
        <w:t xml:space="preserve">Appendix Figure 1. </w:t>
      </w:r>
      <w:r w:rsidRPr="007574FA">
        <w:rPr>
          <w:b/>
          <w:bCs/>
          <w:color w:val="000000" w:themeColor="text1"/>
          <w:szCs w:val="21"/>
        </w:rPr>
        <w:t xml:space="preserve">C-di-AMP inhibits bone destruction in periodontitis induced by ligature placement in mice. </w:t>
      </w:r>
      <w:r w:rsidRPr="007574FA">
        <w:rPr>
          <w:color w:val="000000" w:themeColor="text1"/>
          <w:szCs w:val="21"/>
        </w:rPr>
        <w:t>(A) bone volume fraction (bone volume/total volume). (B) bone trabecular number (Tb. N).</w:t>
      </w:r>
      <w:r w:rsidR="005E6DF4" w:rsidRPr="005E6DF4">
        <w:t xml:space="preserve"> </w:t>
      </w:r>
      <w:r w:rsidR="005E6DF4" w:rsidRPr="005E6DF4">
        <w:rPr>
          <w:color w:val="000000" w:themeColor="text1"/>
          <w:szCs w:val="21"/>
        </w:rPr>
        <w:t>*P &lt; 0.05. One-way analysis of variance.</w:t>
      </w:r>
    </w:p>
    <w:p w14:paraId="2756641C" w14:textId="77777777" w:rsidR="007B1802" w:rsidRDefault="007B1802" w:rsidP="007B1802">
      <w:pPr>
        <w:spacing w:line="360" w:lineRule="auto"/>
        <w:rPr>
          <w:b/>
          <w:bCs/>
          <w:color w:val="000000" w:themeColor="text1"/>
          <w:szCs w:val="21"/>
        </w:rPr>
      </w:pPr>
    </w:p>
    <w:p w14:paraId="384B53B9" w14:textId="77777777" w:rsidR="007B1802" w:rsidRPr="00CE1BCF" w:rsidRDefault="007B1802" w:rsidP="007B1802">
      <w:pPr>
        <w:spacing w:line="360" w:lineRule="auto"/>
        <w:rPr>
          <w:b/>
          <w:bCs/>
          <w:color w:val="000000" w:themeColor="text1"/>
          <w:szCs w:val="21"/>
        </w:rPr>
      </w:pPr>
      <w:r>
        <w:rPr>
          <w:noProof/>
        </w:rPr>
        <w:drawing>
          <wp:inline distT="0" distB="0" distL="0" distR="0" wp14:anchorId="50E65CEF" wp14:editId="30882247">
            <wp:extent cx="5274310" cy="3578860"/>
            <wp:effectExtent l="0" t="0" r="2540" b="2540"/>
            <wp:docPr id="6278664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66449" name=""/>
                    <pic:cNvPicPr/>
                  </pic:nvPicPr>
                  <pic:blipFill>
                    <a:blip r:embed="rId13"/>
                    <a:stretch>
                      <a:fillRect/>
                    </a:stretch>
                  </pic:blipFill>
                  <pic:spPr>
                    <a:xfrm>
                      <a:off x="0" y="0"/>
                      <a:ext cx="5274310" cy="3578860"/>
                    </a:xfrm>
                    <a:prstGeom prst="rect">
                      <a:avLst/>
                    </a:prstGeom>
                  </pic:spPr>
                </pic:pic>
              </a:graphicData>
            </a:graphic>
          </wp:inline>
        </w:drawing>
      </w:r>
    </w:p>
    <w:p w14:paraId="3CD7B9F9" w14:textId="13DCF562" w:rsidR="007B1802" w:rsidRDefault="007B1802" w:rsidP="007B1802">
      <w:pPr>
        <w:spacing w:line="360" w:lineRule="auto"/>
        <w:rPr>
          <w:color w:val="000000" w:themeColor="text1"/>
          <w:szCs w:val="21"/>
        </w:rPr>
      </w:pPr>
      <w:r w:rsidRPr="00CE1BCF">
        <w:rPr>
          <w:b/>
          <w:bCs/>
          <w:color w:val="000000" w:themeColor="text1"/>
          <w:szCs w:val="21"/>
        </w:rPr>
        <w:t xml:space="preserve">Appendix Figure 2. </w:t>
      </w:r>
      <w:r w:rsidRPr="00FD274E">
        <w:rPr>
          <w:b/>
          <w:bCs/>
          <w:color w:val="000000" w:themeColor="text1"/>
          <w:szCs w:val="21"/>
        </w:rPr>
        <w:t xml:space="preserve">C-di-AMP promotes the expression of the PI3K/Akt signaling pathway in human gingival epithelial cells. </w:t>
      </w:r>
      <w:r w:rsidRPr="00FD274E">
        <w:rPr>
          <w:color w:val="000000" w:themeColor="text1"/>
          <w:szCs w:val="21"/>
        </w:rPr>
        <w:t>(A) Heatmap of differential gene expression. (B) The</w:t>
      </w:r>
      <w:r>
        <w:rPr>
          <w:color w:val="000000" w:themeColor="text1"/>
          <w:szCs w:val="21"/>
        </w:rPr>
        <w:t xml:space="preserve"> </w:t>
      </w:r>
      <w:r w:rsidRPr="00FD274E">
        <w:rPr>
          <w:color w:val="000000" w:themeColor="text1"/>
          <w:szCs w:val="21"/>
        </w:rPr>
        <w:t xml:space="preserve">expression of top 5 enriched up-regulated genes. </w:t>
      </w:r>
      <w:r w:rsidR="005E6DF4" w:rsidRPr="005E6DF4">
        <w:rPr>
          <w:color w:val="000000" w:themeColor="text1"/>
          <w:szCs w:val="21"/>
        </w:rPr>
        <w:t>One-way analysis of variance.</w:t>
      </w:r>
    </w:p>
    <w:p w14:paraId="3B065029" w14:textId="77777777" w:rsidR="007B1802" w:rsidRPr="00FD274E" w:rsidRDefault="007B1802" w:rsidP="007B1802">
      <w:pPr>
        <w:spacing w:line="360" w:lineRule="auto"/>
        <w:rPr>
          <w:color w:val="000000" w:themeColor="text1"/>
          <w:szCs w:val="21"/>
        </w:rPr>
      </w:pPr>
      <w:r>
        <w:rPr>
          <w:noProof/>
        </w:rPr>
        <w:drawing>
          <wp:inline distT="0" distB="0" distL="0" distR="0" wp14:anchorId="7197D562" wp14:editId="68E1F767">
            <wp:extent cx="5274310" cy="4114165"/>
            <wp:effectExtent l="0" t="0" r="2540" b="635"/>
            <wp:docPr id="3833167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16704" name=""/>
                    <pic:cNvPicPr/>
                  </pic:nvPicPr>
                  <pic:blipFill>
                    <a:blip r:embed="rId14"/>
                    <a:stretch>
                      <a:fillRect/>
                    </a:stretch>
                  </pic:blipFill>
                  <pic:spPr>
                    <a:xfrm>
                      <a:off x="0" y="0"/>
                      <a:ext cx="5274310" cy="4114165"/>
                    </a:xfrm>
                    <a:prstGeom prst="rect">
                      <a:avLst/>
                    </a:prstGeom>
                  </pic:spPr>
                </pic:pic>
              </a:graphicData>
            </a:graphic>
          </wp:inline>
        </w:drawing>
      </w:r>
    </w:p>
    <w:p w14:paraId="7C3E1267" w14:textId="68459A1C" w:rsidR="007B1802" w:rsidRDefault="007B1802" w:rsidP="007B1802">
      <w:pPr>
        <w:spacing w:line="360" w:lineRule="auto"/>
        <w:rPr>
          <w:color w:val="000000" w:themeColor="text1"/>
          <w:szCs w:val="21"/>
        </w:rPr>
      </w:pPr>
      <w:r w:rsidRPr="00CE1BCF">
        <w:rPr>
          <w:rFonts w:hint="eastAsia"/>
          <w:b/>
          <w:bCs/>
          <w:color w:val="000000" w:themeColor="text1"/>
          <w:szCs w:val="21"/>
        </w:rPr>
        <w:t xml:space="preserve">Appendix Figure </w:t>
      </w:r>
      <w:r w:rsidRPr="00CE1BCF">
        <w:rPr>
          <w:b/>
          <w:bCs/>
          <w:color w:val="000000" w:themeColor="text1"/>
          <w:szCs w:val="21"/>
        </w:rPr>
        <w:t xml:space="preserve">3. </w:t>
      </w:r>
      <w:r w:rsidRPr="00FD274E">
        <w:rPr>
          <w:b/>
          <w:bCs/>
          <w:color w:val="000000" w:themeColor="text1"/>
          <w:szCs w:val="21"/>
        </w:rPr>
        <w:t>C-di-AMP exhibits no significant influence on oral microbiota in periodontitis.</w:t>
      </w:r>
      <w:r w:rsidRPr="00CE1BCF">
        <w:rPr>
          <w:b/>
          <w:bCs/>
          <w:color w:val="000000" w:themeColor="text1"/>
          <w:szCs w:val="21"/>
        </w:rPr>
        <w:t xml:space="preserve"> </w:t>
      </w:r>
      <w:r w:rsidRPr="00FD274E">
        <w:rPr>
          <w:color w:val="000000" w:themeColor="text1"/>
          <w:szCs w:val="21"/>
        </w:rPr>
        <w:t xml:space="preserve">The absolute abundance of (A) </w:t>
      </w:r>
      <w:proofErr w:type="spellStart"/>
      <w:r w:rsidRPr="00FD274E">
        <w:rPr>
          <w:color w:val="000000" w:themeColor="text1"/>
          <w:szCs w:val="21"/>
        </w:rPr>
        <w:t>Porphyromonas</w:t>
      </w:r>
      <w:proofErr w:type="spellEnd"/>
      <w:r w:rsidRPr="00FD274E">
        <w:rPr>
          <w:color w:val="000000" w:themeColor="text1"/>
          <w:szCs w:val="21"/>
        </w:rPr>
        <w:t>, (B) Prevotella_9, (C) Fusobacterium, (D) Neisseria, (E) Actinomyces, (F) Streptococcus.</w:t>
      </w:r>
      <w:r w:rsidR="005E6DF4" w:rsidRPr="005E6DF4">
        <w:t xml:space="preserve"> </w:t>
      </w:r>
      <w:r w:rsidR="005E6DF4" w:rsidRPr="005E6DF4">
        <w:rPr>
          <w:color w:val="000000" w:themeColor="text1"/>
          <w:szCs w:val="21"/>
        </w:rPr>
        <w:t>One-way analysis of variance.</w:t>
      </w:r>
    </w:p>
    <w:p w14:paraId="7454EDA1" w14:textId="77777777" w:rsidR="007B1802" w:rsidRPr="003A76F6" w:rsidRDefault="007B1802" w:rsidP="007B1802">
      <w:pPr>
        <w:spacing w:line="360" w:lineRule="auto"/>
        <w:rPr>
          <w:b/>
          <w:bCs/>
          <w:color w:val="000000" w:themeColor="text1"/>
          <w:szCs w:val="21"/>
        </w:rPr>
      </w:pPr>
    </w:p>
    <w:p w14:paraId="792D2F33" w14:textId="77777777" w:rsidR="007B1802" w:rsidRPr="00CE1BCF" w:rsidRDefault="007B1802" w:rsidP="007B1802">
      <w:pPr>
        <w:spacing w:line="360" w:lineRule="auto"/>
        <w:rPr>
          <w:b/>
          <w:bCs/>
          <w:color w:val="000000" w:themeColor="text1"/>
          <w:szCs w:val="21"/>
        </w:rPr>
      </w:pPr>
      <w:r w:rsidRPr="00CE1BCF">
        <w:rPr>
          <w:b/>
          <w:bCs/>
          <w:color w:val="000000" w:themeColor="text1"/>
          <w:szCs w:val="21"/>
        </w:rPr>
        <w:t xml:space="preserve">Appendix table </w:t>
      </w:r>
      <w:r>
        <w:rPr>
          <w:b/>
          <w:bCs/>
          <w:color w:val="000000" w:themeColor="text1"/>
          <w:szCs w:val="21"/>
        </w:rPr>
        <w:t>1</w:t>
      </w:r>
      <w:r w:rsidRPr="00CE1BCF">
        <w:rPr>
          <w:b/>
          <w:bCs/>
          <w:color w:val="000000" w:themeColor="text1"/>
          <w:szCs w:val="21"/>
        </w:rPr>
        <w:t xml:space="preserve">. </w:t>
      </w:r>
      <w:r w:rsidRPr="00CE1BCF">
        <w:rPr>
          <w:rFonts w:hint="eastAsia"/>
          <w:b/>
          <w:bCs/>
          <w:color w:val="000000" w:themeColor="text1"/>
          <w:szCs w:val="21"/>
        </w:rPr>
        <w:t xml:space="preserve">Primers of </w:t>
      </w:r>
      <w:r w:rsidRPr="00CE1BCF">
        <w:rPr>
          <w:b/>
          <w:bCs/>
          <w:color w:val="000000" w:themeColor="text1"/>
          <w:szCs w:val="21"/>
        </w:rPr>
        <w:t>RT-qPCR</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
        <w:gridCol w:w="3950"/>
        <w:gridCol w:w="3990"/>
      </w:tblGrid>
      <w:tr w:rsidR="007B1802" w:rsidRPr="00CE1BCF" w14:paraId="38B391A3" w14:textId="77777777" w:rsidTr="00D50FE0">
        <w:tc>
          <w:tcPr>
            <w:tcW w:w="1562" w:type="dxa"/>
            <w:tcBorders>
              <w:top w:val="single" w:sz="8" w:space="0" w:color="auto"/>
              <w:left w:val="nil"/>
              <w:bottom w:val="single" w:sz="8" w:space="0" w:color="auto"/>
              <w:right w:val="nil"/>
            </w:tcBorders>
          </w:tcPr>
          <w:p w14:paraId="55789F27" w14:textId="77777777" w:rsidR="007B1802" w:rsidRPr="00CE1BCF" w:rsidRDefault="007B1802" w:rsidP="00D50FE0">
            <w:pPr>
              <w:rPr>
                <w:color w:val="000000" w:themeColor="text1"/>
                <w:szCs w:val="21"/>
              </w:rPr>
            </w:pPr>
            <w:r w:rsidRPr="00CE1BCF">
              <w:rPr>
                <w:color w:val="000000" w:themeColor="text1"/>
                <w:szCs w:val="21"/>
              </w:rPr>
              <w:t>Primers</w:t>
            </w:r>
          </w:p>
        </w:tc>
        <w:tc>
          <w:tcPr>
            <w:tcW w:w="3670" w:type="dxa"/>
            <w:tcBorders>
              <w:top w:val="single" w:sz="8" w:space="0" w:color="auto"/>
              <w:left w:val="nil"/>
              <w:bottom w:val="single" w:sz="8" w:space="0" w:color="auto"/>
              <w:right w:val="nil"/>
            </w:tcBorders>
          </w:tcPr>
          <w:p w14:paraId="0F7E7D1A" w14:textId="77777777" w:rsidR="007B1802" w:rsidRPr="00CE1BCF" w:rsidRDefault="007B1802" w:rsidP="00D50FE0">
            <w:pPr>
              <w:rPr>
                <w:color w:val="000000" w:themeColor="text1"/>
                <w:szCs w:val="21"/>
              </w:rPr>
            </w:pPr>
            <w:r w:rsidRPr="00CE1BCF">
              <w:rPr>
                <w:color w:val="000000" w:themeColor="text1"/>
                <w:szCs w:val="21"/>
              </w:rPr>
              <w:t>Forward (5’ to 3’)</w:t>
            </w:r>
          </w:p>
        </w:tc>
        <w:tc>
          <w:tcPr>
            <w:tcW w:w="3557" w:type="dxa"/>
            <w:tcBorders>
              <w:top w:val="single" w:sz="8" w:space="0" w:color="auto"/>
              <w:left w:val="nil"/>
              <w:bottom w:val="single" w:sz="8" w:space="0" w:color="auto"/>
              <w:right w:val="nil"/>
            </w:tcBorders>
          </w:tcPr>
          <w:p w14:paraId="0292116F" w14:textId="77777777" w:rsidR="007B1802" w:rsidRPr="00CE1BCF" w:rsidRDefault="007B1802" w:rsidP="00D50FE0">
            <w:pPr>
              <w:rPr>
                <w:color w:val="000000" w:themeColor="text1"/>
                <w:szCs w:val="21"/>
              </w:rPr>
            </w:pPr>
            <w:r w:rsidRPr="00CE1BCF">
              <w:rPr>
                <w:color w:val="000000" w:themeColor="text1"/>
                <w:szCs w:val="21"/>
              </w:rPr>
              <w:t>Reverse (3’ to 5’)</w:t>
            </w:r>
          </w:p>
        </w:tc>
      </w:tr>
      <w:tr w:rsidR="007B1802" w:rsidRPr="00CE1BCF" w14:paraId="7B7A228D" w14:textId="77777777" w:rsidTr="00D50FE0">
        <w:tc>
          <w:tcPr>
            <w:tcW w:w="1562" w:type="dxa"/>
            <w:tcBorders>
              <w:top w:val="single" w:sz="8" w:space="0" w:color="auto"/>
              <w:left w:val="nil"/>
              <w:bottom w:val="nil"/>
              <w:right w:val="nil"/>
            </w:tcBorders>
          </w:tcPr>
          <w:p w14:paraId="5BE6EA8A" w14:textId="77777777" w:rsidR="007B1802" w:rsidRPr="00CE1BCF" w:rsidRDefault="007B1802" w:rsidP="00D50FE0">
            <w:pPr>
              <w:rPr>
                <w:color w:val="000000" w:themeColor="text1"/>
                <w:szCs w:val="21"/>
              </w:rPr>
            </w:pPr>
            <w:r w:rsidRPr="00CE1BCF">
              <w:rPr>
                <w:color w:val="000000" w:themeColor="text1"/>
                <w:szCs w:val="21"/>
              </w:rPr>
              <w:t>GAPDH</w:t>
            </w:r>
          </w:p>
        </w:tc>
        <w:tc>
          <w:tcPr>
            <w:tcW w:w="3670" w:type="dxa"/>
            <w:tcBorders>
              <w:top w:val="single" w:sz="8" w:space="0" w:color="auto"/>
              <w:left w:val="nil"/>
              <w:bottom w:val="nil"/>
              <w:right w:val="nil"/>
            </w:tcBorders>
          </w:tcPr>
          <w:p w14:paraId="44C0962F" w14:textId="77777777" w:rsidR="007B1802" w:rsidRPr="00CE1BCF" w:rsidRDefault="007B1802" w:rsidP="00D50FE0">
            <w:pPr>
              <w:rPr>
                <w:color w:val="000000" w:themeColor="text1"/>
                <w:szCs w:val="21"/>
              </w:rPr>
            </w:pPr>
            <w:r w:rsidRPr="00FD274E">
              <w:rPr>
                <w:color w:val="000000" w:themeColor="text1"/>
                <w:szCs w:val="21"/>
              </w:rPr>
              <w:t>AATCCCATCACCATCTTCCAG</w:t>
            </w:r>
          </w:p>
        </w:tc>
        <w:tc>
          <w:tcPr>
            <w:tcW w:w="3557" w:type="dxa"/>
            <w:tcBorders>
              <w:top w:val="single" w:sz="8" w:space="0" w:color="auto"/>
              <w:left w:val="nil"/>
              <w:bottom w:val="nil"/>
              <w:right w:val="nil"/>
            </w:tcBorders>
            <w:vAlign w:val="center"/>
          </w:tcPr>
          <w:p w14:paraId="2B4E720D" w14:textId="77777777" w:rsidR="007B1802" w:rsidRPr="00CE1BCF" w:rsidRDefault="007B1802" w:rsidP="00D50FE0">
            <w:pPr>
              <w:textAlignment w:val="center"/>
              <w:rPr>
                <w:color w:val="000000" w:themeColor="text1"/>
                <w:szCs w:val="21"/>
              </w:rPr>
            </w:pPr>
            <w:r w:rsidRPr="00FD274E">
              <w:rPr>
                <w:color w:val="000000" w:themeColor="text1"/>
                <w:szCs w:val="21"/>
                <w:lang w:bidi="ar"/>
              </w:rPr>
              <w:t>AAATGAGCCCCAGCCTTC</w:t>
            </w:r>
          </w:p>
        </w:tc>
      </w:tr>
      <w:tr w:rsidR="007B1802" w:rsidRPr="00CE1BCF" w14:paraId="399494A1" w14:textId="77777777" w:rsidTr="00D50FE0">
        <w:tc>
          <w:tcPr>
            <w:tcW w:w="1562" w:type="dxa"/>
            <w:tcBorders>
              <w:top w:val="nil"/>
              <w:left w:val="nil"/>
              <w:bottom w:val="nil"/>
              <w:right w:val="nil"/>
            </w:tcBorders>
          </w:tcPr>
          <w:p w14:paraId="178C8684" w14:textId="77777777" w:rsidR="007B1802" w:rsidRPr="00CE1BCF" w:rsidRDefault="007B1802" w:rsidP="00D50FE0">
            <w:pPr>
              <w:rPr>
                <w:color w:val="000000" w:themeColor="text1"/>
                <w:szCs w:val="21"/>
              </w:rPr>
            </w:pPr>
            <w:r w:rsidRPr="00CE1BCF">
              <w:rPr>
                <w:color w:val="000000" w:themeColor="text1"/>
                <w:szCs w:val="21"/>
              </w:rPr>
              <w:t>IL-6</w:t>
            </w:r>
          </w:p>
        </w:tc>
        <w:tc>
          <w:tcPr>
            <w:tcW w:w="3670" w:type="dxa"/>
            <w:tcBorders>
              <w:top w:val="nil"/>
              <w:left w:val="nil"/>
              <w:bottom w:val="nil"/>
              <w:right w:val="nil"/>
            </w:tcBorders>
            <w:vAlign w:val="center"/>
          </w:tcPr>
          <w:p w14:paraId="05114335" w14:textId="77777777" w:rsidR="007B1802" w:rsidRPr="00CE1BCF" w:rsidRDefault="007B1802" w:rsidP="00D50FE0">
            <w:pPr>
              <w:textAlignment w:val="center"/>
              <w:rPr>
                <w:color w:val="000000" w:themeColor="text1"/>
                <w:szCs w:val="21"/>
              </w:rPr>
            </w:pPr>
            <w:r w:rsidRPr="00FD274E">
              <w:rPr>
                <w:color w:val="000000" w:themeColor="text1"/>
                <w:szCs w:val="21"/>
                <w:lang w:bidi="ar"/>
              </w:rPr>
              <w:t>ACTCACCTCTTCAGAACGAATTG</w:t>
            </w:r>
          </w:p>
        </w:tc>
        <w:tc>
          <w:tcPr>
            <w:tcW w:w="3557" w:type="dxa"/>
            <w:tcBorders>
              <w:top w:val="nil"/>
              <w:left w:val="nil"/>
              <w:bottom w:val="nil"/>
              <w:right w:val="nil"/>
            </w:tcBorders>
            <w:vAlign w:val="center"/>
          </w:tcPr>
          <w:p w14:paraId="024C0626" w14:textId="77777777" w:rsidR="007B1802" w:rsidRPr="00CE1BCF" w:rsidRDefault="007B1802" w:rsidP="00D50FE0">
            <w:pPr>
              <w:textAlignment w:val="center"/>
              <w:rPr>
                <w:color w:val="000000" w:themeColor="text1"/>
                <w:szCs w:val="21"/>
              </w:rPr>
            </w:pPr>
            <w:r w:rsidRPr="00FD274E">
              <w:rPr>
                <w:color w:val="000000" w:themeColor="text1"/>
                <w:szCs w:val="21"/>
                <w:lang w:bidi="ar"/>
              </w:rPr>
              <w:t>CCATCTTTGGAAGGTTCAGGTTG</w:t>
            </w:r>
          </w:p>
        </w:tc>
      </w:tr>
      <w:tr w:rsidR="007B1802" w:rsidRPr="00CE1BCF" w14:paraId="6CA2A58D" w14:textId="77777777" w:rsidTr="00D50FE0">
        <w:tc>
          <w:tcPr>
            <w:tcW w:w="1562" w:type="dxa"/>
            <w:tcBorders>
              <w:top w:val="nil"/>
              <w:left w:val="nil"/>
              <w:bottom w:val="nil"/>
              <w:right w:val="nil"/>
            </w:tcBorders>
          </w:tcPr>
          <w:p w14:paraId="1416C081" w14:textId="77777777" w:rsidR="007B1802" w:rsidRPr="00CE1BCF" w:rsidRDefault="007B1802" w:rsidP="00D50FE0">
            <w:pPr>
              <w:rPr>
                <w:color w:val="000000" w:themeColor="text1"/>
                <w:szCs w:val="21"/>
              </w:rPr>
            </w:pPr>
            <w:r w:rsidRPr="00CE1BCF">
              <w:rPr>
                <w:color w:val="000000" w:themeColor="text1"/>
                <w:szCs w:val="21"/>
              </w:rPr>
              <w:t>TNF-α</w:t>
            </w:r>
          </w:p>
        </w:tc>
        <w:tc>
          <w:tcPr>
            <w:tcW w:w="3670" w:type="dxa"/>
            <w:tcBorders>
              <w:top w:val="nil"/>
              <w:left w:val="nil"/>
              <w:bottom w:val="nil"/>
              <w:right w:val="nil"/>
            </w:tcBorders>
            <w:vAlign w:val="center"/>
          </w:tcPr>
          <w:p w14:paraId="47E3E171" w14:textId="77777777" w:rsidR="007B1802" w:rsidRPr="00CE1BCF" w:rsidRDefault="007B1802" w:rsidP="00D50FE0">
            <w:pPr>
              <w:textAlignment w:val="center"/>
              <w:rPr>
                <w:color w:val="000000" w:themeColor="text1"/>
                <w:szCs w:val="21"/>
              </w:rPr>
            </w:pPr>
            <w:r w:rsidRPr="00FD274E">
              <w:rPr>
                <w:color w:val="000000" w:themeColor="text1"/>
                <w:szCs w:val="21"/>
                <w:lang w:bidi="ar"/>
              </w:rPr>
              <w:t>CCTCTCTCTAATCAGCCCTCTG</w:t>
            </w:r>
          </w:p>
        </w:tc>
        <w:tc>
          <w:tcPr>
            <w:tcW w:w="3557" w:type="dxa"/>
            <w:tcBorders>
              <w:top w:val="nil"/>
              <w:left w:val="nil"/>
              <w:bottom w:val="nil"/>
              <w:right w:val="nil"/>
            </w:tcBorders>
            <w:vAlign w:val="center"/>
          </w:tcPr>
          <w:p w14:paraId="0C4C77F5" w14:textId="77777777" w:rsidR="007B1802" w:rsidRPr="00CE1BCF" w:rsidRDefault="007B1802" w:rsidP="00D50FE0">
            <w:pPr>
              <w:textAlignment w:val="center"/>
              <w:rPr>
                <w:color w:val="000000" w:themeColor="text1"/>
                <w:szCs w:val="21"/>
              </w:rPr>
            </w:pPr>
            <w:r w:rsidRPr="00FD274E">
              <w:rPr>
                <w:color w:val="000000" w:themeColor="text1"/>
                <w:szCs w:val="21"/>
                <w:lang w:bidi="ar"/>
              </w:rPr>
              <w:t>GAGGACCTGGGAGTAGATGAG</w:t>
            </w:r>
          </w:p>
        </w:tc>
      </w:tr>
      <w:tr w:rsidR="007B1802" w:rsidRPr="00CE1BCF" w14:paraId="2B792661" w14:textId="77777777" w:rsidTr="00D50FE0">
        <w:tc>
          <w:tcPr>
            <w:tcW w:w="1562" w:type="dxa"/>
            <w:tcBorders>
              <w:top w:val="nil"/>
              <w:left w:val="nil"/>
              <w:bottom w:val="nil"/>
              <w:right w:val="nil"/>
            </w:tcBorders>
          </w:tcPr>
          <w:p w14:paraId="36B6113A" w14:textId="77777777" w:rsidR="007B1802" w:rsidRPr="00CE1BCF" w:rsidRDefault="007B1802" w:rsidP="00D50FE0">
            <w:pPr>
              <w:rPr>
                <w:color w:val="000000" w:themeColor="text1"/>
                <w:szCs w:val="21"/>
              </w:rPr>
            </w:pPr>
            <w:r>
              <w:rPr>
                <w:color w:val="000000" w:themeColor="text1"/>
                <w:szCs w:val="21"/>
              </w:rPr>
              <w:t>EPHA2</w:t>
            </w:r>
          </w:p>
        </w:tc>
        <w:tc>
          <w:tcPr>
            <w:tcW w:w="3670" w:type="dxa"/>
            <w:tcBorders>
              <w:top w:val="nil"/>
              <w:left w:val="nil"/>
              <w:bottom w:val="nil"/>
              <w:right w:val="nil"/>
            </w:tcBorders>
            <w:vAlign w:val="center"/>
          </w:tcPr>
          <w:p w14:paraId="01BFB36B" w14:textId="77777777" w:rsidR="007B1802" w:rsidRPr="00CE1BCF" w:rsidRDefault="007B1802" w:rsidP="00D50FE0">
            <w:pPr>
              <w:textAlignment w:val="center"/>
              <w:rPr>
                <w:color w:val="000000" w:themeColor="text1"/>
                <w:szCs w:val="21"/>
                <w:lang w:bidi="ar"/>
              </w:rPr>
            </w:pPr>
            <w:r w:rsidRPr="00FD274E">
              <w:rPr>
                <w:color w:val="000000" w:themeColor="text1"/>
                <w:szCs w:val="21"/>
                <w:lang w:bidi="ar"/>
              </w:rPr>
              <w:t>TGGCTCACACACCCGTATG</w:t>
            </w:r>
          </w:p>
        </w:tc>
        <w:tc>
          <w:tcPr>
            <w:tcW w:w="3557" w:type="dxa"/>
            <w:tcBorders>
              <w:top w:val="nil"/>
              <w:left w:val="nil"/>
              <w:bottom w:val="nil"/>
              <w:right w:val="nil"/>
            </w:tcBorders>
            <w:vAlign w:val="center"/>
          </w:tcPr>
          <w:p w14:paraId="3252BF14" w14:textId="77777777" w:rsidR="007B1802" w:rsidRPr="00CE1BCF" w:rsidRDefault="007B1802" w:rsidP="00D50FE0">
            <w:pPr>
              <w:textAlignment w:val="center"/>
              <w:rPr>
                <w:color w:val="000000" w:themeColor="text1"/>
                <w:szCs w:val="21"/>
                <w:lang w:bidi="ar"/>
              </w:rPr>
            </w:pPr>
            <w:r w:rsidRPr="00FD274E">
              <w:rPr>
                <w:color w:val="000000" w:themeColor="text1"/>
                <w:szCs w:val="21"/>
                <w:lang w:bidi="ar"/>
              </w:rPr>
              <w:t>GTCGCCAGACATCACGTTG</w:t>
            </w:r>
          </w:p>
        </w:tc>
      </w:tr>
      <w:tr w:rsidR="007B1802" w:rsidRPr="00CE1BCF" w14:paraId="70AD730E" w14:textId="77777777" w:rsidTr="00D50FE0">
        <w:tc>
          <w:tcPr>
            <w:tcW w:w="1562" w:type="dxa"/>
            <w:tcBorders>
              <w:top w:val="nil"/>
              <w:left w:val="nil"/>
              <w:bottom w:val="nil"/>
              <w:right w:val="nil"/>
            </w:tcBorders>
          </w:tcPr>
          <w:p w14:paraId="61C225FC" w14:textId="77777777" w:rsidR="007B1802" w:rsidRPr="00CE1BCF" w:rsidRDefault="007B1802" w:rsidP="00D50FE0">
            <w:pPr>
              <w:rPr>
                <w:color w:val="000000" w:themeColor="text1"/>
                <w:szCs w:val="21"/>
              </w:rPr>
            </w:pPr>
            <w:r>
              <w:rPr>
                <w:color w:val="000000" w:themeColor="text1"/>
                <w:szCs w:val="21"/>
              </w:rPr>
              <w:t>AKT</w:t>
            </w:r>
          </w:p>
        </w:tc>
        <w:tc>
          <w:tcPr>
            <w:tcW w:w="3670" w:type="dxa"/>
            <w:tcBorders>
              <w:top w:val="nil"/>
              <w:left w:val="nil"/>
              <w:bottom w:val="nil"/>
              <w:right w:val="nil"/>
            </w:tcBorders>
            <w:vAlign w:val="center"/>
          </w:tcPr>
          <w:p w14:paraId="70383113" w14:textId="77777777" w:rsidR="007B1802" w:rsidRPr="00CE1BCF" w:rsidRDefault="007B1802" w:rsidP="00D50FE0">
            <w:pPr>
              <w:textAlignment w:val="center"/>
              <w:rPr>
                <w:color w:val="000000" w:themeColor="text1"/>
                <w:szCs w:val="21"/>
                <w:lang w:bidi="ar"/>
              </w:rPr>
            </w:pPr>
            <w:r w:rsidRPr="00FD274E">
              <w:rPr>
                <w:color w:val="000000" w:themeColor="text1"/>
                <w:szCs w:val="21"/>
                <w:lang w:bidi="ar"/>
              </w:rPr>
              <w:t>AGCGACGTGGCTATTGTGAAG</w:t>
            </w:r>
          </w:p>
        </w:tc>
        <w:tc>
          <w:tcPr>
            <w:tcW w:w="3557" w:type="dxa"/>
            <w:tcBorders>
              <w:top w:val="nil"/>
              <w:left w:val="nil"/>
              <w:bottom w:val="nil"/>
              <w:right w:val="nil"/>
            </w:tcBorders>
            <w:vAlign w:val="center"/>
          </w:tcPr>
          <w:p w14:paraId="36BFA1C2" w14:textId="77777777" w:rsidR="007B1802" w:rsidRPr="00CE1BCF" w:rsidRDefault="007B1802" w:rsidP="00D50FE0">
            <w:pPr>
              <w:textAlignment w:val="center"/>
              <w:rPr>
                <w:color w:val="000000" w:themeColor="text1"/>
                <w:szCs w:val="21"/>
                <w:lang w:bidi="ar"/>
              </w:rPr>
            </w:pPr>
            <w:r w:rsidRPr="00FD274E">
              <w:rPr>
                <w:color w:val="000000" w:themeColor="text1"/>
                <w:szCs w:val="21"/>
                <w:lang w:bidi="ar"/>
              </w:rPr>
              <w:t>GCCATCATTCTTGAGGAGGAAGT</w:t>
            </w:r>
          </w:p>
        </w:tc>
      </w:tr>
      <w:tr w:rsidR="007B1802" w:rsidRPr="00CE1BCF" w14:paraId="2B943EF3" w14:textId="77777777" w:rsidTr="00D50FE0">
        <w:tc>
          <w:tcPr>
            <w:tcW w:w="1562" w:type="dxa"/>
            <w:tcBorders>
              <w:top w:val="nil"/>
              <w:left w:val="nil"/>
              <w:bottom w:val="nil"/>
              <w:right w:val="nil"/>
            </w:tcBorders>
          </w:tcPr>
          <w:p w14:paraId="4923C949" w14:textId="77777777" w:rsidR="007B1802" w:rsidRPr="00CE1BCF" w:rsidRDefault="007B1802" w:rsidP="00D50FE0">
            <w:pPr>
              <w:rPr>
                <w:color w:val="000000" w:themeColor="text1"/>
                <w:szCs w:val="21"/>
              </w:rPr>
            </w:pPr>
            <w:r>
              <w:rPr>
                <w:color w:val="000000" w:themeColor="text1"/>
                <w:szCs w:val="21"/>
              </w:rPr>
              <w:t>NFE2L2</w:t>
            </w:r>
          </w:p>
        </w:tc>
        <w:tc>
          <w:tcPr>
            <w:tcW w:w="3670" w:type="dxa"/>
            <w:tcBorders>
              <w:top w:val="nil"/>
              <w:left w:val="nil"/>
              <w:bottom w:val="nil"/>
              <w:right w:val="nil"/>
            </w:tcBorders>
            <w:vAlign w:val="center"/>
          </w:tcPr>
          <w:p w14:paraId="7CEDD041" w14:textId="77777777" w:rsidR="007B1802" w:rsidRPr="00CE1BCF" w:rsidRDefault="007B1802" w:rsidP="00D50FE0">
            <w:pPr>
              <w:textAlignment w:val="center"/>
              <w:rPr>
                <w:color w:val="000000" w:themeColor="text1"/>
                <w:szCs w:val="21"/>
                <w:lang w:bidi="ar"/>
              </w:rPr>
            </w:pPr>
            <w:r w:rsidRPr="00FD274E">
              <w:rPr>
                <w:color w:val="000000" w:themeColor="text1"/>
                <w:szCs w:val="21"/>
                <w:lang w:bidi="ar"/>
              </w:rPr>
              <w:t>TCAGCGACGGAAAGAGTATGA</w:t>
            </w:r>
          </w:p>
        </w:tc>
        <w:tc>
          <w:tcPr>
            <w:tcW w:w="3557" w:type="dxa"/>
            <w:tcBorders>
              <w:top w:val="nil"/>
              <w:left w:val="nil"/>
              <w:bottom w:val="nil"/>
              <w:right w:val="nil"/>
            </w:tcBorders>
            <w:vAlign w:val="center"/>
          </w:tcPr>
          <w:p w14:paraId="4A5B4C8B" w14:textId="77777777" w:rsidR="007B1802" w:rsidRPr="00CE1BCF" w:rsidRDefault="007B1802" w:rsidP="00D50FE0">
            <w:pPr>
              <w:textAlignment w:val="center"/>
              <w:rPr>
                <w:color w:val="000000" w:themeColor="text1"/>
                <w:szCs w:val="21"/>
                <w:lang w:bidi="ar"/>
              </w:rPr>
            </w:pPr>
            <w:r w:rsidRPr="00FD274E">
              <w:rPr>
                <w:color w:val="000000" w:themeColor="text1"/>
                <w:szCs w:val="21"/>
                <w:lang w:bidi="ar"/>
              </w:rPr>
              <w:t>CCACTGGTTTCTGACTGGATGT</w:t>
            </w:r>
          </w:p>
        </w:tc>
      </w:tr>
      <w:tr w:rsidR="007B1802" w:rsidRPr="00CE1BCF" w14:paraId="749098B0" w14:textId="77777777" w:rsidTr="00D50FE0">
        <w:tc>
          <w:tcPr>
            <w:tcW w:w="1562" w:type="dxa"/>
            <w:tcBorders>
              <w:top w:val="nil"/>
              <w:left w:val="nil"/>
              <w:bottom w:val="single" w:sz="8" w:space="0" w:color="auto"/>
              <w:right w:val="nil"/>
            </w:tcBorders>
          </w:tcPr>
          <w:p w14:paraId="713FAA92" w14:textId="77777777" w:rsidR="007B1802" w:rsidRPr="00CE1BCF" w:rsidRDefault="007B1802" w:rsidP="00D50FE0">
            <w:pPr>
              <w:rPr>
                <w:i/>
                <w:iCs/>
                <w:color w:val="000000" w:themeColor="text1"/>
                <w:szCs w:val="21"/>
              </w:rPr>
            </w:pPr>
            <w:r w:rsidRPr="00CE1BCF">
              <w:rPr>
                <w:rFonts w:hint="eastAsia"/>
                <w:color w:val="000000" w:themeColor="text1"/>
                <w:szCs w:val="21"/>
              </w:rPr>
              <w:t>1</w:t>
            </w:r>
            <w:r w:rsidRPr="00CE1BCF">
              <w:rPr>
                <w:color w:val="000000" w:themeColor="text1"/>
                <w:szCs w:val="21"/>
              </w:rPr>
              <w:t>6s rRNA</w:t>
            </w:r>
          </w:p>
        </w:tc>
        <w:tc>
          <w:tcPr>
            <w:tcW w:w="3670" w:type="dxa"/>
            <w:tcBorders>
              <w:top w:val="nil"/>
              <w:left w:val="nil"/>
              <w:bottom w:val="single" w:sz="8" w:space="0" w:color="auto"/>
              <w:right w:val="nil"/>
            </w:tcBorders>
            <w:vAlign w:val="center"/>
          </w:tcPr>
          <w:p w14:paraId="327F8905" w14:textId="77777777" w:rsidR="007B1802" w:rsidRPr="00CE1BCF" w:rsidRDefault="007B1802" w:rsidP="00D50FE0">
            <w:pPr>
              <w:textAlignment w:val="center"/>
              <w:rPr>
                <w:rFonts w:eastAsia="微软雅黑"/>
                <w:color w:val="000000" w:themeColor="text1"/>
                <w:szCs w:val="21"/>
                <w:lang w:bidi="ar"/>
              </w:rPr>
            </w:pPr>
            <w:r w:rsidRPr="007334DD">
              <w:rPr>
                <w:rFonts w:eastAsia="微软雅黑"/>
                <w:color w:val="000000" w:themeColor="text1"/>
                <w:szCs w:val="21"/>
                <w:lang w:bidi="ar"/>
              </w:rPr>
              <w:t>TACGGRAGGCAGCAG</w:t>
            </w:r>
          </w:p>
        </w:tc>
        <w:tc>
          <w:tcPr>
            <w:tcW w:w="3557" w:type="dxa"/>
            <w:tcBorders>
              <w:top w:val="nil"/>
              <w:left w:val="nil"/>
              <w:bottom w:val="single" w:sz="8" w:space="0" w:color="auto"/>
              <w:right w:val="nil"/>
            </w:tcBorders>
            <w:vAlign w:val="center"/>
          </w:tcPr>
          <w:p w14:paraId="61B84088" w14:textId="77777777" w:rsidR="007B1802" w:rsidRPr="00CE1BCF" w:rsidRDefault="007B1802" w:rsidP="00D50FE0">
            <w:pPr>
              <w:textAlignment w:val="center"/>
              <w:rPr>
                <w:rFonts w:eastAsia="微软雅黑"/>
                <w:color w:val="000000" w:themeColor="text1"/>
                <w:szCs w:val="21"/>
                <w:lang w:bidi="ar"/>
              </w:rPr>
            </w:pPr>
            <w:r w:rsidRPr="007334DD">
              <w:rPr>
                <w:rFonts w:eastAsia="微软雅黑"/>
                <w:color w:val="000000" w:themeColor="text1"/>
                <w:szCs w:val="21"/>
                <w:lang w:bidi="ar"/>
              </w:rPr>
              <w:t>AGGGTATCTAATCCT</w:t>
            </w:r>
          </w:p>
        </w:tc>
      </w:tr>
    </w:tbl>
    <w:p w14:paraId="6A3E9EBB" w14:textId="77777777" w:rsidR="007B1802" w:rsidRPr="00CE1BCF" w:rsidRDefault="007B1802" w:rsidP="007B1802">
      <w:pPr>
        <w:rPr>
          <w:color w:val="000000" w:themeColor="text1"/>
        </w:rPr>
      </w:pPr>
    </w:p>
    <w:p w14:paraId="7F5C6371" w14:textId="77777777" w:rsidR="007B1802" w:rsidRPr="002F1CC9" w:rsidRDefault="007B1802" w:rsidP="007B1802">
      <w:pPr>
        <w:pStyle w:val="EndNoteBibliography"/>
        <w:ind w:left="720" w:hanging="720"/>
      </w:pPr>
      <w:r w:rsidRPr="00CE1BCF">
        <w:rPr>
          <w:color w:val="000000" w:themeColor="text1"/>
        </w:rPr>
        <w:fldChar w:fldCharType="begin"/>
      </w:r>
      <w:r w:rsidRPr="00CE1BCF">
        <w:rPr>
          <w:color w:val="000000" w:themeColor="text1"/>
        </w:rPr>
        <w:instrText xml:space="preserve"> ADDIN EN.REFLIST </w:instrText>
      </w:r>
      <w:r w:rsidRPr="00CE1BCF">
        <w:rPr>
          <w:color w:val="000000" w:themeColor="text1"/>
        </w:rPr>
        <w:fldChar w:fldCharType="separate"/>
      </w:r>
      <w:r w:rsidRPr="002F1CC9">
        <w:t>Leite FRM, Peres KG, Do LG, Demarco FF, Peres MAA. 2017. Prediction of periodontitis occurrence: Influence of classification and sociodemographic and general health information. Journal of periodontology. 88(8):731-743.</w:t>
      </w:r>
    </w:p>
    <w:p w14:paraId="165FDB64" w14:textId="77777777" w:rsidR="007B1802" w:rsidRPr="002F1CC9" w:rsidRDefault="007B1802" w:rsidP="007B1802">
      <w:pPr>
        <w:pStyle w:val="EndNoteBibliography"/>
        <w:ind w:left="720" w:hanging="720"/>
      </w:pPr>
      <w:r w:rsidRPr="002F1CC9">
        <w:t>Marchesan J, Girnary MS, Jing L, Miao MZ, Zhang S, Sun L, Morelli T, Schoenfisch MH, Inohara N, Offenbacher S et al. 2018. An experimental murine model to study periodontitis. Nature protocols. 13(10):2247-2267.</w:t>
      </w:r>
    </w:p>
    <w:p w14:paraId="7670502F" w14:textId="77777777" w:rsidR="007B1802" w:rsidRPr="002F1CC9" w:rsidRDefault="007B1802" w:rsidP="007B1802">
      <w:pPr>
        <w:pStyle w:val="EndNoteBibliography"/>
        <w:ind w:left="720" w:hanging="720"/>
      </w:pPr>
      <w:r w:rsidRPr="002F1CC9">
        <w:t>Miyajima S, Naruse K, Kobayashi Y, Nakamura N, Nishikawa T, Adachi K, Suzuki Y, Kikuchi T, Mitani A, Mizutani M et al. 2014. Periodontitis-activated monocytes/macrophages cause aortic inflammation. Sci Rep. 4:5171.</w:t>
      </w:r>
    </w:p>
    <w:p w14:paraId="4DC11881" w14:textId="77777777" w:rsidR="007B1802" w:rsidRPr="002F1CC9" w:rsidRDefault="007B1802" w:rsidP="007B1802">
      <w:pPr>
        <w:pStyle w:val="EndNoteBibliography"/>
        <w:ind w:left="720" w:hanging="720"/>
      </w:pPr>
      <w:r w:rsidRPr="002F1CC9">
        <w:t>Morelli T, Moss KL, Preisser JS, Beck JD, Divaris K, Wu D, Offenbacher S. 2018. Periodontal profile classes predict periodontal disease progression and tooth loss. Journal of periodontology. 89(2):148-156.</w:t>
      </w:r>
    </w:p>
    <w:p w14:paraId="03D5E967" w14:textId="77777777" w:rsidR="007B1802" w:rsidRPr="002F1CC9" w:rsidRDefault="007B1802" w:rsidP="007B1802">
      <w:pPr>
        <w:pStyle w:val="EndNoteBibliography"/>
        <w:ind w:left="720" w:hanging="720"/>
      </w:pPr>
      <w:r w:rsidRPr="002F1CC9">
        <w:t>Rekhi UR, Catunda RQ, Alexiou M, Sharma M, Fong A, Febbraio M. 2021. Impact of a cd36 inhibitor on porphyromonas gingivalis mediated atherosclerosis. Arch Oral Biol. 126:105129.</w:t>
      </w:r>
    </w:p>
    <w:p w14:paraId="58F1AED1" w14:textId="52E417DF" w:rsidR="00DE23E8" w:rsidRPr="007B1802" w:rsidRDefault="007B1802" w:rsidP="007B1802">
      <w:pPr>
        <w:keepNext/>
        <w:rPr>
          <w:rFonts w:cs="Times New Roman"/>
          <w:szCs w:val="24"/>
          <w:lang w:eastAsia="zh-CN"/>
        </w:rPr>
      </w:pPr>
      <w:r w:rsidRPr="00CE1BCF">
        <w:rPr>
          <w:color w:val="000000" w:themeColor="text1"/>
        </w:rPr>
        <w:fldChar w:fldCharType="end"/>
      </w:r>
    </w:p>
    <w:sectPr w:rsidR="00DE23E8" w:rsidRPr="007B1802" w:rsidSect="00A93621">
      <w:headerReference w:type="even" r:id="rId15"/>
      <w:footerReference w:type="even" r:id="rId16"/>
      <w:footerReference w:type="default" r:id="rId17"/>
      <w:headerReference w:type="first" r:id="rId18"/>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5174A" w14:textId="77777777" w:rsidR="00FB4292" w:rsidRDefault="00FB4292" w:rsidP="00117666">
      <w:pPr>
        <w:spacing w:after="0"/>
      </w:pPr>
      <w:r>
        <w:separator/>
      </w:r>
    </w:p>
  </w:endnote>
  <w:endnote w:type="continuationSeparator" w:id="0">
    <w:p w14:paraId="11A66461" w14:textId="77777777" w:rsidR="00FB4292" w:rsidRDefault="00FB4292"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4AB28" w14:textId="77777777" w:rsidR="00BF1191"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BF1191"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BF1191"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2FF27" w14:textId="77777777" w:rsidR="00BF1191"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BF1191"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BF1191"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03244" w14:textId="77777777" w:rsidR="00FB4292" w:rsidRDefault="00FB4292" w:rsidP="00117666">
      <w:pPr>
        <w:spacing w:after="0"/>
      </w:pPr>
      <w:r>
        <w:separator/>
      </w:r>
    </w:p>
  </w:footnote>
  <w:footnote w:type="continuationSeparator" w:id="0">
    <w:p w14:paraId="664C0AA0" w14:textId="77777777" w:rsidR="00FB4292" w:rsidRDefault="00FB4292"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1EDBA" w14:textId="77777777" w:rsidR="00BF1191"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11A5B" w14:textId="2AEBF6F5" w:rsidR="00BF1191" w:rsidRDefault="00C52A7B" w:rsidP="0093429D">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34304"/>
    <w:rsid w:val="00035434"/>
    <w:rsid w:val="00052A14"/>
    <w:rsid w:val="00077D53"/>
    <w:rsid w:val="00105FD9"/>
    <w:rsid w:val="00117666"/>
    <w:rsid w:val="001549D3"/>
    <w:rsid w:val="00160065"/>
    <w:rsid w:val="00177D84"/>
    <w:rsid w:val="001829C7"/>
    <w:rsid w:val="00267D18"/>
    <w:rsid w:val="002868E2"/>
    <w:rsid w:val="002869C3"/>
    <w:rsid w:val="002936E4"/>
    <w:rsid w:val="002B4A57"/>
    <w:rsid w:val="002C0487"/>
    <w:rsid w:val="002C74CA"/>
    <w:rsid w:val="003544FB"/>
    <w:rsid w:val="003D2F2D"/>
    <w:rsid w:val="00401590"/>
    <w:rsid w:val="00447801"/>
    <w:rsid w:val="00452E9C"/>
    <w:rsid w:val="004735C8"/>
    <w:rsid w:val="004961FF"/>
    <w:rsid w:val="00517A89"/>
    <w:rsid w:val="005250F2"/>
    <w:rsid w:val="00593EEA"/>
    <w:rsid w:val="005A5EEE"/>
    <w:rsid w:val="005E6DF4"/>
    <w:rsid w:val="005F0799"/>
    <w:rsid w:val="006375C7"/>
    <w:rsid w:val="0064324E"/>
    <w:rsid w:val="00647BDA"/>
    <w:rsid w:val="00654E8F"/>
    <w:rsid w:val="00660D05"/>
    <w:rsid w:val="006820B1"/>
    <w:rsid w:val="006B7D14"/>
    <w:rsid w:val="00701727"/>
    <w:rsid w:val="0070566C"/>
    <w:rsid w:val="00714C50"/>
    <w:rsid w:val="00725A7D"/>
    <w:rsid w:val="007501BE"/>
    <w:rsid w:val="007648DA"/>
    <w:rsid w:val="00790BB3"/>
    <w:rsid w:val="007B1802"/>
    <w:rsid w:val="007C206C"/>
    <w:rsid w:val="00803D24"/>
    <w:rsid w:val="008046D0"/>
    <w:rsid w:val="00817DD6"/>
    <w:rsid w:val="00885156"/>
    <w:rsid w:val="009151AA"/>
    <w:rsid w:val="0093429D"/>
    <w:rsid w:val="00943573"/>
    <w:rsid w:val="00970F7D"/>
    <w:rsid w:val="00994A3D"/>
    <w:rsid w:val="009B567F"/>
    <w:rsid w:val="009C2B12"/>
    <w:rsid w:val="009C70F3"/>
    <w:rsid w:val="00A174D9"/>
    <w:rsid w:val="00A374A4"/>
    <w:rsid w:val="00A569CD"/>
    <w:rsid w:val="00A93621"/>
    <w:rsid w:val="00AB6715"/>
    <w:rsid w:val="00B1671E"/>
    <w:rsid w:val="00B25EB8"/>
    <w:rsid w:val="00B354E1"/>
    <w:rsid w:val="00B37F4D"/>
    <w:rsid w:val="00BF1191"/>
    <w:rsid w:val="00C157F5"/>
    <w:rsid w:val="00C52A7B"/>
    <w:rsid w:val="00C56BAF"/>
    <w:rsid w:val="00C679AA"/>
    <w:rsid w:val="00C75972"/>
    <w:rsid w:val="00CC0A3A"/>
    <w:rsid w:val="00CD066B"/>
    <w:rsid w:val="00CE4FEE"/>
    <w:rsid w:val="00DB59C3"/>
    <w:rsid w:val="00DC259A"/>
    <w:rsid w:val="00DE23E8"/>
    <w:rsid w:val="00E52377"/>
    <w:rsid w:val="00E64E17"/>
    <w:rsid w:val="00E866C9"/>
    <w:rsid w:val="00EA3D3C"/>
    <w:rsid w:val="00F32EA7"/>
    <w:rsid w:val="00F46900"/>
    <w:rsid w:val="00F61D89"/>
    <w:rsid w:val="00FB4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 w:type="paragraph" w:customStyle="1" w:styleId="EndNoteBibliography">
    <w:name w:val="EndNote Bibliography"/>
    <w:basedOn w:val="a0"/>
    <w:link w:val="EndNoteBibliography0"/>
    <w:rsid w:val="007B1802"/>
    <w:pPr>
      <w:widowControl w:val="0"/>
      <w:spacing w:before="0" w:after="0"/>
      <w:jc w:val="both"/>
    </w:pPr>
    <w:rPr>
      <w:rFonts w:eastAsia="宋体" w:cs="Times New Roman"/>
      <w:noProof/>
      <w:kern w:val="2"/>
      <w:sz w:val="20"/>
      <w:szCs w:val="24"/>
      <w:lang w:eastAsia="zh-CN"/>
    </w:rPr>
  </w:style>
  <w:style w:type="character" w:customStyle="1" w:styleId="EndNoteBibliography0">
    <w:name w:val="EndNote Bibliography 字符"/>
    <w:link w:val="EndNoteBibliography"/>
    <w:rsid w:val="007B1802"/>
    <w:rPr>
      <w:rFonts w:ascii="Times New Roman" w:eastAsia="宋体" w:hAnsi="Times New Roman" w:cs="Times New Roman"/>
      <w:noProof/>
      <w:kern w:val="2"/>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2.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3.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5.xml><?xml version="1.0" encoding="utf-8"?>
<ds:datastoreItem xmlns:ds="http://schemas.openxmlformats.org/officeDocument/2006/customXml" ds:itemID="{2558679B-78FB-42CD-A1EA-A99096AF55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14</TotalTime>
  <Pages>6</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凯华 骆</cp:lastModifiedBy>
  <cp:revision>7</cp:revision>
  <cp:lastPrinted>2013-10-03T12:51:00Z</cp:lastPrinted>
  <dcterms:created xsi:type="dcterms:W3CDTF">2024-04-01T04:29:00Z</dcterms:created>
  <dcterms:modified xsi:type="dcterms:W3CDTF">2024-05-24T23:33:00Z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