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D69526" w14:textId="77777777" w:rsidR="001548F9" w:rsidRDefault="0063522D" w:rsidP="00747D69">
      <w:pPr>
        <w:pStyle w:val="Heading1"/>
        <w:jc w:val="both"/>
        <w:rPr>
          <w:rFonts w:ascii="Times New Roman" w:hAnsi="Times New Roman" w:cs="Times New Roman"/>
          <w:color w:val="auto"/>
        </w:rPr>
      </w:pPr>
      <w:r w:rsidRPr="0063522D">
        <w:rPr>
          <w:rFonts w:ascii="Times New Roman" w:hAnsi="Times New Roman" w:cs="Times New Roman"/>
          <w:noProof/>
          <w:color w:val="auto"/>
        </w:rPr>
        <w:t xml:space="preserve">Supplementary </w:t>
      </w:r>
      <w:r w:rsidR="00B819B7">
        <w:rPr>
          <w:rFonts w:ascii="Times New Roman" w:hAnsi="Times New Roman" w:cs="Times New Roman" w:hint="eastAsia"/>
          <w:color w:val="auto"/>
        </w:rPr>
        <w:t>Information</w:t>
      </w:r>
    </w:p>
    <w:p w14:paraId="721EF93E" w14:textId="77777777" w:rsidR="001548F9" w:rsidRDefault="001548F9" w:rsidP="00747D69">
      <w:pPr>
        <w:jc w:val="both"/>
      </w:pPr>
    </w:p>
    <w:p w14:paraId="4B278C49" w14:textId="3EE5E0BE" w:rsidR="008E7601" w:rsidRPr="003C065F" w:rsidRDefault="008E7601" w:rsidP="00747D69">
      <w:pPr>
        <w:jc w:val="both"/>
        <w:rPr>
          <w:rFonts w:ascii="Times New Roman" w:hAnsi="Times New Roman" w:cs="Times New Roman"/>
          <w:sz w:val="24"/>
          <w:szCs w:val="24"/>
        </w:rPr>
      </w:pPr>
      <w:r w:rsidRPr="003C065F">
        <w:rPr>
          <w:rFonts w:ascii="Times New Roman" w:hAnsi="Times New Roman" w:cs="Times New Roman"/>
          <w:sz w:val="24"/>
          <w:szCs w:val="24"/>
        </w:rPr>
        <w:t xml:space="preserve">Journal of Histochemistry and Cell Biology </w:t>
      </w:r>
    </w:p>
    <w:p w14:paraId="221FAA47" w14:textId="77777777" w:rsidR="00EF52FE" w:rsidRPr="003C065F" w:rsidRDefault="00EF52FE" w:rsidP="00747D69">
      <w:pPr>
        <w:jc w:val="both"/>
        <w:rPr>
          <w:rFonts w:ascii="Times New Roman" w:hAnsi="Times New Roman" w:cs="Times New Roman"/>
          <w:sz w:val="24"/>
          <w:szCs w:val="24"/>
        </w:rPr>
      </w:pPr>
      <w:r w:rsidRPr="003C065F">
        <w:rPr>
          <w:rFonts w:ascii="Times New Roman" w:hAnsi="Times New Roman" w:cs="Times New Roman"/>
          <w:sz w:val="24"/>
          <w:szCs w:val="24"/>
        </w:rPr>
        <w:t>Subcellular Localization of the P2X</w:t>
      </w:r>
      <w:r w:rsidRPr="003C065F">
        <w:rPr>
          <w:rFonts w:ascii="Times New Roman" w:hAnsi="Times New Roman" w:cs="Times New Roman"/>
          <w:sz w:val="24"/>
          <w:szCs w:val="24"/>
          <w:vertAlign w:val="subscript"/>
        </w:rPr>
        <w:t>4</w:t>
      </w:r>
      <w:r w:rsidRPr="003C065F">
        <w:rPr>
          <w:rFonts w:ascii="Times New Roman" w:hAnsi="Times New Roman" w:cs="Times New Roman"/>
          <w:sz w:val="24"/>
          <w:szCs w:val="24"/>
        </w:rPr>
        <w:t xml:space="preserve"> Receptor in Cochlear Sensory Hair Cells </w:t>
      </w:r>
    </w:p>
    <w:p w14:paraId="33D42675" w14:textId="77777777" w:rsidR="00EF52FE" w:rsidRPr="003C065F" w:rsidRDefault="00EF52FE" w:rsidP="00747D69">
      <w:pPr>
        <w:pStyle w:val="NoSpacing"/>
        <w:jc w:val="both"/>
        <w:rPr>
          <w:rFonts w:cs="Times New Roman"/>
          <w:szCs w:val="24"/>
        </w:rPr>
      </w:pPr>
      <w:r w:rsidRPr="003C065F">
        <w:rPr>
          <w:rFonts w:cs="Times New Roman"/>
          <w:szCs w:val="24"/>
          <w:u w:val="single"/>
        </w:rPr>
        <w:t>Ziyin Huang</w:t>
      </w:r>
      <w:r w:rsidRPr="003C065F">
        <w:rPr>
          <w:rFonts w:cs="Times New Roman"/>
          <w:szCs w:val="24"/>
          <w:u w:val="single"/>
          <w:vertAlign w:val="superscript"/>
        </w:rPr>
        <w:t>1,2,3</w:t>
      </w:r>
      <w:r w:rsidRPr="003C065F">
        <w:rPr>
          <w:rFonts w:cs="Times New Roman"/>
          <w:szCs w:val="24"/>
        </w:rPr>
        <w:t>, Jacqueline M Ross</w:t>
      </w:r>
      <w:r w:rsidRPr="003C065F">
        <w:rPr>
          <w:rFonts w:cs="Times New Roman"/>
          <w:szCs w:val="24"/>
          <w:vertAlign w:val="superscript"/>
        </w:rPr>
        <w:t>4,5</w:t>
      </w:r>
      <w:r w:rsidRPr="003C065F">
        <w:rPr>
          <w:rFonts w:cs="Times New Roman"/>
          <w:szCs w:val="24"/>
        </w:rPr>
        <w:t>, Shelly CY Lin</w:t>
      </w:r>
      <w:r w:rsidRPr="003C065F">
        <w:rPr>
          <w:rFonts w:cs="Times New Roman"/>
          <w:szCs w:val="24"/>
          <w:vertAlign w:val="superscript"/>
        </w:rPr>
        <w:t>1</w:t>
      </w:r>
      <w:r w:rsidRPr="003C065F">
        <w:rPr>
          <w:rFonts w:cs="Times New Roman"/>
          <w:szCs w:val="24"/>
        </w:rPr>
        <w:t>, Kevin Roy</w:t>
      </w:r>
      <w:r w:rsidRPr="003C065F">
        <w:rPr>
          <w:rFonts w:cs="Times New Roman"/>
          <w:szCs w:val="24"/>
          <w:vertAlign w:val="superscript"/>
        </w:rPr>
        <w:t>1</w:t>
      </w:r>
      <w:r w:rsidRPr="003C065F">
        <w:rPr>
          <w:rFonts w:cs="Times New Roman"/>
          <w:szCs w:val="24"/>
        </w:rPr>
        <w:t>, Srdjan M Vlajkovic</w:t>
      </w:r>
      <w:r w:rsidRPr="003C065F">
        <w:rPr>
          <w:rFonts w:cs="Times New Roman"/>
          <w:szCs w:val="24"/>
          <w:vertAlign w:val="superscript"/>
        </w:rPr>
        <w:t>1.3</w:t>
      </w:r>
      <w:r w:rsidRPr="003C065F">
        <w:rPr>
          <w:rFonts w:cs="Times New Roman"/>
          <w:szCs w:val="24"/>
        </w:rPr>
        <w:t>, Peter R. Thorne</w:t>
      </w:r>
      <w:r w:rsidRPr="003C065F">
        <w:rPr>
          <w:rFonts w:cs="Times New Roman"/>
          <w:szCs w:val="24"/>
          <w:vertAlign w:val="superscript"/>
        </w:rPr>
        <w:t>1,2,3</w:t>
      </w:r>
      <w:r w:rsidRPr="003C065F">
        <w:rPr>
          <w:rFonts w:cs="Times New Roman"/>
          <w:szCs w:val="24"/>
        </w:rPr>
        <w:t xml:space="preserve"> and Haruna Suzuki-Kerr</w:t>
      </w:r>
      <w:r w:rsidRPr="003C065F">
        <w:rPr>
          <w:rFonts w:cs="Times New Roman"/>
          <w:szCs w:val="24"/>
          <w:vertAlign w:val="superscript"/>
        </w:rPr>
        <w:t>1,3</w:t>
      </w:r>
      <w:r w:rsidRPr="003C065F">
        <w:rPr>
          <w:rFonts w:cs="Times New Roman"/>
          <w:szCs w:val="24"/>
        </w:rPr>
        <w:t xml:space="preserve"> </w:t>
      </w:r>
    </w:p>
    <w:p w14:paraId="1A350C5D" w14:textId="77777777" w:rsidR="00757AC0" w:rsidRPr="003C065F" w:rsidRDefault="00757AC0" w:rsidP="00747D69">
      <w:pPr>
        <w:jc w:val="both"/>
        <w:rPr>
          <w:rFonts w:ascii="Times New Roman" w:hAnsi="Times New Roman" w:cs="Times New Roman"/>
          <w:sz w:val="24"/>
          <w:szCs w:val="24"/>
          <w:lang w:val="en-NZ"/>
        </w:rPr>
      </w:pPr>
    </w:p>
    <w:p w14:paraId="0027FE71" w14:textId="77777777" w:rsidR="00757AC0" w:rsidRPr="003C065F" w:rsidRDefault="00757AC0" w:rsidP="00747D69">
      <w:pPr>
        <w:jc w:val="both"/>
        <w:rPr>
          <w:rFonts w:ascii="Times New Roman" w:hAnsi="Times New Roman" w:cs="Times New Roman"/>
          <w:b/>
          <w:bCs/>
          <w:sz w:val="24"/>
          <w:szCs w:val="24"/>
          <w:lang w:val="en-NZ"/>
        </w:rPr>
      </w:pPr>
      <w:r w:rsidRPr="003C065F">
        <w:rPr>
          <w:rFonts w:ascii="Times New Roman" w:hAnsi="Times New Roman" w:cs="Times New Roman"/>
          <w:b/>
          <w:bCs/>
          <w:sz w:val="24"/>
          <w:szCs w:val="24"/>
          <w:lang w:val="en-NZ"/>
        </w:rPr>
        <w:t>Affiliations:</w:t>
      </w:r>
    </w:p>
    <w:p w14:paraId="1958E070" w14:textId="77777777" w:rsidR="00757AC0" w:rsidRPr="003C065F" w:rsidRDefault="00757AC0" w:rsidP="00747D69">
      <w:pPr>
        <w:jc w:val="both"/>
        <w:rPr>
          <w:rFonts w:ascii="Times New Roman" w:hAnsi="Times New Roman" w:cs="Times New Roman"/>
          <w:sz w:val="24"/>
          <w:szCs w:val="24"/>
          <w:lang w:val="en-NZ"/>
        </w:rPr>
      </w:pPr>
      <w:r w:rsidRPr="003C065F">
        <w:rPr>
          <w:rFonts w:ascii="Times New Roman" w:hAnsi="Times New Roman" w:cs="Times New Roman"/>
          <w:sz w:val="24"/>
          <w:szCs w:val="24"/>
          <w:lang w:val="en-NZ"/>
        </w:rPr>
        <w:t>1. Department of Physiology, The University of Auckland, New Zealand</w:t>
      </w:r>
    </w:p>
    <w:p w14:paraId="01A6E2B0" w14:textId="77777777" w:rsidR="00757AC0" w:rsidRPr="003C065F" w:rsidRDefault="00757AC0" w:rsidP="00747D69">
      <w:pPr>
        <w:jc w:val="both"/>
        <w:rPr>
          <w:rFonts w:ascii="Times New Roman" w:hAnsi="Times New Roman" w:cs="Times New Roman"/>
          <w:sz w:val="24"/>
          <w:szCs w:val="24"/>
          <w:lang w:val="en-NZ"/>
        </w:rPr>
      </w:pPr>
      <w:r w:rsidRPr="003C065F">
        <w:rPr>
          <w:rFonts w:ascii="Times New Roman" w:hAnsi="Times New Roman" w:cs="Times New Roman"/>
          <w:sz w:val="24"/>
          <w:szCs w:val="24"/>
          <w:lang w:val="en-NZ"/>
        </w:rPr>
        <w:t>2. Department of Audiology, The University of Auckland, New Zealand</w:t>
      </w:r>
    </w:p>
    <w:p w14:paraId="7A532C0B" w14:textId="77777777" w:rsidR="00757AC0" w:rsidRPr="003C065F" w:rsidRDefault="00757AC0" w:rsidP="00747D69">
      <w:pPr>
        <w:jc w:val="both"/>
        <w:rPr>
          <w:rFonts w:ascii="Times New Roman" w:hAnsi="Times New Roman" w:cs="Times New Roman"/>
          <w:sz w:val="24"/>
          <w:szCs w:val="24"/>
          <w:lang w:val="en-NZ"/>
        </w:rPr>
      </w:pPr>
      <w:r w:rsidRPr="003C065F">
        <w:rPr>
          <w:rFonts w:ascii="Times New Roman" w:hAnsi="Times New Roman" w:cs="Times New Roman"/>
          <w:sz w:val="24"/>
          <w:szCs w:val="24"/>
          <w:lang w:val="en-NZ"/>
        </w:rPr>
        <w:t>3. Eisdell Moore Centre, The University of Auckland, New Zealand</w:t>
      </w:r>
    </w:p>
    <w:p w14:paraId="63CD978A" w14:textId="77777777" w:rsidR="00757AC0" w:rsidRPr="003C065F" w:rsidRDefault="00757AC0" w:rsidP="00747D69">
      <w:pPr>
        <w:jc w:val="both"/>
        <w:rPr>
          <w:rFonts w:ascii="Times New Roman" w:hAnsi="Times New Roman" w:cs="Times New Roman"/>
          <w:sz w:val="24"/>
          <w:szCs w:val="24"/>
          <w:lang w:val="en-NZ"/>
        </w:rPr>
      </w:pPr>
      <w:r w:rsidRPr="003C065F">
        <w:rPr>
          <w:rFonts w:ascii="Times New Roman" w:hAnsi="Times New Roman" w:cs="Times New Roman"/>
          <w:sz w:val="24"/>
          <w:szCs w:val="24"/>
          <w:lang w:val="en-NZ"/>
        </w:rPr>
        <w:t>4. Department of Anatomy and Medical Imaging, The University of Auckland, New Zealand</w:t>
      </w:r>
    </w:p>
    <w:p w14:paraId="5295ECD6" w14:textId="613B7627" w:rsidR="008E7601" w:rsidRPr="003C065F" w:rsidRDefault="00757AC0" w:rsidP="00747D69">
      <w:pPr>
        <w:jc w:val="both"/>
        <w:rPr>
          <w:rFonts w:ascii="Times New Roman" w:hAnsi="Times New Roman" w:cs="Times New Roman"/>
          <w:sz w:val="24"/>
          <w:szCs w:val="24"/>
          <w:lang w:val="en-NZ"/>
        </w:rPr>
      </w:pPr>
      <w:r w:rsidRPr="003C065F">
        <w:rPr>
          <w:rFonts w:ascii="Times New Roman" w:hAnsi="Times New Roman" w:cs="Times New Roman"/>
          <w:sz w:val="24"/>
          <w:szCs w:val="24"/>
          <w:lang w:val="en-NZ"/>
        </w:rPr>
        <w:t>5. Biomedical Research Imaging Unit, The University of Auckland, New Zealand</w:t>
      </w:r>
    </w:p>
    <w:p w14:paraId="14096E3C" w14:textId="77777777" w:rsidR="003C065F" w:rsidRPr="003C065F" w:rsidRDefault="003C065F" w:rsidP="00747D69">
      <w:pPr>
        <w:jc w:val="both"/>
        <w:rPr>
          <w:rFonts w:ascii="Times New Roman" w:hAnsi="Times New Roman" w:cs="Times New Roman"/>
          <w:sz w:val="24"/>
          <w:szCs w:val="24"/>
          <w:lang w:val="en-NZ"/>
        </w:rPr>
      </w:pPr>
    </w:p>
    <w:p w14:paraId="24E57038" w14:textId="77777777" w:rsidR="003C065F" w:rsidRPr="003C065F" w:rsidRDefault="003C065F" w:rsidP="00747D69">
      <w:pPr>
        <w:pStyle w:val="NoSpacing"/>
        <w:jc w:val="both"/>
        <w:rPr>
          <w:rFonts w:cs="Times New Roman"/>
          <w:b/>
          <w:bCs/>
          <w:szCs w:val="24"/>
        </w:rPr>
      </w:pPr>
      <w:r w:rsidRPr="003C065F">
        <w:rPr>
          <w:rFonts w:cs="Times New Roman"/>
          <w:b/>
          <w:bCs/>
          <w:szCs w:val="24"/>
        </w:rPr>
        <w:t>Corresponding Author:</w:t>
      </w:r>
    </w:p>
    <w:p w14:paraId="110ECEDE" w14:textId="77777777" w:rsidR="003C065F" w:rsidRPr="003C065F" w:rsidRDefault="003C065F" w:rsidP="00747D69">
      <w:pPr>
        <w:pStyle w:val="NoSpacing"/>
        <w:jc w:val="both"/>
        <w:rPr>
          <w:rFonts w:cs="Times New Roman"/>
          <w:szCs w:val="24"/>
        </w:rPr>
      </w:pPr>
      <w:r w:rsidRPr="003C065F">
        <w:rPr>
          <w:rFonts w:cs="Times New Roman"/>
          <w:szCs w:val="24"/>
        </w:rPr>
        <w:t>Haruna Suzuki-Kerr</w:t>
      </w:r>
    </w:p>
    <w:p w14:paraId="77AEA5C3" w14:textId="77777777" w:rsidR="003C065F" w:rsidRPr="003C065F" w:rsidRDefault="003C065F" w:rsidP="00747D69">
      <w:pPr>
        <w:pStyle w:val="NoSpacing"/>
        <w:jc w:val="both"/>
        <w:rPr>
          <w:rFonts w:cs="Times New Roman"/>
          <w:szCs w:val="24"/>
        </w:rPr>
      </w:pPr>
      <w:r w:rsidRPr="003C065F">
        <w:rPr>
          <w:rFonts w:cs="Times New Roman"/>
          <w:szCs w:val="24"/>
        </w:rPr>
        <w:t>h.suzuki-kerr@auckland.ac.nz</w:t>
      </w:r>
    </w:p>
    <w:p w14:paraId="6F90E671" w14:textId="77777777" w:rsidR="003C065F" w:rsidRPr="00757AC0" w:rsidRDefault="003C065F" w:rsidP="00747D69">
      <w:pPr>
        <w:jc w:val="both"/>
        <w:rPr>
          <w:lang w:val="en-NZ"/>
        </w:rPr>
      </w:pPr>
    </w:p>
    <w:p w14:paraId="6BC6E138" w14:textId="1ACC59FF" w:rsidR="001548F9" w:rsidRDefault="001548F9" w:rsidP="00747D69">
      <w:pPr>
        <w:jc w:val="both"/>
        <w:rPr>
          <w:rFonts w:ascii="Times New Roman" w:eastAsiaTheme="majorEastAsia" w:hAnsi="Times New Roman" w:cs="Times New Roman"/>
          <w:sz w:val="32"/>
          <w:szCs w:val="32"/>
        </w:rPr>
      </w:pPr>
      <w:r>
        <w:rPr>
          <w:rFonts w:ascii="Times New Roman" w:hAnsi="Times New Roman" w:cs="Times New Roman"/>
        </w:rPr>
        <w:br w:type="page"/>
      </w:r>
    </w:p>
    <w:p w14:paraId="25026A0B" w14:textId="56015E07" w:rsidR="00B5517B" w:rsidRPr="00B5517B" w:rsidRDefault="00B5517B" w:rsidP="00747D69">
      <w:pPr>
        <w:pStyle w:val="ThesisText"/>
        <w:ind w:firstLineChars="0" w:firstLine="0"/>
        <w:rPr>
          <w:b/>
          <w:bCs/>
          <w:noProof/>
          <w:lang w:eastAsia="ja-JP"/>
        </w:rPr>
      </w:pPr>
      <w:r w:rsidRPr="00B5517B">
        <w:rPr>
          <w:b/>
          <w:bCs/>
          <w:noProof/>
          <w:lang w:eastAsia="ja-JP"/>
        </w:rPr>
        <w:lastRenderedPageBreak/>
        <w:t xml:space="preserve">Suplementary </w:t>
      </w:r>
      <w:r w:rsidR="002E234F">
        <w:rPr>
          <w:rFonts w:eastAsiaTheme="minorEastAsia" w:hint="eastAsia"/>
          <w:b/>
          <w:bCs/>
          <w:noProof/>
          <w:lang w:eastAsia="ja-JP"/>
        </w:rPr>
        <w:t>F</w:t>
      </w:r>
      <w:r w:rsidRPr="00B5517B">
        <w:rPr>
          <w:b/>
          <w:bCs/>
          <w:noProof/>
          <w:lang w:eastAsia="ja-JP"/>
        </w:rPr>
        <w:t xml:space="preserve">igure 1 </w:t>
      </w:r>
    </w:p>
    <w:p w14:paraId="76DC2F9B" w14:textId="58E29AEA" w:rsidR="00362E14" w:rsidRPr="00C81FCD" w:rsidRDefault="0071062F" w:rsidP="0071062F">
      <w:pPr>
        <w:pStyle w:val="ThesisText"/>
        <w:ind w:firstLineChars="83" w:firstLine="199"/>
        <w:rPr>
          <w:lang w:val="en-US"/>
        </w:rPr>
      </w:pPr>
      <w:r>
        <w:rPr>
          <w:noProof/>
          <w:lang w:val="en-US"/>
        </w:rPr>
        <w:drawing>
          <wp:inline distT="0" distB="0" distL="0" distR="0" wp14:anchorId="7D9F7107" wp14:editId="3A0FB49A">
            <wp:extent cx="5533196" cy="8134350"/>
            <wp:effectExtent l="0" t="0" r="0" b="0"/>
            <wp:docPr id="20377543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35593" cy="8137874"/>
                    </a:xfrm>
                    <a:prstGeom prst="rect">
                      <a:avLst/>
                    </a:prstGeom>
                    <a:noFill/>
                    <a:ln>
                      <a:noFill/>
                    </a:ln>
                  </pic:spPr>
                </pic:pic>
              </a:graphicData>
            </a:graphic>
          </wp:inline>
        </w:drawing>
      </w:r>
    </w:p>
    <w:p w14:paraId="5DA130A0" w14:textId="31E0B485" w:rsidR="003E2D66" w:rsidRDefault="003E2D66" w:rsidP="00747D69">
      <w:pPr>
        <w:jc w:val="both"/>
        <w:rPr>
          <w:rFonts w:ascii="Times New Roman" w:hAnsi="Times New Roman" w:cs="Times New Roman"/>
          <w:b/>
          <w:bCs/>
          <w:noProof/>
          <w:sz w:val="24"/>
          <w:szCs w:val="24"/>
          <w:lang w:val="en-NZ"/>
        </w:rPr>
      </w:pPr>
      <w:r>
        <w:rPr>
          <w:b/>
          <w:bCs/>
          <w:noProof/>
        </w:rPr>
        <w:br w:type="page"/>
      </w:r>
    </w:p>
    <w:p w14:paraId="3B75E4D8" w14:textId="487714A5" w:rsidR="008B3D5C" w:rsidRPr="003E2D66" w:rsidRDefault="009270EE" w:rsidP="00747D69">
      <w:pPr>
        <w:pStyle w:val="ThesisText"/>
        <w:ind w:firstLineChars="0" w:firstLine="0"/>
        <w:rPr>
          <w:rFonts w:eastAsiaTheme="minorEastAsia"/>
          <w:lang w:eastAsia="ja-JP"/>
        </w:rPr>
      </w:pPr>
      <w:r>
        <w:rPr>
          <w:rFonts w:eastAsiaTheme="minorEastAsia" w:hint="eastAsia"/>
          <w:b/>
          <w:bCs/>
          <w:noProof/>
          <w:lang w:eastAsia="ja-JP"/>
        </w:rPr>
        <w:lastRenderedPageBreak/>
        <w:t>Suplementary Figure 1</w:t>
      </w:r>
      <w:r w:rsidRPr="00B5517B">
        <w:rPr>
          <w:b/>
          <w:bCs/>
          <w:noProof/>
          <w:lang w:eastAsia="ja-JP"/>
        </w:rPr>
        <w:t xml:space="preserve">. </w:t>
      </w:r>
      <w:r>
        <w:rPr>
          <w:b/>
          <w:bCs/>
          <w:noProof/>
          <w:lang w:eastAsia="ja-JP"/>
        </w:rPr>
        <w:t xml:space="preserve">Flow chart </w:t>
      </w:r>
      <w:r w:rsidR="00BE6C7B">
        <w:rPr>
          <w:rFonts w:eastAsiaTheme="minorEastAsia" w:hint="eastAsia"/>
          <w:b/>
          <w:bCs/>
          <w:noProof/>
          <w:lang w:eastAsia="ja-JP"/>
        </w:rPr>
        <w:t xml:space="preserve">showing steps </w:t>
      </w:r>
      <w:r>
        <w:rPr>
          <w:b/>
          <w:bCs/>
          <w:noProof/>
          <w:lang w:eastAsia="ja-JP"/>
        </w:rPr>
        <w:t>of p</w:t>
      </w:r>
      <w:r w:rsidRPr="00B5517B">
        <w:rPr>
          <w:b/>
          <w:bCs/>
          <w:noProof/>
          <w:lang w:eastAsia="ja-JP"/>
        </w:rPr>
        <w:t>article analysis by image J</w:t>
      </w:r>
      <w:r w:rsidR="00BE6C7B">
        <w:rPr>
          <w:rFonts w:eastAsiaTheme="minorEastAsia" w:hint="eastAsia"/>
          <w:b/>
          <w:bCs/>
          <w:noProof/>
          <w:lang w:eastAsia="ja-JP"/>
        </w:rPr>
        <w:t>.</w:t>
      </w:r>
      <w:r w:rsidRPr="00B5517B">
        <w:rPr>
          <w:b/>
          <w:bCs/>
          <w:noProof/>
          <w:lang w:eastAsia="ja-JP"/>
        </w:rPr>
        <w:t xml:space="preserve"> </w:t>
      </w:r>
      <w:r w:rsidR="0030084F">
        <w:rPr>
          <w:rFonts w:eastAsiaTheme="minorEastAsia" w:hint="eastAsia"/>
          <w:b/>
          <w:bCs/>
          <w:noProof/>
          <w:lang w:eastAsia="ja-JP"/>
        </w:rPr>
        <w:t xml:space="preserve">(1) </w:t>
      </w:r>
      <w:r w:rsidR="008B3D5C">
        <w:rPr>
          <w:lang w:val="en-AU"/>
        </w:rPr>
        <w:t>For particle analysis, the</w:t>
      </w:r>
      <w:r w:rsidR="008B3D5C" w:rsidRPr="00B906DF">
        <w:rPr>
          <w:lang w:val="en-AU"/>
        </w:rPr>
        <w:t xml:space="preserve"> original </w:t>
      </w:r>
      <w:r w:rsidR="008B3D5C">
        <w:rPr>
          <w:lang w:val="en-AU"/>
        </w:rPr>
        <w:t>z</w:t>
      </w:r>
      <w:r w:rsidR="008B3D5C" w:rsidRPr="00B906DF">
        <w:rPr>
          <w:lang w:val="en-AU"/>
        </w:rPr>
        <w:t>-stack images were imported into ImageJ software</w:t>
      </w:r>
      <w:r w:rsidR="008B3D5C">
        <w:rPr>
          <w:lang w:val="en-AU"/>
        </w:rPr>
        <w:t xml:space="preserve"> </w:t>
      </w:r>
      <w:r w:rsidR="008B3D5C" w:rsidRPr="00B906DF">
        <w:rPr>
          <w:lang w:val="en-AU"/>
        </w:rPr>
        <w:t>individual channels</w:t>
      </w:r>
      <w:r w:rsidR="008B3D5C">
        <w:rPr>
          <w:lang w:val="en-AU"/>
        </w:rPr>
        <w:t xml:space="preserve"> separately</w:t>
      </w:r>
      <w:r w:rsidR="008B3D5C" w:rsidRPr="00B906DF">
        <w:rPr>
          <w:lang w:val="en-AU"/>
        </w:rPr>
        <w:t>. To separate vesicular/punctate labelling by thresholding, background subtraction was necessary</w:t>
      </w:r>
      <w:r w:rsidR="008B3D5C">
        <w:rPr>
          <w:lang w:val="en-AU"/>
        </w:rPr>
        <w:t xml:space="preserve">; </w:t>
      </w:r>
      <w:r w:rsidR="008B3D5C" w:rsidRPr="00B906DF">
        <w:rPr>
          <w:lang w:val="en-AU"/>
        </w:rPr>
        <w:t xml:space="preserve">images from the channel of interest were duplicated and processed using the Gaussian Blur (radius = 40 pixels). </w:t>
      </w:r>
      <w:r w:rsidR="0030084F" w:rsidRPr="0030084F">
        <w:rPr>
          <w:rFonts w:eastAsiaTheme="minorEastAsia" w:hint="eastAsia"/>
          <w:b/>
          <w:bCs/>
          <w:lang w:val="en-AU" w:eastAsia="ja-JP"/>
        </w:rPr>
        <w:t xml:space="preserve">(2) </w:t>
      </w:r>
      <w:r w:rsidR="008B3D5C" w:rsidRPr="00B906DF">
        <w:rPr>
          <w:lang w:val="en-AU"/>
        </w:rPr>
        <w:t xml:space="preserve">These blurred images </w:t>
      </w:r>
      <w:r w:rsidR="008B3D5C">
        <w:rPr>
          <w:lang w:val="en-AU"/>
        </w:rPr>
        <w:t xml:space="preserve">can </w:t>
      </w:r>
      <w:r w:rsidR="008B3D5C" w:rsidRPr="00B906DF">
        <w:rPr>
          <w:lang w:val="en-AU"/>
        </w:rPr>
        <w:t>be used as “background”</w:t>
      </w:r>
      <w:r w:rsidR="008B3D5C">
        <w:rPr>
          <w:lang w:val="en-AU"/>
        </w:rPr>
        <w:t xml:space="preserve"> for background </w:t>
      </w:r>
      <w:r w:rsidR="008B3D5C" w:rsidRPr="00B906DF">
        <w:rPr>
          <w:lang w:val="en-AU"/>
        </w:rPr>
        <w:t>subtract</w:t>
      </w:r>
      <w:r w:rsidR="008B3D5C">
        <w:rPr>
          <w:lang w:val="en-AU"/>
        </w:rPr>
        <w:t xml:space="preserve">ion </w:t>
      </w:r>
      <w:r w:rsidR="00AF3B44">
        <w:rPr>
          <w:lang w:val="en-AU"/>
        </w:rPr>
        <w:t>using the</w:t>
      </w:r>
      <w:r w:rsidR="00AF3B44" w:rsidRPr="00B906DF">
        <w:rPr>
          <w:lang w:val="en-AU"/>
        </w:rPr>
        <w:t xml:space="preserve"> </w:t>
      </w:r>
      <w:r w:rsidR="008B3D5C" w:rsidRPr="00B906DF">
        <w:rPr>
          <w:lang w:val="en-AU"/>
        </w:rPr>
        <w:t xml:space="preserve">“image calculator” function of ImageJ. </w:t>
      </w:r>
      <w:r w:rsidR="005B5322" w:rsidRPr="005B5322">
        <w:rPr>
          <w:rFonts w:eastAsiaTheme="minorEastAsia" w:hint="eastAsia"/>
          <w:b/>
          <w:bCs/>
          <w:lang w:val="en-AU" w:eastAsia="ja-JP"/>
        </w:rPr>
        <w:t xml:space="preserve">(3) </w:t>
      </w:r>
      <w:r w:rsidR="008B3D5C">
        <w:rPr>
          <w:lang w:val="en-AU"/>
        </w:rPr>
        <w:t>I</w:t>
      </w:r>
      <w:r w:rsidR="008B3D5C" w:rsidRPr="00B906DF">
        <w:rPr>
          <w:lang w:val="en-AU"/>
        </w:rPr>
        <w:t>mages were</w:t>
      </w:r>
      <w:r w:rsidR="008B3D5C">
        <w:rPr>
          <w:lang w:val="en-AU"/>
        </w:rPr>
        <w:t xml:space="preserve"> then</w:t>
      </w:r>
      <w:r w:rsidR="008B3D5C" w:rsidRPr="00B906DF">
        <w:rPr>
          <w:lang w:val="en-AU"/>
        </w:rPr>
        <w:t xml:space="preserve"> cropped so that only one </w:t>
      </w:r>
      <w:r w:rsidR="008B3D5C">
        <w:rPr>
          <w:lang w:val="en-AU"/>
        </w:rPr>
        <w:t>cell was analysed at a time</w:t>
      </w:r>
      <w:r w:rsidR="008B3D5C" w:rsidRPr="00B906DF">
        <w:rPr>
          <w:lang w:val="en-AU"/>
        </w:rPr>
        <w:t>. Three O</w:t>
      </w:r>
      <w:r w:rsidR="008B3D5C">
        <w:rPr>
          <w:lang w:val="en-AU"/>
        </w:rPr>
        <w:t>HCs</w:t>
      </w:r>
      <w:r w:rsidR="008B3D5C" w:rsidRPr="00B906DF">
        <w:rPr>
          <w:lang w:val="en-AU"/>
        </w:rPr>
        <w:t xml:space="preserve"> and I</w:t>
      </w:r>
      <w:r w:rsidR="008B3D5C">
        <w:rPr>
          <w:lang w:val="en-AU"/>
        </w:rPr>
        <w:t>HCs</w:t>
      </w:r>
      <w:r w:rsidR="008B3D5C" w:rsidRPr="00B906DF">
        <w:rPr>
          <w:lang w:val="en-AU"/>
        </w:rPr>
        <w:t xml:space="preserve"> were </w:t>
      </w:r>
      <w:r w:rsidR="008B3D5C">
        <w:rPr>
          <w:lang w:val="en-AU"/>
        </w:rPr>
        <w:t>an</w:t>
      </w:r>
      <w:r w:rsidR="00056596">
        <w:rPr>
          <w:rFonts w:eastAsiaTheme="minorEastAsia" w:hint="eastAsia"/>
          <w:lang w:val="en-AU" w:eastAsia="ja-JP"/>
        </w:rPr>
        <w:t>a</w:t>
      </w:r>
      <w:r w:rsidR="008B3D5C">
        <w:rPr>
          <w:lang w:val="en-AU"/>
        </w:rPr>
        <w:t xml:space="preserve">lysed per cochlea, and one OHC was selected from each row. </w:t>
      </w:r>
      <w:r w:rsidR="008B3D5C" w:rsidRPr="00B906DF">
        <w:rPr>
          <w:lang w:val="en-AU"/>
        </w:rPr>
        <w:t xml:space="preserve">Then the </w:t>
      </w:r>
      <w:r w:rsidR="008B3D5C">
        <w:rPr>
          <w:lang w:val="en-AU"/>
        </w:rPr>
        <w:t xml:space="preserve">image </w:t>
      </w:r>
      <w:r w:rsidR="008B3D5C" w:rsidRPr="00B906DF">
        <w:rPr>
          <w:lang w:val="en-AU"/>
        </w:rPr>
        <w:t xml:space="preserve">stack </w:t>
      </w:r>
      <w:r w:rsidR="008B3D5C">
        <w:rPr>
          <w:lang w:val="en-AU"/>
        </w:rPr>
        <w:t>was processed by</w:t>
      </w:r>
      <w:r w:rsidR="008B3D5C" w:rsidRPr="00B906DF">
        <w:rPr>
          <w:lang w:val="en-AU"/>
        </w:rPr>
        <w:t xml:space="preserve"> threshold</w:t>
      </w:r>
      <w:r w:rsidR="008B3D5C">
        <w:rPr>
          <w:lang w:val="en-AU"/>
        </w:rPr>
        <w:t>ing</w:t>
      </w:r>
      <w:r w:rsidR="008B3D5C" w:rsidRPr="00B906DF">
        <w:rPr>
          <w:lang w:val="en-AU"/>
        </w:rPr>
        <w:t xml:space="preserve"> into </w:t>
      </w:r>
      <w:r w:rsidR="00AF3B44">
        <w:rPr>
          <w:lang w:val="en-AU"/>
        </w:rPr>
        <w:t xml:space="preserve">individual </w:t>
      </w:r>
      <w:r w:rsidR="008B3D5C" w:rsidRPr="00B906DF">
        <w:rPr>
          <w:lang w:val="en-AU"/>
        </w:rPr>
        <w:t>binary images</w:t>
      </w:r>
      <w:r w:rsidR="008B3D5C">
        <w:rPr>
          <w:lang w:val="en-AU"/>
        </w:rPr>
        <w:t>.</w:t>
      </w:r>
      <w:r w:rsidR="0043169F">
        <w:rPr>
          <w:rFonts w:eastAsiaTheme="minorEastAsia" w:hint="eastAsia"/>
          <w:lang w:val="en-AU" w:eastAsia="ja-JP"/>
        </w:rPr>
        <w:t xml:space="preserve"> </w:t>
      </w:r>
      <w:r w:rsidR="008B3D5C">
        <w:rPr>
          <w:lang w:val="en-AU"/>
        </w:rPr>
        <w:t>A</w:t>
      </w:r>
      <w:r w:rsidR="008B3D5C" w:rsidRPr="00B906DF">
        <w:rPr>
          <w:lang w:val="en-AU"/>
        </w:rPr>
        <w:t xml:space="preserve">ll pixels </w:t>
      </w:r>
      <w:r w:rsidR="008B3D5C">
        <w:rPr>
          <w:lang w:val="en-AU"/>
        </w:rPr>
        <w:t>with grey-scale value over</w:t>
      </w:r>
      <w:r w:rsidR="008B3D5C" w:rsidRPr="00B906DF">
        <w:rPr>
          <w:lang w:val="en-AU"/>
        </w:rPr>
        <w:t xml:space="preserve"> the threshold value are converted to white</w:t>
      </w:r>
      <w:r w:rsidR="008B3D5C">
        <w:rPr>
          <w:lang w:val="en-AU"/>
        </w:rPr>
        <w:t xml:space="preserve"> and rest </w:t>
      </w:r>
      <w:r w:rsidR="008B3D5C" w:rsidRPr="00B906DF">
        <w:rPr>
          <w:lang w:val="en-AU"/>
        </w:rPr>
        <w:t>are converted to black</w:t>
      </w:r>
      <w:r w:rsidR="008B3D5C">
        <w:rPr>
          <w:lang w:val="en-AU"/>
        </w:rPr>
        <w:t xml:space="preserve">, resulting in </w:t>
      </w:r>
      <w:r w:rsidR="008B3D5C" w:rsidRPr="00B906DF">
        <w:rPr>
          <w:lang w:val="en-AU"/>
        </w:rPr>
        <w:t xml:space="preserve">images consisting of only pixel value 0 (off) or 1 (on). </w:t>
      </w:r>
      <w:r w:rsidR="0043169F" w:rsidRPr="0043169F">
        <w:rPr>
          <w:rFonts w:eastAsiaTheme="minorEastAsia" w:hint="eastAsia"/>
          <w:b/>
          <w:bCs/>
          <w:lang w:val="en-AU" w:eastAsia="ja-JP"/>
        </w:rPr>
        <w:t xml:space="preserve">(4) </w:t>
      </w:r>
      <w:r w:rsidR="008B3D5C" w:rsidRPr="00B906DF">
        <w:rPr>
          <w:lang w:val="en-AU"/>
        </w:rPr>
        <w:t xml:space="preserve">Particle analysis in ImageJ </w:t>
      </w:r>
      <w:r w:rsidR="00AF3B44">
        <w:rPr>
          <w:lang w:val="en-AU"/>
        </w:rPr>
        <w:t xml:space="preserve">was </w:t>
      </w:r>
      <w:r w:rsidR="008B3D5C">
        <w:rPr>
          <w:lang w:val="en-AU"/>
        </w:rPr>
        <w:t xml:space="preserve">used to </w:t>
      </w:r>
      <w:r w:rsidR="007B5A1C" w:rsidRPr="00B906DF">
        <w:rPr>
          <w:lang w:val="en-AU"/>
        </w:rPr>
        <w:t>automatically</w:t>
      </w:r>
      <w:r w:rsidR="008B3D5C" w:rsidRPr="00B906DF">
        <w:rPr>
          <w:lang w:val="en-AU"/>
        </w:rPr>
        <w:t xml:space="preserve"> detect particles </w:t>
      </w:r>
      <w:r w:rsidR="008B3D5C">
        <w:rPr>
          <w:lang w:val="en-AU"/>
        </w:rPr>
        <w:t>to measure</w:t>
      </w:r>
      <w:r w:rsidR="00AF3B44">
        <w:rPr>
          <w:lang w:val="en-AU"/>
        </w:rPr>
        <w:t xml:space="preserve"> the parameters</w:t>
      </w:r>
      <w:r w:rsidR="008B3D5C" w:rsidRPr="00B906DF">
        <w:rPr>
          <w:lang w:val="en-AU"/>
        </w:rPr>
        <w:t xml:space="preserve"> “count”</w:t>
      </w:r>
      <w:r w:rsidR="008B3D5C">
        <w:rPr>
          <w:lang w:val="en-AU"/>
        </w:rPr>
        <w:t xml:space="preserve"> and </w:t>
      </w:r>
      <w:r w:rsidR="008B3D5C" w:rsidRPr="00B906DF">
        <w:rPr>
          <w:lang w:val="en-AU"/>
        </w:rPr>
        <w:t xml:space="preserve">“total area. “Count” </w:t>
      </w:r>
      <w:r w:rsidR="008B3D5C">
        <w:rPr>
          <w:lang w:val="en-AU"/>
        </w:rPr>
        <w:t>represents</w:t>
      </w:r>
      <w:r w:rsidR="008B3D5C" w:rsidRPr="00B906DF">
        <w:rPr>
          <w:lang w:val="en-AU"/>
        </w:rPr>
        <w:t xml:space="preserve"> the total number of particles in each image</w:t>
      </w:r>
      <w:r w:rsidR="008B3D5C">
        <w:rPr>
          <w:lang w:val="en-AU"/>
        </w:rPr>
        <w:t xml:space="preserve"> and</w:t>
      </w:r>
      <w:r w:rsidR="008B3D5C" w:rsidRPr="00B906DF">
        <w:rPr>
          <w:lang w:val="en-AU"/>
        </w:rPr>
        <w:t xml:space="preserve"> “total area” represents the total area of the particles in each image. The particles</w:t>
      </w:r>
      <w:r w:rsidR="008B3D5C">
        <w:rPr>
          <w:lang w:val="en-AU"/>
        </w:rPr>
        <w:t>’</w:t>
      </w:r>
      <w:r w:rsidR="008B3D5C" w:rsidRPr="00B906DF">
        <w:rPr>
          <w:lang w:val="en-AU"/>
        </w:rPr>
        <w:t xml:space="preserve"> parameters were set </w:t>
      </w:r>
      <w:r w:rsidR="008B3D5C">
        <w:rPr>
          <w:lang w:val="en-AU"/>
        </w:rPr>
        <w:t>to</w:t>
      </w:r>
      <w:r w:rsidR="008B3D5C" w:rsidRPr="00B906DF">
        <w:rPr>
          <w:lang w:val="en-AU"/>
        </w:rPr>
        <w:t xml:space="preserve"> include any size particle </w:t>
      </w:r>
      <w:r w:rsidR="00AF3B44">
        <w:rPr>
          <w:lang w:val="en-AU"/>
        </w:rPr>
        <w:t xml:space="preserve">with </w:t>
      </w:r>
      <w:r w:rsidR="008B3D5C">
        <w:rPr>
          <w:lang w:val="en-AU"/>
        </w:rPr>
        <w:t>no</w:t>
      </w:r>
      <w:r w:rsidR="008B3D5C" w:rsidRPr="00B906DF">
        <w:rPr>
          <w:lang w:val="en-AU"/>
        </w:rPr>
        <w:t xml:space="preserve"> limit</w:t>
      </w:r>
      <w:r w:rsidR="008B3D5C">
        <w:rPr>
          <w:lang w:val="en-AU"/>
        </w:rPr>
        <w:t xml:space="preserve"> on</w:t>
      </w:r>
      <w:r w:rsidR="008B3D5C" w:rsidRPr="00B906DF">
        <w:rPr>
          <w:lang w:val="en-AU"/>
        </w:rPr>
        <w:t xml:space="preserve"> their circularity. </w:t>
      </w:r>
    </w:p>
    <w:p w14:paraId="4791F633" w14:textId="77777777" w:rsidR="00B5517B" w:rsidRPr="00B5517B" w:rsidRDefault="00B5517B" w:rsidP="00747D69">
      <w:pPr>
        <w:jc w:val="both"/>
        <w:rPr>
          <w:lang w:val="en-NZ"/>
        </w:rPr>
      </w:pPr>
    </w:p>
    <w:p w14:paraId="28F7A6AB" w14:textId="4325496E" w:rsidR="00AE14E5" w:rsidRPr="0058294C" w:rsidRDefault="0058294C" w:rsidP="00747D69">
      <w:pPr>
        <w:pStyle w:val="ThesisText"/>
        <w:keepNext/>
        <w:ind w:firstLineChars="83"/>
        <w:rPr>
          <w:b/>
          <w:bCs/>
          <w:noProof/>
          <w:lang w:eastAsia="ja-JP"/>
        </w:rPr>
      </w:pPr>
      <w:r w:rsidRPr="0058294C">
        <w:rPr>
          <w:b/>
          <w:bCs/>
          <w:noProof/>
          <w:lang w:eastAsia="ja-JP"/>
        </w:rPr>
        <w:lastRenderedPageBreak/>
        <w:t>Supplementary Figure 2</w:t>
      </w:r>
      <w:r w:rsidRPr="00E53B3B">
        <w:rPr>
          <w:noProof/>
          <w:lang w:eastAsia="ja-JP"/>
        </w:rPr>
        <w:t xml:space="preserve">. </w:t>
      </w:r>
    </w:p>
    <w:p w14:paraId="2D33B5A7" w14:textId="659C4C05" w:rsidR="00FC313C" w:rsidRDefault="00AE14E5" w:rsidP="00747D69">
      <w:pPr>
        <w:pStyle w:val="ThesisText"/>
        <w:keepNext/>
        <w:ind w:firstLine="480"/>
      </w:pPr>
      <w:r>
        <w:rPr>
          <w:noProof/>
          <w:lang w:eastAsia="ja-JP"/>
        </w:rPr>
        <w:drawing>
          <wp:inline distT="0" distB="0" distL="0" distR="0" wp14:anchorId="38713C2F" wp14:editId="6B1EAEAA">
            <wp:extent cx="5459307" cy="8394700"/>
            <wp:effectExtent l="0" t="0" r="1905" b="0"/>
            <wp:docPr id="9" name="Picture 9" descr="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Website&#10;&#10;Description automatically generated"/>
                    <pic:cNvPicPr/>
                  </pic:nvPicPr>
                  <pic:blipFill rotWithShape="1">
                    <a:blip r:embed="rId7">
                      <a:extLst>
                        <a:ext uri="{28A0092B-C50C-407E-A947-70E740481C1C}">
                          <a14:useLocalDpi xmlns:a14="http://schemas.microsoft.com/office/drawing/2010/main" val="0"/>
                        </a:ext>
                      </a:extLst>
                    </a:blip>
                    <a:srcRect r="723"/>
                    <a:stretch/>
                  </pic:blipFill>
                  <pic:spPr bwMode="auto">
                    <a:xfrm>
                      <a:off x="0" y="0"/>
                      <a:ext cx="5459307" cy="8394700"/>
                    </a:xfrm>
                    <a:prstGeom prst="rect">
                      <a:avLst/>
                    </a:prstGeom>
                    <a:ln>
                      <a:noFill/>
                    </a:ln>
                    <a:extLst>
                      <a:ext uri="{53640926-AAD7-44D8-BBD7-CCE9431645EC}">
                        <a14:shadowObscured xmlns:a14="http://schemas.microsoft.com/office/drawing/2010/main"/>
                      </a:ext>
                    </a:extLst>
                  </pic:spPr>
                </pic:pic>
              </a:graphicData>
            </a:graphic>
          </wp:inline>
        </w:drawing>
      </w:r>
      <w:r w:rsidRPr="004736E3">
        <w:rPr>
          <w:noProof/>
          <w:lang w:eastAsia="ja-JP"/>
        </w:rPr>
        <mc:AlternateContent>
          <mc:Choice Requires="wpi">
            <w:drawing>
              <wp:anchor distT="0" distB="0" distL="114300" distR="114300" simplePos="0" relativeHeight="251659264" behindDoc="0" locked="0" layoutInCell="1" allowOverlap="1" wp14:anchorId="131F9690" wp14:editId="3DDFCDE2">
                <wp:simplePos x="0" y="0"/>
                <wp:positionH relativeFrom="column">
                  <wp:posOffset>19050</wp:posOffset>
                </wp:positionH>
                <wp:positionV relativeFrom="paragraph">
                  <wp:posOffset>1153160</wp:posOffset>
                </wp:positionV>
                <wp:extent cx="173725" cy="178765"/>
                <wp:effectExtent l="38100" t="38100" r="29845" b="50165"/>
                <wp:wrapNone/>
                <wp:docPr id="111" name="Ink 111"/>
                <wp:cNvGraphicFramePr/>
                <a:graphic xmlns:a="http://schemas.openxmlformats.org/drawingml/2006/main">
                  <a:graphicData uri="http://schemas.microsoft.com/office/word/2010/wordprocessingInk">
                    <w14:contentPart bwMode="auto" r:id="rId8">
                      <w14:nvContentPartPr>
                        <w14:cNvContentPartPr/>
                      </w14:nvContentPartPr>
                      <w14:xfrm>
                        <a:off x="0" y="0"/>
                        <a:ext cx="173725" cy="178765"/>
                      </w14:xfrm>
                    </w14:contentPart>
                  </a:graphicData>
                </a:graphic>
              </wp:anchor>
            </w:drawing>
          </mc:Choice>
          <mc:Fallback>
            <w:pict>
              <v:shapetype w14:anchorId="6BD99D8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11" o:spid="_x0000_s1026" type="#_x0000_t75" style="position:absolute;margin-left:.8pt;margin-top:90.1pt;width:15.1pt;height:15.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">
                <v:imagedata r:id="rId9" o:title=""/>
              </v:shape>
            </w:pict>
          </mc:Fallback>
        </mc:AlternateContent>
      </w:r>
    </w:p>
    <w:p w14:paraId="549B3B4C" w14:textId="0366CAFC" w:rsidR="00282B71" w:rsidRDefault="00282B71" w:rsidP="00747D69">
      <w:pPr>
        <w:pStyle w:val="NoSpacing"/>
        <w:jc w:val="both"/>
        <w:rPr>
          <w:lang w:val="en-AU"/>
        </w:rPr>
      </w:pPr>
      <w:r w:rsidRPr="0058294C">
        <w:rPr>
          <w:b/>
          <w:bCs/>
          <w:noProof/>
        </w:rPr>
        <w:lastRenderedPageBreak/>
        <w:t xml:space="preserve">Supplementary Figure </w:t>
      </w:r>
      <w:r w:rsidRPr="00282B71">
        <w:rPr>
          <w:b/>
          <w:bCs/>
          <w:noProof/>
        </w:rPr>
        <w:t xml:space="preserve">2. </w:t>
      </w:r>
      <w:r w:rsidRPr="00282B71">
        <w:rPr>
          <w:b/>
          <w:bCs/>
        </w:rPr>
        <w:t xml:space="preserve">Flow chart </w:t>
      </w:r>
      <w:r>
        <w:rPr>
          <w:rFonts w:hint="eastAsia"/>
          <w:b/>
          <w:bCs/>
        </w:rPr>
        <w:t xml:space="preserve">showing steps </w:t>
      </w:r>
      <w:r w:rsidRPr="00282B71">
        <w:rPr>
          <w:b/>
          <w:bCs/>
        </w:rPr>
        <w:t>of line plot profile analysis with ImageJ</w:t>
      </w:r>
    </w:p>
    <w:p w14:paraId="20B3E884" w14:textId="00C45D5A" w:rsidR="00FC313C" w:rsidRPr="004736E3" w:rsidRDefault="000E3C10" w:rsidP="00747D69">
      <w:pPr>
        <w:pStyle w:val="NoSpacing"/>
        <w:jc w:val="both"/>
        <w:rPr>
          <w:lang w:val="en-AU"/>
        </w:rPr>
      </w:pPr>
      <w:r w:rsidRPr="00E50E60">
        <w:rPr>
          <w:rFonts w:hint="eastAsia"/>
          <w:b/>
          <w:bCs/>
          <w:lang w:val="en-AU"/>
        </w:rPr>
        <w:t xml:space="preserve">(1) </w:t>
      </w:r>
      <w:r w:rsidR="00FC313C" w:rsidRPr="004736E3">
        <w:rPr>
          <w:lang w:val="en-AU"/>
        </w:rPr>
        <w:t xml:space="preserve">ImageJ “Line plot profile” analysis was performed to quantify the intensity of immunofluorescent signals. </w:t>
      </w:r>
      <w:r w:rsidR="001555FB">
        <w:rPr>
          <w:lang w:val="en-AU"/>
        </w:rPr>
        <w:t xml:space="preserve">Raw </w:t>
      </w:r>
      <w:r w:rsidR="00FC313C" w:rsidRPr="004736E3">
        <w:rPr>
          <w:lang w:val="en-AU"/>
        </w:rPr>
        <w:t xml:space="preserve">Z-stack images were imported into ImageJ and channels split. </w:t>
      </w:r>
      <w:r w:rsidR="000311D1" w:rsidRPr="000311D1">
        <w:rPr>
          <w:b/>
          <w:bCs/>
          <w:lang w:val="en-AU"/>
        </w:rPr>
        <w:t xml:space="preserve">(2) </w:t>
      </w:r>
      <w:r w:rsidR="00FC313C" w:rsidRPr="003D0981">
        <w:rPr>
          <w:lang w:val="en-AU"/>
        </w:rPr>
        <w:t xml:space="preserve">The region of interest (ROI) was selected around one cell to analyse one cell at a time. </w:t>
      </w:r>
      <w:r w:rsidR="000311D1" w:rsidRPr="000311D1">
        <w:rPr>
          <w:b/>
          <w:bCs/>
          <w:lang w:val="en-AU"/>
        </w:rPr>
        <w:t xml:space="preserve">(3) </w:t>
      </w:r>
      <w:r w:rsidR="00FC313C" w:rsidRPr="003D0981">
        <w:rPr>
          <w:lang w:val="en-AU"/>
        </w:rPr>
        <w:t>To quantify relative signal intensity from apical to basal direction,</w:t>
      </w:r>
      <w:r w:rsidR="00FC313C" w:rsidRPr="004736E3">
        <w:rPr>
          <w:lang w:val="en-AU"/>
        </w:rPr>
        <w:t xml:space="preserve"> 9 different line profiles across the cell</w:t>
      </w:r>
      <w:r w:rsidR="00FC313C">
        <w:rPr>
          <w:lang w:val="en-AU"/>
        </w:rPr>
        <w:t xml:space="preserve"> and medial to lateral intensity signals along with another 9 different line profiles across the same cell</w:t>
      </w:r>
      <w:r w:rsidR="00FC313C" w:rsidRPr="004736E3">
        <w:rPr>
          <w:lang w:val="en-AU"/>
        </w:rPr>
        <w:t xml:space="preserve">. To achieve this, first, </w:t>
      </w:r>
      <w:r w:rsidR="00FC313C">
        <w:rPr>
          <w:lang w:val="en-AU"/>
        </w:rPr>
        <w:t xml:space="preserve">the </w:t>
      </w:r>
      <w:r w:rsidR="00FC313C" w:rsidRPr="004736E3">
        <w:rPr>
          <w:lang w:val="en-AU"/>
        </w:rPr>
        <w:t xml:space="preserve">dynamic re-slice method was used </w:t>
      </w:r>
      <w:r w:rsidR="00FC313C">
        <w:rPr>
          <w:lang w:val="en-AU"/>
        </w:rPr>
        <w:t>for</w:t>
      </w:r>
      <w:r w:rsidR="00FC313C" w:rsidRPr="004736E3">
        <w:rPr>
          <w:lang w:val="en-AU"/>
        </w:rPr>
        <w:t xml:space="preserve"> the image stack, to reconstruct a lateral view of the selected cell at 3 different positions </w:t>
      </w:r>
      <w:r w:rsidR="00FC313C">
        <w:rPr>
          <w:lang w:val="en-AU"/>
        </w:rPr>
        <w:t>(1X, 2X, 3X) shown in</w:t>
      </w:r>
      <w:r w:rsidR="00FC313C" w:rsidRPr="004736E3">
        <w:rPr>
          <w:lang w:val="en-AU"/>
        </w:rPr>
        <w:t xml:space="preserve"> “dynamic re-slice” in step 2. </w:t>
      </w:r>
      <w:r w:rsidR="00FC313C">
        <w:rPr>
          <w:lang w:val="en-AU"/>
        </w:rPr>
        <w:t xml:space="preserve">The 2X measurement positions were designed to go through the middle of the nucleus. The 1X and 3X measurement position are determined by the 2X measurement position where both left and right are 3 </w:t>
      </w:r>
      <w:r w:rsidR="00AF6CB5">
        <w:rPr>
          <w:rFonts w:cs="Times New Roman"/>
          <w:lang w:val="en-AU"/>
        </w:rPr>
        <w:t>μ</w:t>
      </w:r>
      <w:r w:rsidR="00AF6CB5">
        <w:rPr>
          <w:lang w:val="en-AU"/>
        </w:rPr>
        <w:t>m</w:t>
      </w:r>
      <w:r w:rsidR="00FC313C">
        <w:rPr>
          <w:lang w:val="en-AU"/>
        </w:rPr>
        <w:t xml:space="preserve"> from the middle measurement position. </w:t>
      </w:r>
      <w:r w:rsidR="00FC313C" w:rsidRPr="004736E3">
        <w:rPr>
          <w:lang w:val="en-AU"/>
        </w:rPr>
        <w:t xml:space="preserve">After reconstructing the lateral view of the selected cell, 3 line </w:t>
      </w:r>
      <w:r w:rsidR="00FC313C">
        <w:rPr>
          <w:rFonts w:hint="eastAsia"/>
          <w:lang w:val="en-AU"/>
        </w:rPr>
        <w:t>profiles</w:t>
      </w:r>
      <w:r w:rsidR="00FC313C">
        <w:rPr>
          <w:lang w:val="en-US"/>
        </w:rPr>
        <w:t xml:space="preserve"> for apical to basal analysis </w:t>
      </w:r>
      <w:r w:rsidR="00FC313C" w:rsidRPr="004736E3">
        <w:rPr>
          <w:lang w:val="en-AU"/>
        </w:rPr>
        <w:t>were</w:t>
      </w:r>
      <w:r w:rsidR="00FC313C">
        <w:rPr>
          <w:lang w:val="en-AU"/>
        </w:rPr>
        <w:t xml:space="preserve"> generated (1Y, 2Y, 3Y) which follows the same method where the 2Y </w:t>
      </w:r>
      <w:r w:rsidR="00AF6CB5">
        <w:rPr>
          <w:lang w:val="en-AU"/>
        </w:rPr>
        <w:t>passe</w:t>
      </w:r>
      <w:r w:rsidR="00FC313C">
        <w:rPr>
          <w:lang w:val="en-AU"/>
        </w:rPr>
        <w:t xml:space="preserve">s through the middle of the nucleus, where 1Y and 3Y are 3 </w:t>
      </w:r>
      <w:r w:rsidR="00AF6CB5">
        <w:rPr>
          <w:lang w:val="en-AU"/>
        </w:rPr>
        <w:t xml:space="preserve">3 </w:t>
      </w:r>
      <w:r w:rsidR="00AF6CB5">
        <w:rPr>
          <w:rFonts w:cs="Times New Roman"/>
          <w:lang w:val="en-AU"/>
        </w:rPr>
        <w:t>μ</w:t>
      </w:r>
      <w:r w:rsidR="00AF6CB5">
        <w:rPr>
          <w:lang w:val="en-AU"/>
        </w:rPr>
        <w:t>m</w:t>
      </w:r>
      <w:r w:rsidR="00FC313C">
        <w:rPr>
          <w:lang w:val="en-AU"/>
        </w:rPr>
        <w:t xml:space="preserve"> from 2Y laterally</w:t>
      </w:r>
      <w:r w:rsidR="00FC313C" w:rsidRPr="004736E3">
        <w:rPr>
          <w:lang w:val="en-AU"/>
        </w:rPr>
        <w:t xml:space="preserve"> (step 3). </w:t>
      </w:r>
      <w:r w:rsidR="00FC313C">
        <w:rPr>
          <w:lang w:val="en-AU"/>
        </w:rPr>
        <w:t xml:space="preserve">The medial and lateral line profiles were similar and 3-line plot profile positions (1Z, 2Z, 3Z) were generated. 2Z was made sure to go through the nucleus but also being the half point of the lateral viewed cell, where 1Z and 3Z were 10 microns from 2Z. </w:t>
      </w:r>
      <w:r w:rsidR="00FC313C" w:rsidRPr="004736E3">
        <w:rPr>
          <w:lang w:val="en-AU"/>
        </w:rPr>
        <w:t xml:space="preserve">Taken together, these steps define nine distinct </w:t>
      </w:r>
      <w:r w:rsidR="00FC313C">
        <w:rPr>
          <w:lang w:val="en-AU"/>
        </w:rPr>
        <w:t>lines</w:t>
      </w:r>
      <w:r w:rsidR="00FC313C" w:rsidRPr="004736E3">
        <w:rPr>
          <w:lang w:val="en-AU"/>
        </w:rPr>
        <w:t xml:space="preserve"> across </w:t>
      </w:r>
      <w:r w:rsidR="00FC313C">
        <w:rPr>
          <w:lang w:val="en-AU"/>
        </w:rPr>
        <w:t xml:space="preserve">the apical-basal and the medial-lateral </w:t>
      </w:r>
      <w:r w:rsidR="00FC313C" w:rsidRPr="004736E3">
        <w:rPr>
          <w:lang w:val="en-AU"/>
        </w:rPr>
        <w:t>axis of the cell (</w:t>
      </w:r>
      <w:r w:rsidR="00FC313C">
        <w:rPr>
          <w:lang w:val="en-AU"/>
        </w:rPr>
        <w:t>3</w:t>
      </w:r>
      <w:r w:rsidR="00FC313C" w:rsidRPr="004736E3">
        <w:rPr>
          <w:lang w:val="en-AU"/>
        </w:rPr>
        <w:t xml:space="preserve">). </w:t>
      </w:r>
      <w:r w:rsidR="00AF6CB5" w:rsidRPr="00AF6CB5">
        <w:rPr>
          <w:b/>
          <w:bCs/>
          <w:lang w:val="en-AU"/>
        </w:rPr>
        <w:t xml:space="preserve">(4) </w:t>
      </w:r>
      <w:r w:rsidR="00FC313C" w:rsidRPr="004736E3">
        <w:rPr>
          <w:lang w:val="en-AU"/>
        </w:rPr>
        <w:t xml:space="preserve">At each of these 9 </w:t>
      </w:r>
      <w:r w:rsidR="00FC313C">
        <w:rPr>
          <w:lang w:val="en-AU"/>
        </w:rPr>
        <w:t>lines</w:t>
      </w:r>
      <w:r w:rsidR="00FC313C" w:rsidRPr="004736E3">
        <w:rPr>
          <w:lang w:val="en-AU"/>
        </w:rPr>
        <w:t xml:space="preserve">, </w:t>
      </w:r>
      <w:r w:rsidR="00FC313C">
        <w:rPr>
          <w:lang w:val="en-AU"/>
        </w:rPr>
        <w:t xml:space="preserve">the </w:t>
      </w:r>
      <w:r w:rsidR="00FC313C" w:rsidRPr="004736E3">
        <w:rPr>
          <w:lang w:val="en-AU"/>
        </w:rPr>
        <w:t xml:space="preserve">“line profile plot” function of </w:t>
      </w:r>
      <w:r w:rsidR="00FC313C">
        <w:rPr>
          <w:lang w:val="en-AU"/>
        </w:rPr>
        <w:t>I</w:t>
      </w:r>
      <w:r w:rsidR="00FC313C" w:rsidRPr="004736E3">
        <w:rPr>
          <w:lang w:val="en-AU"/>
        </w:rPr>
        <w:t>mageJ was used to measure intensity from apical</w:t>
      </w:r>
      <w:r w:rsidR="00FC313C">
        <w:rPr>
          <w:lang w:val="en-AU"/>
        </w:rPr>
        <w:t xml:space="preserve"> to </w:t>
      </w:r>
      <w:r w:rsidR="00FC313C" w:rsidRPr="004736E3">
        <w:rPr>
          <w:lang w:val="en-AU"/>
        </w:rPr>
        <w:t>basal</w:t>
      </w:r>
      <w:r w:rsidR="00FC313C">
        <w:rPr>
          <w:lang w:val="en-AU"/>
        </w:rPr>
        <w:t xml:space="preserve"> as well as medial to lateral</w:t>
      </w:r>
      <w:r w:rsidR="00FC313C" w:rsidRPr="004736E3">
        <w:rPr>
          <w:lang w:val="en-AU"/>
        </w:rPr>
        <w:t xml:space="preserve">. For each point, </w:t>
      </w:r>
      <w:r w:rsidR="00FC313C">
        <w:rPr>
          <w:lang w:val="en-AU"/>
        </w:rPr>
        <w:t xml:space="preserve">the </w:t>
      </w:r>
      <w:r w:rsidR="00FC313C" w:rsidRPr="004736E3">
        <w:rPr>
          <w:lang w:val="en-AU"/>
        </w:rPr>
        <w:t xml:space="preserve">“line profile plot” function quantifies the greyscale pixel value to produce </w:t>
      </w:r>
      <w:r w:rsidR="00FC313C">
        <w:rPr>
          <w:lang w:val="en-AU"/>
        </w:rPr>
        <w:t>about 900</w:t>
      </w:r>
      <w:r w:rsidR="00FC313C" w:rsidRPr="004736E3">
        <w:rPr>
          <w:lang w:val="en-AU"/>
        </w:rPr>
        <w:t xml:space="preserve"> data points along </w:t>
      </w:r>
      <w:r w:rsidR="00FC313C">
        <w:rPr>
          <w:lang w:val="en-AU"/>
        </w:rPr>
        <w:t>apical to basal and about 400 data points along the medial to lateral axis</w:t>
      </w:r>
      <w:r w:rsidR="00FC313C" w:rsidRPr="004736E3">
        <w:rPr>
          <w:lang w:val="en-AU"/>
        </w:rPr>
        <w:t xml:space="preserve">. </w:t>
      </w:r>
    </w:p>
    <w:p w14:paraId="4937EE1C" w14:textId="029DA42F" w:rsidR="008B2657" w:rsidRDefault="008B2657" w:rsidP="00747D69">
      <w:pPr>
        <w:jc w:val="both"/>
        <w:rPr>
          <w:noProof/>
          <w:lang w:val="en-AU"/>
        </w:rPr>
      </w:pPr>
      <w:r>
        <w:rPr>
          <w:noProof/>
          <w:lang w:val="en-AU"/>
        </w:rPr>
        <w:br w:type="page"/>
      </w:r>
    </w:p>
    <w:p w14:paraId="59C819DD" w14:textId="3163E2FF" w:rsidR="00AE14E5" w:rsidRPr="00055A07" w:rsidRDefault="00F10A54" w:rsidP="00747D69">
      <w:pPr>
        <w:pStyle w:val="ThesisText"/>
        <w:keepNext/>
        <w:ind w:firstLine="482"/>
        <w:rPr>
          <w:b/>
          <w:bCs/>
          <w:noProof/>
          <w:lang w:eastAsia="ja-JP"/>
        </w:rPr>
      </w:pPr>
      <w:r w:rsidRPr="00055A07">
        <w:rPr>
          <w:b/>
          <w:bCs/>
          <w:noProof/>
          <w:lang w:eastAsia="ja-JP"/>
        </w:rPr>
        <w:lastRenderedPageBreak/>
        <w:t xml:space="preserve">Supplementary Figure </w:t>
      </w:r>
      <w:r w:rsidR="00D151F4">
        <w:rPr>
          <w:b/>
          <w:bCs/>
          <w:noProof/>
          <w:lang w:eastAsia="ja-JP"/>
        </w:rPr>
        <w:t>3</w:t>
      </w:r>
      <w:r w:rsidRPr="00055A07">
        <w:rPr>
          <w:b/>
          <w:bCs/>
          <w:noProof/>
          <w:lang w:eastAsia="ja-JP"/>
        </w:rPr>
        <w:t xml:space="preserve">. Co-localization analysis </w:t>
      </w:r>
    </w:p>
    <w:p w14:paraId="2AEE3372" w14:textId="50818F45" w:rsidR="00850868" w:rsidRDefault="00850868" w:rsidP="00747D69">
      <w:pPr>
        <w:pStyle w:val="ThesisText"/>
        <w:keepNext/>
        <w:ind w:firstLine="480"/>
      </w:pPr>
      <w:r>
        <w:rPr>
          <w:noProof/>
          <w:lang w:eastAsia="ja-JP"/>
        </w:rPr>
        <w:drawing>
          <wp:inline distT="0" distB="0" distL="0" distR="0" wp14:anchorId="010CB098" wp14:editId="5EDF76C2">
            <wp:extent cx="4612012" cy="7251826"/>
            <wp:effectExtent l="0" t="0" r="0" b="0"/>
            <wp:docPr id="11" name="Picture 11" descr="A picture containing 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qr cod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4614901" cy="7256369"/>
                    </a:xfrm>
                    <a:prstGeom prst="rect">
                      <a:avLst/>
                    </a:prstGeom>
                  </pic:spPr>
                </pic:pic>
              </a:graphicData>
            </a:graphic>
          </wp:inline>
        </w:drawing>
      </w:r>
    </w:p>
    <w:p w14:paraId="3C907340" w14:textId="77777777" w:rsidR="00AF6CB5" w:rsidRDefault="00AF6CB5">
      <w:pPr>
        <w:rPr>
          <w:rFonts w:ascii="Times New Roman" w:hAnsi="Times New Roman"/>
          <w:sz w:val="24"/>
          <w:lang w:val="en-NZ"/>
        </w:rPr>
      </w:pPr>
      <w:r>
        <w:br w:type="page"/>
      </w:r>
    </w:p>
    <w:p w14:paraId="0CA231A6" w14:textId="77777777" w:rsidR="00AF6CB5" w:rsidRPr="00055A07" w:rsidRDefault="00AF6CB5" w:rsidP="00AF6CB5">
      <w:pPr>
        <w:pStyle w:val="ThesisText"/>
        <w:keepNext/>
        <w:ind w:firstLineChars="0" w:firstLine="0"/>
        <w:rPr>
          <w:b/>
          <w:bCs/>
          <w:noProof/>
          <w:lang w:eastAsia="ja-JP"/>
        </w:rPr>
      </w:pPr>
      <w:r w:rsidRPr="00055A07">
        <w:rPr>
          <w:b/>
          <w:bCs/>
          <w:noProof/>
          <w:lang w:eastAsia="ja-JP"/>
        </w:rPr>
        <w:lastRenderedPageBreak/>
        <w:t xml:space="preserve">Supplementary Figure </w:t>
      </w:r>
      <w:r>
        <w:rPr>
          <w:b/>
          <w:bCs/>
          <w:noProof/>
          <w:lang w:eastAsia="ja-JP"/>
        </w:rPr>
        <w:t>3</w:t>
      </w:r>
      <w:r w:rsidRPr="00055A07">
        <w:rPr>
          <w:b/>
          <w:bCs/>
          <w:noProof/>
          <w:lang w:eastAsia="ja-JP"/>
        </w:rPr>
        <w:t xml:space="preserve">. Co-localization analysis </w:t>
      </w:r>
    </w:p>
    <w:p w14:paraId="07E30A2C" w14:textId="02771D4A" w:rsidR="00200BFB" w:rsidRPr="004736E3" w:rsidRDefault="00AF3B44" w:rsidP="00747D69">
      <w:pPr>
        <w:pStyle w:val="NoSpacing"/>
        <w:jc w:val="both"/>
      </w:pPr>
      <w:r>
        <w:t xml:space="preserve">The </w:t>
      </w:r>
      <w:r w:rsidR="00200BFB" w:rsidRPr="004736E3">
        <w:t xml:space="preserve">JACoP plugin </w:t>
      </w:r>
      <w:r>
        <w:t>for</w:t>
      </w:r>
      <w:r w:rsidRPr="004736E3">
        <w:t xml:space="preserve"> </w:t>
      </w:r>
      <w:r w:rsidR="00200BFB" w:rsidRPr="004736E3">
        <w:t xml:space="preserve">ImageJ software was used for analysing </w:t>
      </w:r>
      <w:r w:rsidR="00200BFB">
        <w:t xml:space="preserve">the </w:t>
      </w:r>
      <w:r w:rsidR="00200BFB" w:rsidRPr="004736E3">
        <w:t>co-</w:t>
      </w:r>
      <w:r w:rsidR="00200BFB">
        <w:t>localiz</w:t>
      </w:r>
      <w:r w:rsidR="00200BFB" w:rsidRPr="004736E3">
        <w:t>ation of P2X</w:t>
      </w:r>
      <w:r w:rsidR="00200BFB" w:rsidRPr="00AF6CB5">
        <w:rPr>
          <w:vertAlign w:val="subscript"/>
        </w:rPr>
        <w:t>4</w:t>
      </w:r>
      <w:r w:rsidR="00200BFB" w:rsidRPr="004736E3">
        <w:t xml:space="preserve"> and subcellular markers. </w:t>
      </w:r>
      <w:r w:rsidR="00AF6CB5" w:rsidRPr="00AF6CB5">
        <w:rPr>
          <w:b/>
          <w:bCs/>
        </w:rPr>
        <w:t xml:space="preserve">(1) </w:t>
      </w:r>
      <w:r w:rsidR="00AF6CB5">
        <w:t xml:space="preserve">Raw </w:t>
      </w:r>
      <w:r w:rsidR="00200BFB" w:rsidRPr="004736E3">
        <w:t>Z-stack</w:t>
      </w:r>
      <w:r w:rsidR="00AF6CB5">
        <w:t xml:space="preserve"> images</w:t>
      </w:r>
      <w:r w:rsidR="00200BFB" w:rsidRPr="004736E3">
        <w:t xml:space="preserve"> of I</w:t>
      </w:r>
      <w:r w:rsidR="00200BFB">
        <w:t>HCs</w:t>
      </w:r>
      <w:r w:rsidR="00200BFB" w:rsidRPr="004736E3">
        <w:t xml:space="preserve"> and </w:t>
      </w:r>
      <w:r w:rsidR="00200BFB">
        <w:t>OHCs</w:t>
      </w:r>
      <w:r w:rsidR="00200BFB" w:rsidRPr="004736E3">
        <w:t xml:space="preserve"> were taken </w:t>
      </w:r>
      <w:r w:rsidR="00A7647C">
        <w:t>by sequential scan, and as</w:t>
      </w:r>
      <w:r w:rsidR="00200BFB" w:rsidRPr="004736E3">
        <w:t xml:space="preserve"> multiple channel</w:t>
      </w:r>
      <w:r w:rsidR="00200BFB">
        <w:t>s stack</w:t>
      </w:r>
      <w:r w:rsidR="00200BFB" w:rsidRPr="004736E3">
        <w:t xml:space="preserve">. </w:t>
      </w:r>
      <w:r w:rsidR="00AF6CB5" w:rsidRPr="00AF6CB5">
        <w:rPr>
          <w:b/>
          <w:bCs/>
        </w:rPr>
        <w:t xml:space="preserve">(2) </w:t>
      </w:r>
      <w:r w:rsidR="00200BFB" w:rsidRPr="004736E3">
        <w:t>Similar</w:t>
      </w:r>
      <w:r w:rsidR="00A7647C">
        <w:t>ly</w:t>
      </w:r>
      <w:r w:rsidR="00200BFB" w:rsidRPr="004736E3">
        <w:t xml:space="preserve"> to particle analysis, background subtraction was necessary</w:t>
      </w:r>
      <w:r w:rsidR="00200BFB">
        <w:t xml:space="preserve"> to separate vesicular/punctate labelling by thresholding</w:t>
      </w:r>
      <w:r w:rsidR="00200BFB" w:rsidRPr="004736E3">
        <w:t xml:space="preserve">. As a part of </w:t>
      </w:r>
      <w:r w:rsidR="00200BFB">
        <w:t xml:space="preserve">the </w:t>
      </w:r>
      <w:r w:rsidR="00200BFB" w:rsidRPr="004736E3">
        <w:t>background subtraction step, images from the channel of interest w</w:t>
      </w:r>
      <w:r w:rsidR="00200BFB">
        <w:t>ere</w:t>
      </w:r>
      <w:r w:rsidR="00200BFB" w:rsidRPr="004736E3">
        <w:t xml:space="preserve"> duplicated and processed using the Gaussian Blur (radius = 40 pixels) to remove </w:t>
      </w:r>
      <w:r w:rsidR="00E56ACD">
        <w:rPr>
          <w:rFonts w:hint="eastAsia"/>
        </w:rPr>
        <w:t>noise and background signals</w:t>
      </w:r>
      <w:r w:rsidR="00200BFB" w:rsidRPr="004736E3">
        <w:t xml:space="preserve">. 40 pixels radius was selected as it blurs the image </w:t>
      </w:r>
      <w:r w:rsidR="00200BFB">
        <w:t>so</w:t>
      </w:r>
      <w:r w:rsidR="00200BFB" w:rsidRPr="004736E3">
        <w:t xml:space="preserve"> hardly any particles could be </w:t>
      </w:r>
      <w:r w:rsidR="00200BFB">
        <w:t>visualiz</w:t>
      </w:r>
      <w:r w:rsidR="00200BFB" w:rsidRPr="004736E3">
        <w:t xml:space="preserve">ed. These blurred images </w:t>
      </w:r>
      <w:r w:rsidR="00200BFB">
        <w:t xml:space="preserve">can </w:t>
      </w:r>
      <w:r w:rsidR="00200BFB" w:rsidRPr="004736E3">
        <w:t xml:space="preserve">be used as “background”. This was then subtracted from </w:t>
      </w:r>
      <w:r w:rsidR="00200BFB">
        <w:t xml:space="preserve">the </w:t>
      </w:r>
      <w:r w:rsidR="00200BFB" w:rsidRPr="004736E3">
        <w:t xml:space="preserve">original image by </w:t>
      </w:r>
      <w:r w:rsidR="00200BFB">
        <w:t xml:space="preserve">the </w:t>
      </w:r>
      <w:r w:rsidR="00200BFB" w:rsidRPr="004736E3">
        <w:t>“image calculator” function of ImageJ to produce the final “background</w:t>
      </w:r>
      <w:r w:rsidR="00200BFB">
        <w:t>-</w:t>
      </w:r>
      <w:r w:rsidR="00200BFB" w:rsidRPr="004736E3">
        <w:t xml:space="preserve">subtracted images”. </w:t>
      </w:r>
      <w:r w:rsidR="00D5390A" w:rsidRPr="00D5390A">
        <w:rPr>
          <w:b/>
          <w:bCs/>
        </w:rPr>
        <w:t xml:space="preserve">(3) </w:t>
      </w:r>
      <w:r w:rsidR="00200BFB" w:rsidRPr="004736E3">
        <w:t xml:space="preserve">Following the background subtraction, images were cropped so that only the region of interest </w:t>
      </w:r>
      <w:r w:rsidR="00200BFB">
        <w:t>was</w:t>
      </w:r>
      <w:r w:rsidR="00200BFB" w:rsidRPr="004736E3">
        <w:t xml:space="preserve"> selected. The region</w:t>
      </w:r>
      <w:r w:rsidR="00200BFB">
        <w:t>s</w:t>
      </w:r>
      <w:r w:rsidR="00200BFB" w:rsidRPr="004736E3">
        <w:t xml:space="preserve"> of interested were selected to include as </w:t>
      </w:r>
      <w:r w:rsidR="00200BFB">
        <w:t>many</w:t>
      </w:r>
      <w:r w:rsidR="00200BFB" w:rsidRPr="004736E3">
        <w:t xml:space="preserve"> as possible complete cells and exclude signals from adjacent cell</w:t>
      </w:r>
      <w:r w:rsidR="00200BFB">
        <w:t>s</w:t>
      </w:r>
      <w:r w:rsidR="00200BFB" w:rsidRPr="004736E3">
        <w:t xml:space="preserve"> and background signals. T</w:t>
      </w:r>
      <w:r w:rsidR="00200BFB">
        <w:t>he t</w:t>
      </w:r>
      <w:r w:rsidR="00200BFB" w:rsidRPr="004736E3">
        <w:t xml:space="preserve">ypical region of interest contained </w:t>
      </w:r>
      <w:r w:rsidR="00200BFB">
        <w:t>8</w:t>
      </w:r>
      <w:r w:rsidR="00200BFB" w:rsidRPr="004736E3">
        <w:t xml:space="preserve"> cells. </w:t>
      </w:r>
    </w:p>
    <w:p w14:paraId="25CEC186" w14:textId="491BFD7B" w:rsidR="0005423F" w:rsidRDefault="00D5390A" w:rsidP="00747D69">
      <w:pPr>
        <w:pStyle w:val="NoSpacing"/>
        <w:jc w:val="both"/>
      </w:pPr>
      <w:r w:rsidRPr="00D5390A">
        <w:rPr>
          <w:b/>
          <w:bCs/>
        </w:rPr>
        <w:t xml:space="preserve">(4) </w:t>
      </w:r>
      <w:r w:rsidR="00200BFB" w:rsidRPr="004736E3">
        <w:t>JACoP automatically calculates Manders’ colocalization coefficients as the primary output. Manders’ coloc</w:t>
      </w:r>
      <w:r w:rsidR="00B33EE7">
        <w:t>alization coefficient i</w:t>
      </w:r>
      <w:r w:rsidR="00200BFB" w:rsidRPr="004736E3">
        <w:t xml:space="preserve">s based on </w:t>
      </w:r>
      <w:r w:rsidR="0078005C">
        <w:t>Pearson’s correlation</w:t>
      </w:r>
      <w:r w:rsidR="00200BFB">
        <w:t xml:space="preserve"> </w:t>
      </w:r>
      <w:r w:rsidR="00200BFB" w:rsidRPr="004736E3">
        <w:t xml:space="preserve">but average intensity values were taken out </w:t>
      </w:r>
      <w:r w:rsidR="00200BFB">
        <w:t>from the Pearson’s equation</w:t>
      </w:r>
      <w:r w:rsidR="001F794D">
        <w:fldChar w:fldCharType="begin"/>
      </w:r>
      <w:r w:rsidR="001F1507">
        <w:instrText xml:space="preserve"> ADDIN EN.CITE &lt;EndNote&gt;&lt;Cite&gt;&lt;Author&gt;Dunn&lt;/Author&gt;&lt;Year&gt;2011&lt;/Year&gt;&lt;RecNum&gt;8602&lt;/RecNum&gt;&lt;DisplayText&gt;(Dunn, Kamocka, &amp;amp; McDonald, 2011)&lt;/DisplayText&gt;&lt;record&gt;&lt;rec-number&gt;8602&lt;/rec-number&gt;&lt;foreign-keys&gt;&lt;key app="EN" db-id="swswz5xpu2zvzfexvvwprwew92td2p2pxr0a" timestamp="1674458080"&gt;8602&lt;/key&gt;&lt;/foreign-keys&gt;&lt;ref-type name="Journal Article"&gt;17&lt;/ref-type&gt;&lt;contributors&gt;&lt;authors&gt;&lt;author&gt;Dunn, Kenneth W&lt;/author&gt;&lt;author&gt;Kamocka, Malgorzata M&lt;/author&gt;&lt;author&gt;McDonald, John H&lt;/author&gt;&lt;/authors&gt;&lt;/contributors&gt;&lt;titles&gt;&lt;title&gt;A practical guide to evaluating colocalization in biological microscopy&lt;/title&gt;&lt;secondary-title&gt;American Journal of Physiology-Cell Physiology&lt;/secondary-title&gt;&lt;/titles&gt;&lt;pages&gt;C723-C742&lt;/pages&gt;&lt;volume&gt;300&lt;/volume&gt;&lt;number&gt;4&lt;/number&gt;&lt;dates&gt;&lt;year&gt;2011&lt;/year&gt;&lt;/dates&gt;&lt;isbn&gt;0363-6143&lt;/isbn&gt;&lt;urls&gt;&lt;/urls&gt;&lt;/record&gt;&lt;/Cite&gt;&lt;/EndNote&gt;</w:instrText>
      </w:r>
      <w:r w:rsidR="001F794D">
        <w:fldChar w:fldCharType="separate"/>
      </w:r>
      <w:r w:rsidR="001F1507">
        <w:rPr>
          <w:noProof/>
        </w:rPr>
        <w:t>(Dunn, Kamocka, &amp; McDonald, 2011)</w:t>
      </w:r>
      <w:r w:rsidR="001F794D">
        <w:fldChar w:fldCharType="end"/>
      </w:r>
      <w:r w:rsidR="00200BFB" w:rsidRPr="004736E3">
        <w:t xml:space="preserve">. The results were displayed as M1 and M2. M1 is defined as the ratio of the “summed intensities of pixels from the green image for which the intensity in the red channel is above zero” to the “total intensity in the green channel”. M2 is identified </w:t>
      </w:r>
      <w:r w:rsidR="00200BFB">
        <w:t xml:space="preserve">as </w:t>
      </w:r>
      <w:r w:rsidR="00200BFB" w:rsidRPr="004736E3">
        <w:t xml:space="preserve">the same </w:t>
      </w:r>
      <w:r w:rsidR="00200BFB">
        <w:t>as</w:t>
      </w:r>
      <w:r w:rsidR="00200BFB" w:rsidRPr="004736E3">
        <w:t xml:space="preserve"> the red and green reversed. High M1 and M2 coefficients indicate that a large proportion of one signal co-occur</w:t>
      </w:r>
      <w:r w:rsidR="00200BFB">
        <w:t>s</w:t>
      </w:r>
      <w:r w:rsidR="00200BFB" w:rsidRPr="004736E3">
        <w:t xml:space="preserve"> with the other signal. Manders’ colocalization coefficient analysis has </w:t>
      </w:r>
      <w:r w:rsidR="00200BFB">
        <w:t xml:space="preserve">an </w:t>
      </w:r>
      <w:r w:rsidR="00200BFB" w:rsidRPr="004736E3">
        <w:t>advantage over other method</w:t>
      </w:r>
      <w:r w:rsidR="00200BFB">
        <w:t>s</w:t>
      </w:r>
      <w:r w:rsidR="00200BFB" w:rsidRPr="004736E3">
        <w:t xml:space="preserve"> </w:t>
      </w:r>
      <w:r w:rsidR="00200BFB">
        <w:t xml:space="preserve">in </w:t>
      </w:r>
      <w:r w:rsidR="00200BFB" w:rsidRPr="004736E3">
        <w:t>that this method can be used reliably even when signals from two channels have different levels of intensity/distribution, and also when the immunolabeling is spar</w:t>
      </w:r>
      <w:r w:rsidR="00200BFB">
        <w:t>s</w:t>
      </w:r>
      <w:r w:rsidR="00200BFB" w:rsidRPr="004736E3">
        <w:t>e and the image contains a lot of black/empty space within the field of view</w:t>
      </w:r>
      <w:r w:rsidR="00B37D3B">
        <w:t xml:space="preserve"> </w:t>
      </w:r>
      <w:r w:rsidR="002345C4">
        <w:fldChar w:fldCharType="begin"/>
      </w:r>
      <w:r w:rsidR="001F1507">
        <w:instrText xml:space="preserve"> ADDIN EN.CITE &lt;EndNote&gt;&lt;Cite&gt;&lt;Author&gt;Bolte&lt;/Author&gt;&lt;Year&gt;2006&lt;/Year&gt;&lt;RecNum&gt;8612&lt;/RecNum&gt;&lt;DisplayText&gt;(Bolte &amp;amp; Cordelières, 2006)&lt;/DisplayText&gt;&lt;record&gt;&lt;rec-number&gt;8612&lt;/rec-number&gt;&lt;foreign-keys&gt;&lt;key app="EN" db-id="swswz5xpu2zvzfexvvwprwew92td2p2pxr0a" timestamp="1674461720"&gt;8612&lt;/key&gt;&lt;/foreign-keys&gt;&lt;ref-type name="Journal Article"&gt;17&lt;/ref-type&gt;&lt;contributors&gt;&lt;authors&gt;&lt;author&gt;Bolte, Susanne&lt;/author&gt;&lt;author&gt;Cordelières, Fabrice P&lt;/author&gt;&lt;/authors&gt;&lt;/contributors&gt;&lt;titles&gt;&lt;title&gt;A guided tour into subcellular colocalization analysis in light microscopy&lt;/title&gt;&lt;secondary-title&gt;Journal of microscopy&lt;/secondary-title&gt;&lt;/titles&gt;&lt;pages&gt;213-232&lt;/pages&gt;&lt;volume&gt;224&lt;/volume&gt;&lt;number&gt;3&lt;/number&gt;&lt;dates&gt;&lt;year&gt;2006&lt;/year&gt;&lt;/dates&gt;&lt;isbn&gt;0022-2720&lt;/isbn&gt;&lt;urls&gt;&lt;/urls&gt;&lt;/record&gt;&lt;/Cite&gt;&lt;/EndNote&gt;</w:instrText>
      </w:r>
      <w:r w:rsidR="002345C4">
        <w:fldChar w:fldCharType="separate"/>
      </w:r>
      <w:r w:rsidR="001F1507">
        <w:rPr>
          <w:noProof/>
        </w:rPr>
        <w:t>(Bolte &amp; Cordelières, 2006)</w:t>
      </w:r>
      <w:r w:rsidR="002345C4">
        <w:fldChar w:fldCharType="end"/>
      </w:r>
      <w:r w:rsidR="00200BFB" w:rsidRPr="004736E3">
        <w:t>.</w:t>
      </w:r>
      <w:r w:rsidR="0078005C">
        <w:rPr>
          <w:color w:val="00B0F0"/>
        </w:rPr>
        <w:t xml:space="preserve"> </w:t>
      </w:r>
      <w:r w:rsidR="0078005C" w:rsidRPr="0078005C">
        <w:rPr>
          <w:color w:val="000000" w:themeColor="text1"/>
        </w:rPr>
        <w:t>M</w:t>
      </w:r>
      <w:r w:rsidR="00200BFB" w:rsidRPr="00B906DF">
        <w:rPr>
          <w:lang w:eastAsia="en-NZ"/>
        </w:rPr>
        <w:t xml:space="preserve">anders’ colocalization coefficients require thresholding for both channels which has been incorporated as part of the JACoP plugin programme. The appropriate thresholding was </w:t>
      </w:r>
      <w:r w:rsidR="00200BFB">
        <w:rPr>
          <w:lang w:eastAsia="en-NZ"/>
        </w:rPr>
        <w:t>selected to maintain consistency for each image stack,</w:t>
      </w:r>
      <w:r w:rsidR="00200BFB" w:rsidRPr="00B906DF">
        <w:rPr>
          <w:lang w:eastAsia="en-NZ"/>
        </w:rPr>
        <w:t xml:space="preserve"> as described </w:t>
      </w:r>
      <w:r w:rsidR="00200BFB">
        <w:rPr>
          <w:lang w:eastAsia="en-NZ"/>
        </w:rPr>
        <w:t xml:space="preserve">in </w:t>
      </w:r>
      <w:r w:rsidR="001B705C">
        <w:rPr>
          <w:lang w:eastAsia="en-NZ"/>
        </w:rPr>
        <w:t>supplementary figure 1</w:t>
      </w:r>
      <w:r w:rsidR="00200BFB" w:rsidRPr="00B906DF">
        <w:rPr>
          <w:lang w:eastAsia="en-NZ"/>
        </w:rPr>
        <w:t xml:space="preserve">. The results of the Manders’ colocalization coefficient, M1 and M2, is given as a value between 0-1.0. </w:t>
      </w:r>
      <w:r w:rsidR="00200BFB">
        <w:rPr>
          <w:lang w:eastAsia="en-NZ"/>
        </w:rPr>
        <w:t>C</w:t>
      </w:r>
      <w:r w:rsidR="00200BFB" w:rsidRPr="00B906DF">
        <w:rPr>
          <w:lang w:eastAsia="en-NZ"/>
        </w:rPr>
        <w:t>olocalization analys</w:t>
      </w:r>
      <w:r w:rsidR="00200BFB">
        <w:rPr>
          <w:lang w:eastAsia="en-NZ"/>
        </w:rPr>
        <w:t>e</w:t>
      </w:r>
      <w:r w:rsidR="00200BFB" w:rsidRPr="00B906DF">
        <w:rPr>
          <w:lang w:eastAsia="en-NZ"/>
        </w:rPr>
        <w:t xml:space="preserve">s were </w:t>
      </w:r>
      <w:r w:rsidR="00200BFB">
        <w:rPr>
          <w:lang w:eastAsia="en-NZ"/>
        </w:rPr>
        <w:t>conducted</w:t>
      </w:r>
      <w:r w:rsidR="00200BFB" w:rsidRPr="00B906DF">
        <w:rPr>
          <w:lang w:eastAsia="en-NZ"/>
        </w:rPr>
        <w:t xml:space="preserve"> for each subcellular marker separately with 3 cochlea</w:t>
      </w:r>
      <w:r w:rsidR="00200BFB">
        <w:rPr>
          <w:lang w:eastAsia="en-NZ"/>
        </w:rPr>
        <w:t>e</w:t>
      </w:r>
      <w:r w:rsidR="00200BFB" w:rsidRPr="00B906DF">
        <w:rPr>
          <w:lang w:eastAsia="en-NZ"/>
        </w:rPr>
        <w:t xml:space="preserve"> f</w:t>
      </w:r>
      <w:r w:rsidR="00200BFB">
        <w:rPr>
          <w:lang w:eastAsia="en-NZ"/>
        </w:rPr>
        <w:t>or</w:t>
      </w:r>
      <w:r w:rsidR="0035263C">
        <w:rPr>
          <w:lang w:eastAsia="en-NZ"/>
        </w:rPr>
        <w:t xml:space="preserve"> each marker</w:t>
      </w:r>
      <w:r w:rsidR="00200BFB" w:rsidRPr="00B906DF">
        <w:rPr>
          <w:lang w:eastAsia="en-NZ"/>
        </w:rPr>
        <w:t xml:space="preserve">, and the mean and standard error of </w:t>
      </w:r>
      <w:r w:rsidR="00200BFB">
        <w:rPr>
          <w:lang w:eastAsia="en-NZ"/>
        </w:rPr>
        <w:t xml:space="preserve">the </w:t>
      </w:r>
      <w:r w:rsidR="00200BFB" w:rsidRPr="00B906DF">
        <w:rPr>
          <w:lang w:eastAsia="en-NZ"/>
        </w:rPr>
        <w:t>mean (SEM) were calculated.</w:t>
      </w:r>
      <w:r w:rsidR="0035263C">
        <w:rPr>
          <w:lang w:eastAsia="en-NZ"/>
        </w:rPr>
        <w:t xml:space="preserve"> </w:t>
      </w:r>
      <w:r w:rsidR="0005423F">
        <w:br w:type="page"/>
      </w:r>
    </w:p>
    <w:p w14:paraId="03F9B0DB" w14:textId="77777777" w:rsidR="00D44534" w:rsidRPr="00D44534" w:rsidRDefault="00D44534" w:rsidP="00747D69">
      <w:pPr>
        <w:pStyle w:val="ThesisText"/>
        <w:ind w:firstLineChars="0" w:firstLine="0"/>
        <w:rPr>
          <w:b/>
          <w:bCs/>
          <w:lang w:eastAsia="en-NZ"/>
        </w:rPr>
      </w:pPr>
      <w:r w:rsidRPr="00D44534">
        <w:rPr>
          <w:b/>
          <w:bCs/>
          <w:lang w:eastAsia="en-NZ"/>
        </w:rPr>
        <w:lastRenderedPageBreak/>
        <w:t xml:space="preserve">Supplementary Figure 4. </w:t>
      </w:r>
    </w:p>
    <w:p w14:paraId="6CB76172" w14:textId="77777777" w:rsidR="001B705C" w:rsidRDefault="00D44534" w:rsidP="00747D69">
      <w:pPr>
        <w:pStyle w:val="NoSpacing"/>
        <w:jc w:val="both"/>
      </w:pPr>
      <w:r>
        <w:rPr>
          <w:noProof/>
        </w:rPr>
        <w:drawing>
          <wp:inline distT="0" distB="0" distL="0" distR="0" wp14:anchorId="2DB16BCC" wp14:editId="0A812ACF">
            <wp:extent cx="4514850" cy="3793841"/>
            <wp:effectExtent l="0" t="0" r="0" b="0"/>
            <wp:docPr id="91" name="Picture 9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Picture 91" descr="Graphical user interface, application&#10;&#10;Description automatically generated"/>
                    <pic:cNvPicPr/>
                  </pic:nvPicPr>
                  <pic:blipFill rotWithShape="1">
                    <a:blip r:embed="rId11" cstate="print">
                      <a:extLst>
                        <a:ext uri="{28A0092B-C50C-407E-A947-70E740481C1C}">
                          <a14:useLocalDpi xmlns:a14="http://schemas.microsoft.com/office/drawing/2010/main" val="0"/>
                        </a:ext>
                      </a:extLst>
                    </a:blip>
                    <a:srcRect t="3871"/>
                    <a:stretch/>
                  </pic:blipFill>
                  <pic:spPr bwMode="auto">
                    <a:xfrm>
                      <a:off x="0" y="0"/>
                      <a:ext cx="4534628" cy="3810461"/>
                    </a:xfrm>
                    <a:prstGeom prst="rect">
                      <a:avLst/>
                    </a:prstGeom>
                    <a:ln>
                      <a:noFill/>
                    </a:ln>
                    <a:extLst>
                      <a:ext uri="{53640926-AAD7-44D8-BBD7-CCE9431645EC}">
                        <a14:shadowObscured xmlns:a14="http://schemas.microsoft.com/office/drawing/2010/main"/>
                      </a:ext>
                    </a:extLst>
                  </pic:spPr>
                </pic:pic>
              </a:graphicData>
            </a:graphic>
          </wp:inline>
        </w:drawing>
      </w:r>
      <w:bookmarkStart w:id="0" w:name="OLE_LINK45"/>
      <w:bookmarkStart w:id="1" w:name="OLE_LINK46"/>
      <w:bookmarkStart w:id="2" w:name="_Toc67346224"/>
    </w:p>
    <w:p w14:paraId="080ABD1F" w14:textId="77777777" w:rsidR="001B705C" w:rsidRDefault="001B705C" w:rsidP="00747D69">
      <w:pPr>
        <w:pStyle w:val="NoSpacing"/>
        <w:jc w:val="both"/>
      </w:pPr>
    </w:p>
    <w:p w14:paraId="56788372" w14:textId="1F05F3E1" w:rsidR="0005423F" w:rsidRDefault="00587394" w:rsidP="00747D69">
      <w:pPr>
        <w:pStyle w:val="NoSpacing"/>
        <w:jc w:val="both"/>
        <w:rPr>
          <w:lang w:eastAsia="en-NZ"/>
        </w:rPr>
      </w:pPr>
      <w:r>
        <w:t>O</w:t>
      </w:r>
      <w:r w:rsidR="00D44534">
        <w:t>oC</w:t>
      </w:r>
      <w:r w:rsidR="00D44534" w:rsidRPr="008F4481">
        <w:t xml:space="preserve"> </w:t>
      </w:r>
      <w:r w:rsidR="001E5DD6">
        <w:t>W</w:t>
      </w:r>
      <w:r w:rsidR="00D44534" w:rsidRPr="008F4481">
        <w:t>holemounts</w:t>
      </w:r>
      <w:r w:rsidR="001E5DD6">
        <w:t xml:space="preserve"> </w:t>
      </w:r>
      <w:r w:rsidR="001E5DD6" w:rsidRPr="001B705C">
        <w:t>(A, C, E)</w:t>
      </w:r>
      <w:r w:rsidR="00D44534" w:rsidRPr="001B705C">
        <w:t xml:space="preserve"> </w:t>
      </w:r>
      <w:r w:rsidR="00D44534">
        <w:t xml:space="preserve">and </w:t>
      </w:r>
      <w:r w:rsidR="001E5DD6">
        <w:t>20</w:t>
      </w:r>
      <w:r w:rsidR="001E5DD6">
        <w:rPr>
          <w:rFonts w:ascii="Symbol" w:hAnsi="Symbol"/>
        </w:rPr>
        <w:t></w:t>
      </w:r>
      <w:r w:rsidR="001E5DD6">
        <w:rPr>
          <w:rFonts w:cs="Times New Roman"/>
        </w:rPr>
        <w:t>m</w:t>
      </w:r>
      <w:r w:rsidR="001E5DD6">
        <w:t xml:space="preserve"> thick </w:t>
      </w:r>
      <w:r w:rsidR="00D44534">
        <w:t>cryosections</w:t>
      </w:r>
      <w:r w:rsidR="00D44534" w:rsidRPr="008F4481">
        <w:t xml:space="preserve"> </w:t>
      </w:r>
      <w:r w:rsidR="001E5DD6" w:rsidRPr="001B705C">
        <w:t>(B,D, F)</w:t>
      </w:r>
      <w:r w:rsidR="00D44534" w:rsidRPr="001B705C">
        <w:t xml:space="preserve"> </w:t>
      </w:r>
      <w:r w:rsidR="00D44534" w:rsidRPr="008F4481">
        <w:t xml:space="preserve">were prepared from </w:t>
      </w:r>
      <w:r w:rsidR="00D44534">
        <w:t>adult</w:t>
      </w:r>
      <w:r w:rsidR="00D44534" w:rsidRPr="008F4481">
        <w:t xml:space="preserve"> rat cochlea </w:t>
      </w:r>
      <w:r w:rsidR="0073331F">
        <w:t xml:space="preserve">within the apical (A &amp; B), middle (C&amp;D) and base (E&amp; F) </w:t>
      </w:r>
      <w:r w:rsidR="00D44534" w:rsidRPr="008F4481">
        <w:t>and labelled with anti</w:t>
      </w:r>
      <w:r w:rsidR="00D44534">
        <w:t>-</w:t>
      </w:r>
      <w:r w:rsidR="00D44534" w:rsidRPr="008F4481">
        <w:t>P2X</w:t>
      </w:r>
      <w:r w:rsidR="00D44534" w:rsidRPr="00E56ACD">
        <w:rPr>
          <w:vertAlign w:val="subscript"/>
        </w:rPr>
        <w:t>4</w:t>
      </w:r>
      <w:r w:rsidR="00D44534" w:rsidRPr="008F4481">
        <w:t xml:space="preserve"> antibody (</w:t>
      </w:r>
      <w:r w:rsidRPr="00587394">
        <w:rPr>
          <w:i/>
          <w:iCs/>
        </w:rPr>
        <w:t>r</w:t>
      </w:r>
      <w:r w:rsidR="00D44534" w:rsidRPr="00587394">
        <w:rPr>
          <w:i/>
          <w:iCs/>
        </w:rPr>
        <w:t>ed</w:t>
      </w:r>
      <w:r w:rsidR="00D44534" w:rsidRPr="008F4481">
        <w:t>), phalloidin (</w:t>
      </w:r>
      <w:r w:rsidRPr="00587394">
        <w:rPr>
          <w:i/>
          <w:iCs/>
        </w:rPr>
        <w:t>g</w:t>
      </w:r>
      <w:r w:rsidR="00D44534" w:rsidRPr="00587394">
        <w:rPr>
          <w:i/>
          <w:iCs/>
        </w:rPr>
        <w:t>reen</w:t>
      </w:r>
      <w:r w:rsidR="00D44534" w:rsidRPr="008F4481">
        <w:t>) and DAPI (</w:t>
      </w:r>
      <w:r w:rsidRPr="00587394">
        <w:rPr>
          <w:i/>
          <w:iCs/>
        </w:rPr>
        <w:t>b</w:t>
      </w:r>
      <w:r w:rsidR="00D44534" w:rsidRPr="00587394">
        <w:rPr>
          <w:i/>
          <w:iCs/>
        </w:rPr>
        <w:t>lue</w:t>
      </w:r>
      <w:r w:rsidR="00D44534" w:rsidRPr="008F4481">
        <w:t>).</w:t>
      </w:r>
      <w:bookmarkEnd w:id="0"/>
      <w:bookmarkEnd w:id="1"/>
      <w:r w:rsidR="00D44534">
        <w:t xml:space="preserve"> n=3</w:t>
      </w:r>
      <w:r w:rsidR="00D44534" w:rsidRPr="008F4481">
        <w:t xml:space="preserve"> cochlea</w:t>
      </w:r>
      <w:r w:rsidR="00D44534">
        <w:t>e</w:t>
      </w:r>
      <w:r w:rsidR="00D44534" w:rsidRPr="008F4481">
        <w:t xml:space="preserve"> were examined. Scale bar</w:t>
      </w:r>
      <w:r w:rsidR="00D44534">
        <w:t>s</w:t>
      </w:r>
      <w:r w:rsidR="00D44534" w:rsidRPr="008F4481">
        <w:t xml:space="preserve"> = </w:t>
      </w:r>
      <w:r w:rsidR="00D44534" w:rsidRPr="007B64E3">
        <w:rPr>
          <w:rFonts w:ascii="Symbol" w:hAnsi="Symbol"/>
        </w:rPr>
        <w:t></w:t>
      </w:r>
      <w:r w:rsidR="00D44534" w:rsidRPr="007B64E3">
        <w:rPr>
          <w:rFonts w:ascii="Symbol" w:hAnsi="Symbol"/>
        </w:rPr>
        <w:t></w:t>
      </w:r>
      <w:r w:rsidR="001B705C">
        <w:rPr>
          <w:rFonts w:ascii="Symbol" w:hAnsi="Symbol"/>
        </w:rPr>
        <w:t xml:space="preserve"> </w:t>
      </w:r>
      <w:r w:rsidR="00D44534">
        <w:rPr>
          <w:rFonts w:ascii="Symbol" w:hAnsi="Symbol"/>
        </w:rPr>
        <w:t></w:t>
      </w:r>
      <w:r w:rsidR="00D44534">
        <w:rPr>
          <w:rFonts w:cs="Times New Roman"/>
        </w:rPr>
        <w:t>m</w:t>
      </w:r>
      <w:r w:rsidR="00D44534" w:rsidRPr="008F4481">
        <w:t>.</w:t>
      </w:r>
      <w:bookmarkEnd w:id="2"/>
      <w:r w:rsidR="0073331F">
        <w:t xml:space="preserve"> </w:t>
      </w:r>
      <w:r w:rsidR="0073331F">
        <w:rPr>
          <w:lang w:eastAsia="en-NZ"/>
        </w:rPr>
        <w:t>Expression of P2X</w:t>
      </w:r>
      <w:r w:rsidR="0073331F" w:rsidRPr="00E56ACD">
        <w:rPr>
          <w:vertAlign w:val="subscript"/>
          <w:lang w:eastAsia="en-NZ"/>
        </w:rPr>
        <w:t>4</w:t>
      </w:r>
      <w:r w:rsidR="0073331F">
        <w:rPr>
          <w:lang w:eastAsia="en-NZ"/>
        </w:rPr>
        <w:t xml:space="preserve"> in IHC and OHC were observed irrespective of different location within the cochlea. </w:t>
      </w:r>
    </w:p>
    <w:p w14:paraId="28A13A1C" w14:textId="4C3F0F8D" w:rsidR="00196FC1" w:rsidRDefault="00196FC1" w:rsidP="00747D69">
      <w:pPr>
        <w:jc w:val="both"/>
        <w:rPr>
          <w:rFonts w:ascii="Times New Roman" w:hAnsi="Times New Roman"/>
          <w:sz w:val="24"/>
          <w:lang w:val="en-NZ" w:eastAsia="en-NZ"/>
        </w:rPr>
      </w:pPr>
      <w:r>
        <w:rPr>
          <w:lang w:eastAsia="en-NZ"/>
        </w:rPr>
        <w:br w:type="page"/>
      </w:r>
    </w:p>
    <w:p w14:paraId="06CBB287" w14:textId="1772D9E1" w:rsidR="00196FC1" w:rsidRPr="00B821BD" w:rsidRDefault="00196FC1" w:rsidP="00747D69">
      <w:pPr>
        <w:pStyle w:val="NoSpacing"/>
        <w:jc w:val="both"/>
        <w:rPr>
          <w:b/>
          <w:bCs/>
          <w:noProof/>
        </w:rPr>
      </w:pPr>
      <w:r w:rsidRPr="00B821BD">
        <w:rPr>
          <w:b/>
          <w:bCs/>
          <w:noProof/>
        </w:rPr>
        <w:lastRenderedPageBreak/>
        <w:t xml:space="preserve">Supplementary Figure </w:t>
      </w:r>
      <w:r>
        <w:rPr>
          <w:b/>
          <w:bCs/>
          <w:noProof/>
        </w:rPr>
        <w:t>5</w:t>
      </w:r>
      <w:r w:rsidRPr="00B821BD">
        <w:rPr>
          <w:b/>
          <w:bCs/>
          <w:noProof/>
        </w:rPr>
        <w:t xml:space="preserve">. Quantification of P2X4 expression by line profile. </w:t>
      </w:r>
    </w:p>
    <w:p w14:paraId="61C680D6" w14:textId="590A8E01" w:rsidR="00196FC1" w:rsidRPr="00022B99" w:rsidRDefault="00196FC1" w:rsidP="00747D69">
      <w:pPr>
        <w:pStyle w:val="NoSpacing"/>
        <w:jc w:val="both"/>
        <w:rPr>
          <w:noProof/>
          <w:lang w:val="en-AU"/>
        </w:rPr>
      </w:pPr>
      <w:r>
        <w:rPr>
          <w:noProof/>
        </w:rPr>
        <w:drawing>
          <wp:inline distT="0" distB="0" distL="0" distR="0" wp14:anchorId="46F1365C" wp14:editId="2EBF4D53">
            <wp:extent cx="5731510" cy="577405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1510" cy="5774055"/>
                    </a:xfrm>
                    <a:prstGeom prst="rect">
                      <a:avLst/>
                    </a:prstGeom>
                  </pic:spPr>
                </pic:pic>
              </a:graphicData>
            </a:graphic>
          </wp:inline>
        </w:drawing>
      </w:r>
      <w:bookmarkStart w:id="3" w:name="_Ref64723452"/>
      <w:bookmarkStart w:id="4" w:name="_Ref64751561"/>
      <w:bookmarkStart w:id="5" w:name="_Toc67346227"/>
      <w:bookmarkEnd w:id="3"/>
      <w:bookmarkEnd w:id="4"/>
      <w:bookmarkEnd w:id="5"/>
      <w:r w:rsidRPr="00703C67">
        <w:t>P2X</w:t>
      </w:r>
      <w:r w:rsidRPr="00E56ACD">
        <w:rPr>
          <w:vertAlign w:val="subscript"/>
        </w:rPr>
        <w:t>4</w:t>
      </w:r>
      <w:r w:rsidRPr="00703C67">
        <w:t xml:space="preserve"> </w:t>
      </w:r>
      <w:r>
        <w:t>expression within</w:t>
      </w:r>
      <w:r w:rsidRPr="00703C67">
        <w:t xml:space="preserve"> I</w:t>
      </w:r>
      <w:r>
        <w:t>HCs</w:t>
      </w:r>
      <w:r w:rsidRPr="00703C67">
        <w:t xml:space="preserve"> </w:t>
      </w:r>
      <w:r>
        <w:t>quantified as</w:t>
      </w:r>
      <w:r w:rsidRPr="00703C67">
        <w:t xml:space="preserve"> </w:t>
      </w:r>
      <w:r>
        <w:t>relative intensity</w:t>
      </w:r>
      <w:r w:rsidRPr="00703C67">
        <w:t xml:space="preserve">. </w:t>
      </w:r>
      <w:r>
        <w:t>Nine IHCs were selected from 3 adult Wistar rat cochlea with 3 IHCs from each cochlea. (i) A schematic example showing lateral-medial and right-left axes. Three cross-sectional locations were selected for the line plot profile analysis to measure grey-scale signal intensity. (ii) Analysis of apical to basal signal distribution from the P2X</w:t>
      </w:r>
      <w:r w:rsidRPr="00E56ACD">
        <w:rPr>
          <w:vertAlign w:val="subscript"/>
        </w:rPr>
        <w:t>4</w:t>
      </w:r>
      <w:r>
        <w:t xml:space="preserve"> immunolabeling. (iv) Analysis of medial to lateral signal distribution from the P2X</w:t>
      </w:r>
      <w:r w:rsidRPr="00E56ACD">
        <w:rPr>
          <w:vertAlign w:val="subscript"/>
        </w:rPr>
        <w:t>4</w:t>
      </w:r>
      <w:r>
        <w:t xml:space="preserve"> immunolabeling. Axis in the figure are: [A] apical [B] basal [L] lateral (towards lateral wall side) [M] medial (towards modiolus side) [Le] left [R] right.  </w:t>
      </w:r>
      <w:r w:rsidRPr="000356DD">
        <w:t xml:space="preserve">      </w:t>
      </w:r>
    </w:p>
    <w:p w14:paraId="174988BB" w14:textId="64EDBF24" w:rsidR="00196FC1" w:rsidRDefault="00196FC1" w:rsidP="00747D69">
      <w:pPr>
        <w:pStyle w:val="ThesisText"/>
        <w:ind w:firstLineChars="0" w:firstLine="0"/>
      </w:pPr>
      <w:r>
        <w:t xml:space="preserve"> </w:t>
      </w:r>
    </w:p>
    <w:p w14:paraId="7B0F327D" w14:textId="77777777" w:rsidR="00196FC1" w:rsidRDefault="00196FC1" w:rsidP="00747D69">
      <w:pPr>
        <w:jc w:val="both"/>
        <w:rPr>
          <w:lang w:val="en-NZ"/>
        </w:rPr>
      </w:pPr>
      <w:r>
        <w:rPr>
          <w:lang w:val="en-NZ"/>
        </w:rPr>
        <w:br w:type="page"/>
      </w:r>
    </w:p>
    <w:p w14:paraId="1110ED55" w14:textId="7AC7BD8B" w:rsidR="00196FC1" w:rsidRPr="00F10A54" w:rsidRDefault="00196FC1" w:rsidP="00747D69">
      <w:pPr>
        <w:pStyle w:val="NoSpacing"/>
        <w:jc w:val="both"/>
        <w:rPr>
          <w:b/>
          <w:bCs/>
        </w:rPr>
      </w:pPr>
      <w:r w:rsidRPr="00F10A54">
        <w:rPr>
          <w:b/>
          <w:bCs/>
        </w:rPr>
        <w:lastRenderedPageBreak/>
        <w:t xml:space="preserve">Supplementary Figure </w:t>
      </w:r>
      <w:r>
        <w:rPr>
          <w:b/>
          <w:bCs/>
        </w:rPr>
        <w:t>6</w:t>
      </w:r>
      <w:r w:rsidRPr="00F10A54">
        <w:rPr>
          <w:b/>
          <w:bCs/>
        </w:rPr>
        <w:t xml:space="preserve">. </w:t>
      </w:r>
      <w:r>
        <w:rPr>
          <w:b/>
          <w:bCs/>
        </w:rPr>
        <w:t xml:space="preserve">Line profiling for OHC. </w:t>
      </w:r>
    </w:p>
    <w:p w14:paraId="2B8C7856" w14:textId="5333A797" w:rsidR="00196FC1" w:rsidRPr="0003053A" w:rsidRDefault="00196FC1" w:rsidP="00747D69">
      <w:pPr>
        <w:pStyle w:val="NoSpacing"/>
        <w:jc w:val="both"/>
      </w:pPr>
      <w:r>
        <w:object w:dxaOrig="17551" w:dyaOrig="18257" w14:anchorId="1CB27F55">
          <v:shape id="_x0000_i1025" type="#_x0000_t75" style="width:450.75pt;height:469.5pt" o:ole="">
            <v:imagedata r:id="rId13" o:title=""/>
          </v:shape>
          <o:OLEObject Type="Embed" ProgID="Unknown" ShapeID="_x0000_i1025" DrawAspect="Content" ObjectID="_1778140655" r:id="rId14"/>
        </w:object>
      </w:r>
      <w:bookmarkStart w:id="6" w:name="_Ref64725575"/>
      <w:bookmarkStart w:id="7" w:name="_Toc67346229"/>
      <w:bookmarkEnd w:id="6"/>
      <w:bookmarkEnd w:id="7"/>
      <w:r w:rsidRPr="00703C67">
        <w:t>P2X</w:t>
      </w:r>
      <w:r w:rsidRPr="00E56ACD">
        <w:rPr>
          <w:vertAlign w:val="subscript"/>
        </w:rPr>
        <w:t>4</w:t>
      </w:r>
      <w:r w:rsidRPr="00703C67">
        <w:t xml:space="preserve"> </w:t>
      </w:r>
      <w:r>
        <w:t>expression within</w:t>
      </w:r>
      <w:r w:rsidRPr="00703C67">
        <w:t xml:space="preserve"> </w:t>
      </w:r>
      <w:r>
        <w:t>OHCs</w:t>
      </w:r>
      <w:r w:rsidRPr="00703C67">
        <w:t xml:space="preserve"> </w:t>
      </w:r>
      <w:r>
        <w:t>quantified as</w:t>
      </w:r>
      <w:r w:rsidRPr="00703C67">
        <w:t xml:space="preserve"> </w:t>
      </w:r>
      <w:r>
        <w:t>relative intensity</w:t>
      </w:r>
      <w:r w:rsidRPr="00703C67">
        <w:t xml:space="preserve">. </w:t>
      </w:r>
      <w:r>
        <w:t>Nine OHCs were selected from 3 adult Wistar rat cochlea with 3 OHCs from each cochlea. (i) A schematic example showing lateral-medial and right-left axes. Three cross-sectional locations were selected for the line plot profile analysis to measure grey-scale signal intensity. (ii) Analysis of apical to basal signal distribution from the P2X</w:t>
      </w:r>
      <w:r w:rsidRPr="00E56ACD">
        <w:rPr>
          <w:vertAlign w:val="subscript"/>
        </w:rPr>
        <w:t>4</w:t>
      </w:r>
      <w:r>
        <w:t xml:space="preserve"> immunolabeling. (iv) Analysis of medial to lateral signal distribution from the P2X</w:t>
      </w:r>
      <w:r w:rsidRPr="00E56ACD">
        <w:rPr>
          <w:vertAlign w:val="subscript"/>
        </w:rPr>
        <w:t>4</w:t>
      </w:r>
      <w:r>
        <w:t xml:space="preserve"> immunolabeling</w:t>
      </w:r>
      <w:r w:rsidR="00E74DD0">
        <w:t xml:space="preserve">. </w:t>
      </w:r>
      <w:r>
        <w:t xml:space="preserve"> Ax</w:t>
      </w:r>
      <w:r w:rsidR="00AF3B44">
        <w:t>e</w:t>
      </w:r>
      <w:r>
        <w:t xml:space="preserve">s in the figure are: [A] apical [B] basal [L] lateral (towards lateral wall side) [M] medial (towards modiolus side) [Le] left [R] right.   </w:t>
      </w:r>
    </w:p>
    <w:p w14:paraId="3D952433" w14:textId="77777777" w:rsidR="001F794D" w:rsidRDefault="001F794D" w:rsidP="00747D69">
      <w:pPr>
        <w:pStyle w:val="NoSpacing"/>
        <w:jc w:val="both"/>
        <w:rPr>
          <w:lang w:eastAsia="en-NZ"/>
        </w:rPr>
      </w:pPr>
    </w:p>
    <w:p w14:paraId="4E0D9066" w14:textId="77777777" w:rsidR="001F794D" w:rsidRDefault="001F794D" w:rsidP="00747D69">
      <w:pPr>
        <w:pStyle w:val="NoSpacing"/>
        <w:jc w:val="both"/>
        <w:rPr>
          <w:lang w:eastAsia="en-NZ"/>
        </w:rPr>
      </w:pPr>
    </w:p>
    <w:p w14:paraId="286FFE57" w14:textId="77777777" w:rsidR="00D258C4" w:rsidRDefault="00D258C4" w:rsidP="001F1507">
      <w:pPr>
        <w:pStyle w:val="EndNoteBibliography"/>
        <w:spacing w:after="0"/>
        <w:ind w:left="720" w:hanging="720"/>
        <w:rPr>
          <w:lang w:eastAsia="en-NZ"/>
        </w:rPr>
      </w:pPr>
    </w:p>
    <w:p w14:paraId="3983E4EB" w14:textId="668EF001" w:rsidR="00D258C4" w:rsidRPr="00D258C4" w:rsidRDefault="00D258C4" w:rsidP="001F1507">
      <w:pPr>
        <w:pStyle w:val="EndNoteBibliography"/>
        <w:spacing w:after="0"/>
        <w:ind w:left="720" w:hanging="720"/>
        <w:rPr>
          <w:b/>
          <w:bCs/>
          <w:lang w:eastAsia="en-NZ"/>
        </w:rPr>
      </w:pPr>
      <w:r w:rsidRPr="00D258C4">
        <w:rPr>
          <w:b/>
          <w:bCs/>
          <w:lang w:eastAsia="en-NZ"/>
        </w:rPr>
        <w:lastRenderedPageBreak/>
        <w:t xml:space="preserve">References: </w:t>
      </w:r>
    </w:p>
    <w:p w14:paraId="7AC2065A" w14:textId="77777777" w:rsidR="00D258C4" w:rsidRDefault="00D258C4" w:rsidP="001F1507">
      <w:pPr>
        <w:pStyle w:val="EndNoteBibliography"/>
        <w:spacing w:after="0"/>
        <w:ind w:left="720" w:hanging="720"/>
        <w:rPr>
          <w:lang w:eastAsia="en-NZ"/>
        </w:rPr>
      </w:pPr>
    </w:p>
    <w:p w14:paraId="3E5A1044" w14:textId="6B7D1B0E" w:rsidR="001F1507" w:rsidRPr="001F1507" w:rsidRDefault="001F794D" w:rsidP="001F1507">
      <w:pPr>
        <w:pStyle w:val="EndNoteBibliography"/>
        <w:spacing w:after="0"/>
        <w:ind w:left="720" w:hanging="720"/>
      </w:pPr>
      <w:r>
        <w:rPr>
          <w:lang w:eastAsia="en-NZ"/>
        </w:rPr>
        <w:fldChar w:fldCharType="begin"/>
      </w:r>
      <w:r>
        <w:rPr>
          <w:lang w:eastAsia="en-NZ"/>
        </w:rPr>
        <w:instrText xml:space="preserve"> ADDIN EN.REFLIST </w:instrText>
      </w:r>
      <w:r>
        <w:rPr>
          <w:lang w:eastAsia="en-NZ"/>
        </w:rPr>
        <w:fldChar w:fldCharType="separate"/>
      </w:r>
      <w:r w:rsidR="001F1507" w:rsidRPr="001F1507">
        <w:t xml:space="preserve">Bolte, S., &amp; Cordelières, F. P. (2006). A guided tour into subcellular colocalization analysis in light microscopy. </w:t>
      </w:r>
      <w:r w:rsidR="001F1507" w:rsidRPr="001F1507">
        <w:rPr>
          <w:i/>
        </w:rPr>
        <w:t>Journal of microscopy, 224</w:t>
      </w:r>
      <w:r w:rsidR="001F1507" w:rsidRPr="001F1507">
        <w:t xml:space="preserve">(3), 213-232. </w:t>
      </w:r>
    </w:p>
    <w:p w14:paraId="7CDCE3A0" w14:textId="77777777" w:rsidR="001F1507" w:rsidRPr="001F1507" w:rsidRDefault="001F1507" w:rsidP="001F1507">
      <w:pPr>
        <w:pStyle w:val="EndNoteBibliography"/>
        <w:ind w:left="720" w:hanging="720"/>
      </w:pPr>
      <w:r w:rsidRPr="001F1507">
        <w:t xml:space="preserve">Dunn, K. W., Kamocka, M. M., &amp; McDonald, J. H. (2011). A practical guide to evaluating colocalization in biological microscopy. </w:t>
      </w:r>
      <w:r w:rsidRPr="001F1507">
        <w:rPr>
          <w:i/>
        </w:rPr>
        <w:t>American Journal of Physiology-Cell Physiology, 300</w:t>
      </w:r>
      <w:r w:rsidRPr="001F1507">
        <w:t xml:space="preserve">(4), C723-C742. </w:t>
      </w:r>
    </w:p>
    <w:p w14:paraId="2A4463B9" w14:textId="3ECDEBD3" w:rsidR="00196FC1" w:rsidRPr="002800FD" w:rsidRDefault="001F794D" w:rsidP="00747D69">
      <w:pPr>
        <w:pStyle w:val="NoSpacing"/>
        <w:jc w:val="both"/>
        <w:rPr>
          <w:lang w:eastAsia="en-NZ"/>
        </w:rPr>
      </w:pPr>
      <w:r>
        <w:rPr>
          <w:lang w:eastAsia="en-NZ"/>
        </w:rPr>
        <w:fldChar w:fldCharType="end"/>
      </w:r>
    </w:p>
    <w:sectPr w:rsidR="00196FC1" w:rsidRPr="002800F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A183F95"/>
    <w:multiLevelType w:val="multilevel"/>
    <w:tmpl w:val="DEA88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261203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APA 6th&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wswz5xpu2zvzfexvvwprwew92td2p2pxr0a&quot;&gt;My EndNote Library 2023_p2x-DESKTOP-JI7QPE6&lt;record-ids&gt;&lt;item&gt;8602&lt;/item&gt;&lt;item&gt;8612&lt;/item&gt;&lt;/record-ids&gt;&lt;/item&gt;&lt;/Libraries&gt;"/>
  </w:docVars>
  <w:rsids>
    <w:rsidRoot w:val="000154AD"/>
    <w:rsid w:val="000154AD"/>
    <w:rsid w:val="00022B99"/>
    <w:rsid w:val="0003053A"/>
    <w:rsid w:val="000311D1"/>
    <w:rsid w:val="0005423F"/>
    <w:rsid w:val="00055A07"/>
    <w:rsid w:val="00056596"/>
    <w:rsid w:val="000D0EDC"/>
    <w:rsid w:val="000E3C10"/>
    <w:rsid w:val="0014693D"/>
    <w:rsid w:val="00152F61"/>
    <w:rsid w:val="001548F9"/>
    <w:rsid w:val="001555FB"/>
    <w:rsid w:val="00186F72"/>
    <w:rsid w:val="00196FC1"/>
    <w:rsid w:val="001B705C"/>
    <w:rsid w:val="001E5DD6"/>
    <w:rsid w:val="001E733B"/>
    <w:rsid w:val="001F1507"/>
    <w:rsid w:val="001F794D"/>
    <w:rsid w:val="00200BFB"/>
    <w:rsid w:val="002345C4"/>
    <w:rsid w:val="002621A4"/>
    <w:rsid w:val="00274B1C"/>
    <w:rsid w:val="002800FD"/>
    <w:rsid w:val="00282B71"/>
    <w:rsid w:val="002E234F"/>
    <w:rsid w:val="002F2445"/>
    <w:rsid w:val="0030084F"/>
    <w:rsid w:val="00340E57"/>
    <w:rsid w:val="0035263C"/>
    <w:rsid w:val="00362E14"/>
    <w:rsid w:val="003C065F"/>
    <w:rsid w:val="003E2D66"/>
    <w:rsid w:val="00421B0F"/>
    <w:rsid w:val="0043169F"/>
    <w:rsid w:val="00494C83"/>
    <w:rsid w:val="004B09FA"/>
    <w:rsid w:val="00573F68"/>
    <w:rsid w:val="0058294C"/>
    <w:rsid w:val="00587394"/>
    <w:rsid w:val="005B5322"/>
    <w:rsid w:val="005D0C41"/>
    <w:rsid w:val="005E028E"/>
    <w:rsid w:val="0063522D"/>
    <w:rsid w:val="006F4569"/>
    <w:rsid w:val="0071062F"/>
    <w:rsid w:val="0073331F"/>
    <w:rsid w:val="00747D69"/>
    <w:rsid w:val="00757AC0"/>
    <w:rsid w:val="0078005C"/>
    <w:rsid w:val="007B5A1C"/>
    <w:rsid w:val="007C241A"/>
    <w:rsid w:val="007D1B77"/>
    <w:rsid w:val="00850868"/>
    <w:rsid w:val="00855B18"/>
    <w:rsid w:val="008B2657"/>
    <w:rsid w:val="008B3D5C"/>
    <w:rsid w:val="008E7601"/>
    <w:rsid w:val="009270EE"/>
    <w:rsid w:val="0093696B"/>
    <w:rsid w:val="009B69D7"/>
    <w:rsid w:val="009C2413"/>
    <w:rsid w:val="00A7647C"/>
    <w:rsid w:val="00AE14E5"/>
    <w:rsid w:val="00AF3B44"/>
    <w:rsid w:val="00AF6CB5"/>
    <w:rsid w:val="00B33EE7"/>
    <w:rsid w:val="00B37D3B"/>
    <w:rsid w:val="00B5517B"/>
    <w:rsid w:val="00B819B7"/>
    <w:rsid w:val="00B821BD"/>
    <w:rsid w:val="00BE6C7B"/>
    <w:rsid w:val="00C861A8"/>
    <w:rsid w:val="00D151F4"/>
    <w:rsid w:val="00D258C4"/>
    <w:rsid w:val="00D44534"/>
    <w:rsid w:val="00D5390A"/>
    <w:rsid w:val="00D820CA"/>
    <w:rsid w:val="00DA1B51"/>
    <w:rsid w:val="00E50E60"/>
    <w:rsid w:val="00E53B3B"/>
    <w:rsid w:val="00E53E74"/>
    <w:rsid w:val="00E56ACD"/>
    <w:rsid w:val="00E71EDC"/>
    <w:rsid w:val="00E74DD0"/>
    <w:rsid w:val="00E91EFC"/>
    <w:rsid w:val="00EE4E7D"/>
    <w:rsid w:val="00EF52FE"/>
    <w:rsid w:val="00F10A54"/>
    <w:rsid w:val="00F37F79"/>
    <w:rsid w:val="00F8393B"/>
    <w:rsid w:val="00FC313C"/>
    <w:rsid w:val="00FC6200"/>
    <w:rsid w:val="00FD266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4E0F5"/>
  <w15:chartTrackingRefBased/>
  <w15:docId w15:val="{B444DE11-0D67-4ECD-BA72-C6BA43D29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3522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850868"/>
    <w:pPr>
      <w:spacing w:after="200" w:line="240" w:lineRule="auto"/>
    </w:pPr>
    <w:rPr>
      <w:rFonts w:ascii="Verdana" w:hAnsi="Verdana"/>
      <w:i/>
      <w:iCs/>
      <w:color w:val="44546A" w:themeColor="text2"/>
      <w:sz w:val="18"/>
      <w:szCs w:val="18"/>
      <w:lang w:val="en-NZ"/>
    </w:rPr>
  </w:style>
  <w:style w:type="paragraph" w:customStyle="1" w:styleId="ThesisText">
    <w:name w:val="Thesis Text"/>
    <w:basedOn w:val="Normal"/>
    <w:rsid w:val="00850868"/>
    <w:pPr>
      <w:spacing w:after="0" w:line="480" w:lineRule="auto"/>
      <w:ind w:firstLineChars="200" w:firstLine="200"/>
      <w:jc w:val="both"/>
    </w:pPr>
    <w:rPr>
      <w:rFonts w:ascii="Times New Roman" w:eastAsia="Times New Roman" w:hAnsi="Times New Roman" w:cs="Times New Roman"/>
      <w:sz w:val="24"/>
      <w:szCs w:val="24"/>
      <w:lang w:val="en-NZ" w:eastAsia="zh-CN"/>
    </w:rPr>
  </w:style>
  <w:style w:type="paragraph" w:styleId="NoSpacing">
    <w:name w:val="No Spacing"/>
    <w:link w:val="NoSpacingChar"/>
    <w:uiPriority w:val="1"/>
    <w:qFormat/>
    <w:rsid w:val="008B3D5C"/>
    <w:pPr>
      <w:spacing w:after="0" w:line="360" w:lineRule="auto"/>
    </w:pPr>
    <w:rPr>
      <w:rFonts w:ascii="Times New Roman" w:hAnsi="Times New Roman"/>
      <w:sz w:val="24"/>
      <w:lang w:val="en-NZ"/>
    </w:rPr>
  </w:style>
  <w:style w:type="character" w:styleId="CommentReference">
    <w:name w:val="annotation reference"/>
    <w:basedOn w:val="DefaultParagraphFont"/>
    <w:uiPriority w:val="99"/>
    <w:semiHidden/>
    <w:unhideWhenUsed/>
    <w:rsid w:val="0063522D"/>
    <w:rPr>
      <w:sz w:val="16"/>
      <w:szCs w:val="16"/>
    </w:rPr>
  </w:style>
  <w:style w:type="paragraph" w:styleId="CommentText">
    <w:name w:val="annotation text"/>
    <w:basedOn w:val="Normal"/>
    <w:link w:val="CommentTextChar"/>
    <w:uiPriority w:val="99"/>
    <w:unhideWhenUsed/>
    <w:rsid w:val="0063522D"/>
    <w:pPr>
      <w:spacing w:line="240" w:lineRule="auto"/>
    </w:pPr>
    <w:rPr>
      <w:sz w:val="20"/>
      <w:szCs w:val="20"/>
    </w:rPr>
  </w:style>
  <w:style w:type="character" w:customStyle="1" w:styleId="CommentTextChar">
    <w:name w:val="Comment Text Char"/>
    <w:basedOn w:val="DefaultParagraphFont"/>
    <w:link w:val="CommentText"/>
    <w:uiPriority w:val="99"/>
    <w:rsid w:val="0063522D"/>
    <w:rPr>
      <w:sz w:val="20"/>
      <w:szCs w:val="20"/>
    </w:rPr>
  </w:style>
  <w:style w:type="paragraph" w:styleId="CommentSubject">
    <w:name w:val="annotation subject"/>
    <w:basedOn w:val="CommentText"/>
    <w:next w:val="CommentText"/>
    <w:link w:val="CommentSubjectChar"/>
    <w:uiPriority w:val="99"/>
    <w:semiHidden/>
    <w:unhideWhenUsed/>
    <w:rsid w:val="0063522D"/>
    <w:rPr>
      <w:b/>
      <w:bCs/>
    </w:rPr>
  </w:style>
  <w:style w:type="character" w:customStyle="1" w:styleId="CommentSubjectChar">
    <w:name w:val="Comment Subject Char"/>
    <w:basedOn w:val="CommentTextChar"/>
    <w:link w:val="CommentSubject"/>
    <w:uiPriority w:val="99"/>
    <w:semiHidden/>
    <w:rsid w:val="0063522D"/>
    <w:rPr>
      <w:b/>
      <w:bCs/>
      <w:sz w:val="20"/>
      <w:szCs w:val="20"/>
    </w:rPr>
  </w:style>
  <w:style w:type="character" w:customStyle="1" w:styleId="Heading1Char">
    <w:name w:val="Heading 1 Char"/>
    <w:basedOn w:val="DefaultParagraphFont"/>
    <w:link w:val="Heading1"/>
    <w:uiPriority w:val="9"/>
    <w:rsid w:val="0063522D"/>
    <w:rPr>
      <w:rFonts w:asciiTheme="majorHAnsi" w:eastAsiaTheme="majorEastAsia" w:hAnsiTheme="majorHAnsi" w:cstheme="majorBidi"/>
      <w:color w:val="2F5496" w:themeColor="accent1" w:themeShade="BF"/>
      <w:sz w:val="32"/>
      <w:szCs w:val="32"/>
    </w:rPr>
  </w:style>
  <w:style w:type="paragraph" w:customStyle="1" w:styleId="EndNoteBibliographyTitle">
    <w:name w:val="EndNote Bibliography Title"/>
    <w:basedOn w:val="Normal"/>
    <w:link w:val="EndNoteBibliographyTitleChar"/>
    <w:rsid w:val="001F794D"/>
    <w:pPr>
      <w:spacing w:after="0"/>
      <w:jc w:val="center"/>
    </w:pPr>
    <w:rPr>
      <w:rFonts w:ascii="Times New Roman" w:hAnsi="Times New Roman" w:cs="Times New Roman"/>
      <w:noProof/>
      <w:sz w:val="24"/>
    </w:rPr>
  </w:style>
  <w:style w:type="character" w:customStyle="1" w:styleId="NoSpacingChar">
    <w:name w:val="No Spacing Char"/>
    <w:basedOn w:val="DefaultParagraphFont"/>
    <w:link w:val="NoSpacing"/>
    <w:uiPriority w:val="1"/>
    <w:rsid w:val="001F794D"/>
    <w:rPr>
      <w:rFonts w:ascii="Times New Roman" w:hAnsi="Times New Roman"/>
      <w:sz w:val="24"/>
      <w:lang w:val="en-NZ"/>
    </w:rPr>
  </w:style>
  <w:style w:type="character" w:customStyle="1" w:styleId="EndNoteBibliographyTitleChar">
    <w:name w:val="EndNote Bibliography Title Char"/>
    <w:basedOn w:val="NoSpacingChar"/>
    <w:link w:val="EndNoteBibliographyTitle"/>
    <w:rsid w:val="001F794D"/>
    <w:rPr>
      <w:rFonts w:ascii="Times New Roman" w:hAnsi="Times New Roman" w:cs="Times New Roman"/>
      <w:noProof/>
      <w:sz w:val="24"/>
      <w:lang w:val="en-NZ"/>
    </w:rPr>
  </w:style>
  <w:style w:type="paragraph" w:customStyle="1" w:styleId="EndNoteBibliography">
    <w:name w:val="EndNote Bibliography"/>
    <w:basedOn w:val="Normal"/>
    <w:link w:val="EndNoteBibliographyChar"/>
    <w:rsid w:val="001F794D"/>
    <w:pPr>
      <w:spacing w:line="240" w:lineRule="auto"/>
      <w:jc w:val="both"/>
    </w:pPr>
    <w:rPr>
      <w:rFonts w:ascii="Times New Roman" w:hAnsi="Times New Roman" w:cs="Times New Roman"/>
      <w:noProof/>
      <w:sz w:val="24"/>
    </w:rPr>
  </w:style>
  <w:style w:type="character" w:customStyle="1" w:styleId="EndNoteBibliographyChar">
    <w:name w:val="EndNote Bibliography Char"/>
    <w:basedOn w:val="NoSpacingChar"/>
    <w:link w:val="EndNoteBibliography"/>
    <w:rsid w:val="001F794D"/>
    <w:rPr>
      <w:rFonts w:ascii="Times New Roman" w:hAnsi="Times New Roman" w:cs="Times New Roman"/>
      <w:noProof/>
      <w:sz w:val="24"/>
      <w:lang w:val="en-NZ"/>
    </w:rPr>
  </w:style>
  <w:style w:type="paragraph" w:styleId="Revision">
    <w:name w:val="Revision"/>
    <w:hidden/>
    <w:uiPriority w:val="99"/>
    <w:semiHidden/>
    <w:rsid w:val="00AF3B4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2032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ink/ink1.xml"/><Relationship Id="rId13" Type="http://schemas.openxmlformats.org/officeDocument/2006/relationships/image" Target="media/image7.emf"/><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oleObject" Target="embeddings/oleObject1.bin"/></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02T21:27:10.928"/>
    </inkml:context>
    <inkml:brush xml:id="br0">
      <inkml:brushProperty name="width" value="0.05" units="cm"/>
      <inkml:brushProperty name="height" value="0.05" units="cm"/>
      <inkml:brushProperty name="color" value="#FFFFFF"/>
    </inkml:brush>
  </inkml:definitions>
  <inkml:trace contextRef="#ctx0" brushRef="#br0">277 1 24575,'-30'53'0,"7"-26"0,-23 50 0,15-44 0,-1 5 0,8-11 0,4-6 0,6 0 0,2-8 0,-2 8 0,7-11 0,-2 3 0,6-5 0,-1 1 0,-1 0 0,5-1 0,-3-5 0,3 0 0</inkml:trace>
  <inkml:trace contextRef="#ctx0" brushRef="#br0" timeOffset="991">295 41 24575,'8'5'0,"3"6"0,-2 2 0,1 3 0,2 9 0,-7-13 0,7 25 0,-8-27 0,6 27 0,-3-20 0,-2 8 0,5-4 0,-5-4 0,2 1 0,0 3 0,-4-9 0,4 9 0,-1-11 0,-2 6 0,1-7 0,-1 7 0,2-4 0,0 2 0,-3-6 0,3 1 0,-3-3 0,0 5 0,2-2 0,-4 0 0,1-3 0,-2-4 0</inkml:trace>
  <inkml:trace contextRef="#ctx0" brushRef="#br0" timeOffset="1815">203 315 24575,'13'-3'0,"-3"0"0,6-4 0,-7 4 0,-1 1 0,-2 2 0,0 0 0,-1 0 0,1 0 0,0 0 0,0 0 0,-1 0 0,1 0 0,0 0 0,0 0 0,-1 0 0,-1 0 0,-2 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118AC8-4FD4-452E-80A7-CDF8CF0190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11</Pages>
  <Words>1627</Words>
  <Characters>9279</Characters>
  <Application>Microsoft Office Word</Application>
  <DocSecurity>0</DocSecurity>
  <Lines>77</Lines>
  <Paragraphs>21</Paragraphs>
  <ScaleCrop>false</ScaleCrop>
  <Company/>
  <LinksUpToDate>false</LinksUpToDate>
  <CharactersWithSpaces>10885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haruna suzuki</dc:creator>
  <cp:keywords/>
  <dc:description/>
  <cp:lastModifiedBy>Haruna Suzuki-Kerr</cp:lastModifiedBy>
  <cp:revision>7</cp:revision>
  <dcterms:created xsi:type="dcterms:W3CDTF">2024-05-24T23:01:00Z</dcterms:created>
  <dcterms:modified xsi:type="dcterms:W3CDTF">2024-05-24T23:11:00Z</dcterms:modified>
</cp:coreProperties>
</file>