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1ED686" w14:textId="77777777" w:rsidR="00AA1264" w:rsidRDefault="00AA1264" w:rsidP="00AA1264">
      <w:pPr>
        <w:pStyle w:val="Title"/>
        <w:spacing w:line="480" w:lineRule="auto"/>
      </w:pPr>
      <w:r>
        <w:rPr>
          <w:rFonts w:ascii="Arial" w:eastAsia="Arial" w:hAnsi="Arial" w:cs="Arial"/>
          <w:sz w:val="26"/>
          <w:szCs w:val="26"/>
        </w:rPr>
        <w:t>Supplementary Information</w:t>
      </w:r>
    </w:p>
    <w:p w14:paraId="6C18B9B4"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S1. General characteristics of the study participants</w:t>
      </w:r>
    </w:p>
    <w:p w14:paraId="0B99253B"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Clinical variables from patients of the two groups, Placebo and FMT. Abbreviations: IDU, injection drug use; MSM, men who have sex with men; HTX, heterosexual. All patients HCV positive had undetectable HCV RNA levels.</w:t>
      </w:r>
    </w:p>
    <w:p w14:paraId="0D35FF36"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S2. Comparison of Protein-Specific Effects Over Time in FMT and Placebo Groups Using Generalized Additive Models (GAMs)</w:t>
      </w:r>
    </w:p>
    <w:p w14:paraId="6B8C65A0"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The following information is provided in columns:</w:t>
      </w:r>
    </w:p>
    <w:p w14:paraId="04238F02"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b/>
          <w:sz w:val="22"/>
          <w:szCs w:val="22"/>
        </w:rPr>
        <w:t>Significance:</w:t>
      </w:r>
      <w:r>
        <w:rPr>
          <w:rFonts w:ascii="Arial" w:eastAsia="Arial" w:hAnsi="Arial" w:cs="Arial"/>
          <w:sz w:val="22"/>
          <w:szCs w:val="22"/>
        </w:rPr>
        <w:t xml:space="preserve"> Indicates whether the protein was identified as significantly differentially expressed (Yes) or not (No).</w:t>
      </w:r>
    </w:p>
    <w:p w14:paraId="6331F825"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b/>
          <w:sz w:val="22"/>
          <w:szCs w:val="22"/>
        </w:rPr>
        <w:t>Protein:</w:t>
      </w:r>
      <w:r>
        <w:rPr>
          <w:rFonts w:ascii="Arial" w:eastAsia="Arial" w:hAnsi="Arial" w:cs="Arial"/>
          <w:sz w:val="22"/>
          <w:szCs w:val="22"/>
        </w:rPr>
        <w:t xml:space="preserve"> the names of the proteins analyzed.</w:t>
      </w:r>
    </w:p>
    <w:p w14:paraId="0F099B08"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b/>
          <w:sz w:val="22"/>
          <w:szCs w:val="22"/>
        </w:rPr>
        <w:t>Parametric Coefficients:</w:t>
      </w:r>
      <w:r>
        <w:rPr>
          <w:rFonts w:ascii="Arial" w:eastAsia="Arial" w:hAnsi="Arial" w:cs="Arial"/>
          <w:sz w:val="22"/>
          <w:szCs w:val="22"/>
        </w:rPr>
        <w:t xml:space="preserve"> evaluates the effect size for each variable</w:t>
      </w:r>
    </w:p>
    <w:p w14:paraId="7E8D317B" w14:textId="77777777" w:rsidR="00AA1264" w:rsidRDefault="00AA1264" w:rsidP="00AA1264">
      <w:pPr>
        <w:spacing w:line="480" w:lineRule="auto"/>
        <w:jc w:val="both"/>
        <w:rPr>
          <w:rFonts w:ascii="Arial" w:eastAsia="Arial" w:hAnsi="Arial" w:cs="Arial"/>
          <w:b/>
          <w:sz w:val="22"/>
          <w:szCs w:val="22"/>
        </w:rPr>
      </w:pPr>
      <w:r>
        <w:rPr>
          <w:rFonts w:ascii="Arial" w:eastAsia="Arial" w:hAnsi="Arial" w:cs="Arial"/>
          <w:sz w:val="22"/>
          <w:szCs w:val="22"/>
        </w:rPr>
        <w:tab/>
      </w:r>
      <w:r>
        <w:rPr>
          <w:rFonts w:ascii="Arial" w:eastAsia="Arial" w:hAnsi="Arial" w:cs="Arial"/>
          <w:b/>
          <w:sz w:val="22"/>
          <w:szCs w:val="22"/>
        </w:rPr>
        <w:t>Intercept:</w:t>
      </w:r>
    </w:p>
    <w:p w14:paraId="09B04901"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 xml:space="preserve">    </w:t>
      </w:r>
      <w:r>
        <w:rPr>
          <w:rFonts w:ascii="Arial" w:eastAsia="Arial" w:hAnsi="Arial" w:cs="Arial"/>
          <w:sz w:val="22"/>
          <w:szCs w:val="22"/>
        </w:rPr>
        <w:tab/>
      </w:r>
      <w:r>
        <w:rPr>
          <w:rFonts w:ascii="Arial" w:eastAsia="Arial" w:hAnsi="Arial" w:cs="Arial"/>
          <w:i/>
          <w:sz w:val="22"/>
          <w:szCs w:val="22"/>
        </w:rPr>
        <w:t>Estimate:</w:t>
      </w:r>
      <w:r>
        <w:rPr>
          <w:rFonts w:ascii="Arial" w:eastAsia="Arial" w:hAnsi="Arial" w:cs="Arial"/>
          <w:sz w:val="22"/>
          <w:szCs w:val="22"/>
        </w:rPr>
        <w:t xml:space="preserve"> The estimated value of the intercept.</w:t>
      </w:r>
    </w:p>
    <w:p w14:paraId="4AED4EA7"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 xml:space="preserve">    </w:t>
      </w:r>
      <w:r>
        <w:rPr>
          <w:rFonts w:ascii="Arial" w:eastAsia="Arial" w:hAnsi="Arial" w:cs="Arial"/>
          <w:sz w:val="22"/>
          <w:szCs w:val="22"/>
        </w:rPr>
        <w:tab/>
      </w:r>
      <w:r>
        <w:rPr>
          <w:rFonts w:ascii="Arial" w:eastAsia="Arial" w:hAnsi="Arial" w:cs="Arial"/>
          <w:i/>
          <w:sz w:val="22"/>
          <w:szCs w:val="22"/>
        </w:rPr>
        <w:t>Std. Error:</w:t>
      </w:r>
      <w:r>
        <w:rPr>
          <w:rFonts w:ascii="Arial" w:eastAsia="Arial" w:hAnsi="Arial" w:cs="Arial"/>
          <w:sz w:val="22"/>
          <w:szCs w:val="22"/>
        </w:rPr>
        <w:t xml:space="preserve"> Standard error of the intercept estimate.</w:t>
      </w:r>
    </w:p>
    <w:p w14:paraId="0CEF4BB7"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 xml:space="preserve">    </w:t>
      </w:r>
      <w:r>
        <w:rPr>
          <w:rFonts w:ascii="Arial" w:eastAsia="Arial" w:hAnsi="Arial" w:cs="Arial"/>
          <w:sz w:val="22"/>
          <w:szCs w:val="22"/>
        </w:rPr>
        <w:tab/>
      </w:r>
      <w:r>
        <w:rPr>
          <w:rFonts w:ascii="Arial" w:eastAsia="Arial" w:hAnsi="Arial" w:cs="Arial"/>
          <w:i/>
          <w:sz w:val="22"/>
          <w:szCs w:val="22"/>
        </w:rPr>
        <w:t>t value</w:t>
      </w:r>
      <w:r>
        <w:rPr>
          <w:rFonts w:ascii="Arial" w:eastAsia="Arial" w:hAnsi="Arial" w:cs="Arial"/>
          <w:sz w:val="22"/>
          <w:szCs w:val="22"/>
        </w:rPr>
        <w:t>: t-statistic for the intercept.</w:t>
      </w:r>
    </w:p>
    <w:p w14:paraId="5338664C"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 xml:space="preserve">    </w:t>
      </w:r>
      <w:r>
        <w:rPr>
          <w:rFonts w:ascii="Arial" w:eastAsia="Arial" w:hAnsi="Arial" w:cs="Arial"/>
          <w:i/>
          <w:sz w:val="22"/>
          <w:szCs w:val="22"/>
        </w:rPr>
        <w:tab/>
        <w:t>Pr(&gt;|t|):</w:t>
      </w:r>
      <w:r>
        <w:rPr>
          <w:rFonts w:ascii="Arial" w:eastAsia="Arial" w:hAnsi="Arial" w:cs="Arial"/>
          <w:sz w:val="22"/>
          <w:szCs w:val="22"/>
        </w:rPr>
        <w:t xml:space="preserve"> p-value for the intercept, indicating its significance.</w:t>
      </w:r>
    </w:p>
    <w:p w14:paraId="35B96201" w14:textId="77777777" w:rsidR="00AA1264" w:rsidRDefault="00AA1264" w:rsidP="00AA1264">
      <w:pPr>
        <w:spacing w:line="480" w:lineRule="auto"/>
        <w:jc w:val="both"/>
        <w:rPr>
          <w:rFonts w:ascii="Arial" w:eastAsia="Arial" w:hAnsi="Arial" w:cs="Arial"/>
          <w:b/>
          <w:sz w:val="22"/>
          <w:szCs w:val="22"/>
        </w:rPr>
      </w:pPr>
      <w:r>
        <w:rPr>
          <w:rFonts w:ascii="Arial" w:eastAsia="Arial" w:hAnsi="Arial" w:cs="Arial"/>
          <w:sz w:val="22"/>
          <w:szCs w:val="22"/>
        </w:rPr>
        <w:tab/>
      </w:r>
      <w:r>
        <w:rPr>
          <w:rFonts w:ascii="Arial" w:eastAsia="Arial" w:hAnsi="Arial" w:cs="Arial"/>
          <w:b/>
          <w:sz w:val="22"/>
          <w:szCs w:val="22"/>
        </w:rPr>
        <w:t>GroupFMT:</w:t>
      </w:r>
    </w:p>
    <w:p w14:paraId="23F18586"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 xml:space="preserve">    </w:t>
      </w:r>
      <w:r>
        <w:rPr>
          <w:rFonts w:ascii="Arial" w:eastAsia="Arial" w:hAnsi="Arial" w:cs="Arial"/>
          <w:sz w:val="22"/>
          <w:szCs w:val="22"/>
        </w:rPr>
        <w:tab/>
      </w:r>
      <w:r>
        <w:rPr>
          <w:rFonts w:ascii="Arial" w:eastAsia="Arial" w:hAnsi="Arial" w:cs="Arial"/>
          <w:i/>
          <w:sz w:val="22"/>
          <w:szCs w:val="22"/>
        </w:rPr>
        <w:t>Estimate:</w:t>
      </w:r>
      <w:r>
        <w:rPr>
          <w:rFonts w:ascii="Arial" w:eastAsia="Arial" w:hAnsi="Arial" w:cs="Arial"/>
          <w:sz w:val="22"/>
          <w:szCs w:val="22"/>
        </w:rPr>
        <w:t xml:space="preserve"> The estimated effect of the FMT (Fecal Microbiota Transplant) group.</w:t>
      </w:r>
    </w:p>
    <w:p w14:paraId="039C3243"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lastRenderedPageBreak/>
        <w:t xml:space="preserve">    </w:t>
      </w:r>
      <w:r>
        <w:rPr>
          <w:rFonts w:ascii="Arial" w:eastAsia="Arial" w:hAnsi="Arial" w:cs="Arial"/>
          <w:sz w:val="22"/>
          <w:szCs w:val="22"/>
        </w:rPr>
        <w:tab/>
      </w:r>
      <w:r>
        <w:rPr>
          <w:rFonts w:ascii="Arial" w:eastAsia="Arial" w:hAnsi="Arial" w:cs="Arial"/>
          <w:i/>
          <w:sz w:val="22"/>
          <w:szCs w:val="22"/>
        </w:rPr>
        <w:t>Std. Error:</w:t>
      </w:r>
      <w:r>
        <w:rPr>
          <w:rFonts w:ascii="Arial" w:eastAsia="Arial" w:hAnsi="Arial" w:cs="Arial"/>
          <w:sz w:val="22"/>
          <w:szCs w:val="22"/>
        </w:rPr>
        <w:t xml:space="preserve"> Standard error of the GroupFMT estimate.</w:t>
      </w:r>
    </w:p>
    <w:p w14:paraId="1A40D9E2"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 xml:space="preserve">    </w:t>
      </w:r>
      <w:r>
        <w:rPr>
          <w:rFonts w:ascii="Arial" w:eastAsia="Arial" w:hAnsi="Arial" w:cs="Arial"/>
          <w:sz w:val="22"/>
          <w:szCs w:val="22"/>
        </w:rPr>
        <w:tab/>
      </w:r>
      <w:r>
        <w:rPr>
          <w:rFonts w:ascii="Arial" w:eastAsia="Arial" w:hAnsi="Arial" w:cs="Arial"/>
          <w:i/>
          <w:sz w:val="22"/>
          <w:szCs w:val="22"/>
        </w:rPr>
        <w:t>t value:</w:t>
      </w:r>
      <w:r>
        <w:rPr>
          <w:rFonts w:ascii="Arial" w:eastAsia="Arial" w:hAnsi="Arial" w:cs="Arial"/>
          <w:sz w:val="22"/>
          <w:szCs w:val="22"/>
        </w:rPr>
        <w:t xml:space="preserve"> t-statistic for the GroupFMT effect.</w:t>
      </w:r>
    </w:p>
    <w:p w14:paraId="44F366A7"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 xml:space="preserve">    </w:t>
      </w:r>
      <w:r>
        <w:rPr>
          <w:rFonts w:ascii="Arial" w:eastAsia="Arial" w:hAnsi="Arial" w:cs="Arial"/>
          <w:sz w:val="22"/>
          <w:szCs w:val="22"/>
        </w:rPr>
        <w:tab/>
      </w:r>
      <w:r>
        <w:rPr>
          <w:rFonts w:ascii="Arial" w:eastAsia="Arial" w:hAnsi="Arial" w:cs="Arial"/>
          <w:i/>
          <w:sz w:val="22"/>
          <w:szCs w:val="22"/>
        </w:rPr>
        <w:t>Pr(&gt;|t|)</w:t>
      </w:r>
      <w:r>
        <w:rPr>
          <w:rFonts w:ascii="Arial" w:eastAsia="Arial" w:hAnsi="Arial" w:cs="Arial"/>
          <w:sz w:val="22"/>
          <w:szCs w:val="22"/>
        </w:rPr>
        <w:t>: p-value for the GroupFMT effect, indicating its significance.</w:t>
      </w:r>
    </w:p>
    <w:p w14:paraId="48B5ED4F" w14:textId="77777777" w:rsidR="00AA1264" w:rsidRDefault="00AA1264" w:rsidP="00AA1264">
      <w:pPr>
        <w:spacing w:before="0" w:line="480" w:lineRule="auto"/>
        <w:rPr>
          <w:rFonts w:ascii="Arial" w:eastAsia="Arial" w:hAnsi="Arial" w:cs="Arial"/>
          <w:sz w:val="22"/>
          <w:szCs w:val="22"/>
        </w:rPr>
      </w:pPr>
      <w:r>
        <w:rPr>
          <w:rFonts w:ascii="Arial" w:eastAsia="Arial" w:hAnsi="Arial" w:cs="Arial"/>
          <w:b/>
          <w:sz w:val="22"/>
          <w:szCs w:val="22"/>
        </w:rPr>
        <w:t>Smooth Terms</w:t>
      </w:r>
      <w:r>
        <w:rPr>
          <w:rFonts w:ascii="Arial" w:eastAsia="Arial" w:hAnsi="Arial" w:cs="Arial"/>
          <w:sz w:val="22"/>
          <w:szCs w:val="22"/>
        </w:rPr>
        <w:t>: to describe how individual proteins change over time, showing different parameters to evaluate how the model fits:</w:t>
      </w:r>
    </w:p>
    <w:p w14:paraId="065DC4F9" w14:textId="77777777" w:rsidR="00AA1264" w:rsidRDefault="00AA1264" w:rsidP="00AA1264">
      <w:pPr>
        <w:spacing w:before="0" w:line="480" w:lineRule="auto"/>
        <w:ind w:left="720" w:firstLine="720"/>
        <w:rPr>
          <w:rFonts w:ascii="Arial" w:eastAsia="Arial" w:hAnsi="Arial" w:cs="Arial"/>
          <w:sz w:val="22"/>
          <w:szCs w:val="22"/>
        </w:rPr>
      </w:pPr>
      <w:r>
        <w:rPr>
          <w:rFonts w:ascii="Roboto Mono" w:eastAsia="Roboto Mono" w:hAnsi="Roboto Mono" w:cs="Roboto Mono"/>
          <w:i/>
          <w:sz w:val="22"/>
          <w:szCs w:val="22"/>
        </w:rPr>
        <w:t>edf</w:t>
      </w:r>
      <w:r>
        <w:rPr>
          <w:rFonts w:ascii="Arial" w:eastAsia="Arial" w:hAnsi="Arial" w:cs="Arial"/>
          <w:i/>
          <w:sz w:val="22"/>
          <w:szCs w:val="22"/>
        </w:rPr>
        <w:t>:</w:t>
      </w:r>
      <w:r>
        <w:rPr>
          <w:rFonts w:ascii="Arial" w:eastAsia="Arial" w:hAnsi="Arial" w:cs="Arial"/>
          <w:sz w:val="22"/>
          <w:szCs w:val="22"/>
        </w:rPr>
        <w:t xml:space="preserve"> Estimated degrees of freedom for the smooth term </w:t>
      </w:r>
    </w:p>
    <w:p w14:paraId="565A2CB1" w14:textId="77777777" w:rsidR="00AA1264" w:rsidRDefault="00AA1264" w:rsidP="00AA1264">
      <w:pPr>
        <w:spacing w:before="0" w:line="480" w:lineRule="auto"/>
        <w:ind w:left="720" w:firstLine="720"/>
        <w:rPr>
          <w:rFonts w:ascii="Arial" w:eastAsia="Arial" w:hAnsi="Arial" w:cs="Arial"/>
          <w:sz w:val="22"/>
          <w:szCs w:val="22"/>
        </w:rPr>
      </w:pPr>
      <w:r>
        <w:rPr>
          <w:rFonts w:ascii="Roboto Mono" w:eastAsia="Roboto Mono" w:hAnsi="Roboto Mono" w:cs="Roboto Mono"/>
          <w:i/>
          <w:sz w:val="22"/>
          <w:szCs w:val="22"/>
        </w:rPr>
        <w:t>Ref.df</w:t>
      </w:r>
      <w:r>
        <w:rPr>
          <w:rFonts w:ascii="Arial" w:eastAsia="Arial" w:hAnsi="Arial" w:cs="Arial"/>
          <w:i/>
          <w:sz w:val="22"/>
          <w:szCs w:val="22"/>
        </w:rPr>
        <w:t xml:space="preserve">: </w:t>
      </w:r>
      <w:r>
        <w:rPr>
          <w:rFonts w:ascii="Arial" w:eastAsia="Arial" w:hAnsi="Arial" w:cs="Arial"/>
          <w:sz w:val="22"/>
          <w:szCs w:val="22"/>
        </w:rPr>
        <w:t xml:space="preserve">Reference degrees </w:t>
      </w:r>
    </w:p>
    <w:p w14:paraId="5C7170E5" w14:textId="77777777" w:rsidR="00AA1264" w:rsidRDefault="00AA1264" w:rsidP="00AA1264">
      <w:pPr>
        <w:spacing w:before="0" w:line="480" w:lineRule="auto"/>
        <w:ind w:left="720" w:firstLine="720"/>
        <w:rPr>
          <w:rFonts w:ascii="Arial" w:eastAsia="Arial" w:hAnsi="Arial" w:cs="Arial"/>
          <w:sz w:val="22"/>
          <w:szCs w:val="22"/>
        </w:rPr>
      </w:pPr>
      <w:r>
        <w:rPr>
          <w:rFonts w:ascii="Roboto Mono" w:eastAsia="Roboto Mono" w:hAnsi="Roboto Mono" w:cs="Roboto Mono"/>
          <w:i/>
          <w:sz w:val="22"/>
          <w:szCs w:val="22"/>
        </w:rPr>
        <w:t>F</w:t>
      </w:r>
      <w:r>
        <w:rPr>
          <w:rFonts w:ascii="Arial" w:eastAsia="Arial" w:hAnsi="Arial" w:cs="Arial"/>
          <w:i/>
          <w:sz w:val="22"/>
          <w:szCs w:val="22"/>
        </w:rPr>
        <w:t>:</w:t>
      </w:r>
      <w:r>
        <w:rPr>
          <w:rFonts w:ascii="Arial" w:eastAsia="Arial" w:hAnsi="Arial" w:cs="Arial"/>
          <w:sz w:val="22"/>
          <w:szCs w:val="22"/>
        </w:rPr>
        <w:t xml:space="preserve"> F-statistic for the smooth term.</w:t>
      </w:r>
    </w:p>
    <w:p w14:paraId="0704DEEE" w14:textId="77777777" w:rsidR="00AA1264" w:rsidRDefault="00AA1264" w:rsidP="00AA1264">
      <w:pPr>
        <w:spacing w:before="0" w:line="480" w:lineRule="auto"/>
        <w:ind w:left="720" w:firstLine="720"/>
        <w:rPr>
          <w:rFonts w:ascii="Arial" w:eastAsia="Arial" w:hAnsi="Arial" w:cs="Arial"/>
          <w:sz w:val="22"/>
          <w:szCs w:val="22"/>
        </w:rPr>
      </w:pPr>
      <w:r>
        <w:rPr>
          <w:rFonts w:ascii="Roboto Mono" w:eastAsia="Roboto Mono" w:hAnsi="Roboto Mono" w:cs="Roboto Mono"/>
          <w:i/>
          <w:sz w:val="22"/>
          <w:szCs w:val="22"/>
        </w:rPr>
        <w:t>p-value</w:t>
      </w:r>
      <w:r>
        <w:rPr>
          <w:rFonts w:ascii="Arial" w:eastAsia="Arial" w:hAnsi="Arial" w:cs="Arial"/>
          <w:i/>
          <w:sz w:val="22"/>
          <w:szCs w:val="22"/>
        </w:rPr>
        <w:t>:</w:t>
      </w:r>
      <w:r>
        <w:rPr>
          <w:rFonts w:ascii="Arial" w:eastAsia="Arial" w:hAnsi="Arial" w:cs="Arial"/>
          <w:sz w:val="22"/>
          <w:szCs w:val="22"/>
        </w:rPr>
        <w:t xml:space="preserve"> p-value for the smooth term, indicating its significance.</w:t>
      </w:r>
    </w:p>
    <w:p w14:paraId="60E90CDA" w14:textId="77777777" w:rsidR="00AA1264" w:rsidRDefault="00AA1264" w:rsidP="00AA1264">
      <w:pPr>
        <w:spacing w:before="0" w:line="480" w:lineRule="auto"/>
        <w:rPr>
          <w:rFonts w:ascii="Arial" w:eastAsia="Arial" w:hAnsi="Arial" w:cs="Arial"/>
          <w:sz w:val="22"/>
          <w:szCs w:val="22"/>
        </w:rPr>
      </w:pPr>
      <w:r>
        <w:rPr>
          <w:rFonts w:ascii="Arial" w:eastAsia="Arial" w:hAnsi="Arial" w:cs="Arial"/>
          <w:sz w:val="22"/>
          <w:szCs w:val="22"/>
        </w:rPr>
        <w:t>The columns that identify the p-values comparing the slopes between groups over time are:</w:t>
      </w:r>
    </w:p>
    <w:p w14:paraId="679EF078" w14:textId="77777777" w:rsidR="00AA1264" w:rsidRDefault="00AA1264" w:rsidP="00AA1264">
      <w:pPr>
        <w:spacing w:before="0" w:line="480" w:lineRule="auto"/>
        <w:rPr>
          <w:rFonts w:ascii="Arial" w:eastAsia="Arial" w:hAnsi="Arial" w:cs="Arial"/>
          <w:sz w:val="22"/>
          <w:szCs w:val="22"/>
        </w:rPr>
      </w:pPr>
      <w:r>
        <w:rPr>
          <w:rFonts w:ascii="Arial" w:eastAsia="Arial" w:hAnsi="Arial" w:cs="Arial"/>
          <w:sz w:val="22"/>
          <w:szCs w:val="22"/>
        </w:rPr>
        <w:t>-s(Week):GroupPlacebo p-value: This column shows the p-values for the smooth term of Week for the Placebo group.</w:t>
      </w:r>
    </w:p>
    <w:p w14:paraId="577C0D4D" w14:textId="77777777" w:rsidR="00AA1264" w:rsidRDefault="00AA1264" w:rsidP="00AA1264">
      <w:pPr>
        <w:spacing w:before="0" w:line="480" w:lineRule="auto"/>
        <w:rPr>
          <w:rFonts w:ascii="Arial" w:eastAsia="Arial" w:hAnsi="Arial" w:cs="Arial"/>
          <w:sz w:val="22"/>
          <w:szCs w:val="22"/>
        </w:rPr>
      </w:pPr>
      <w:r>
        <w:rPr>
          <w:rFonts w:ascii="Arial" w:eastAsia="Arial" w:hAnsi="Arial" w:cs="Arial"/>
          <w:sz w:val="22"/>
          <w:szCs w:val="22"/>
        </w:rPr>
        <w:t>- s(Week):GroupFMT p-value: This column shows the p-values for the interaction smooth term of Week by Group for the FMT group.</w:t>
      </w:r>
    </w:p>
    <w:p w14:paraId="4D17176B"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 xml:space="preserve">Table S3. Description of the Differentially Expressed Inflammatory Proteins. </w:t>
      </w:r>
    </w:p>
    <w:p w14:paraId="09EA328D"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Description of the main functions of the DEIPs previously described. The table is divided into sections according to their role in inflammation: pro-inflammatory, anti-inflammatory, ambiguous or context-dependent and uncertain. The last column describes a possible association with mucosal immunity and the microbiome.</w:t>
      </w:r>
    </w:p>
    <w:p w14:paraId="78A1F40E"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lastRenderedPageBreak/>
        <w:t>Table S4. Discriminatory pathways associated with Differentially Expressed Inflammatory Proteins in the FMT group, compared to those described in previous -omic studies by using Metascape.</w:t>
      </w:r>
    </w:p>
    <w:p w14:paraId="781CBD0F"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The table summarizes the results of the Metascape analysis comparing the hit list of the FMT vs. Placebo group against all previously published data in Metascape, selected for having the most relevant matches to the protein list identified herein. User-provided gene identifiers are first converted to their corresponding H. sapiens Entrez gene IDs using the latest version of the database (last updated on 2022-01-01). If multiple identifiers correspond to the same Entrez gene ID, they are treated as a single Entrez gene ID in downstream analyses. Each gene list is assigned a unique color that is used throughout the analysis. The following information is provided on separate sheets</w:t>
      </w:r>
    </w:p>
    <w:p w14:paraId="018DF1F2"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1.    Annotation: The following gene annotations are provided:</w:t>
      </w:r>
    </w:p>
    <w:p w14:paraId="3D879061"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a.    Gene Symbol: Primary HUGO gene symbol.</w:t>
      </w:r>
    </w:p>
    <w:p w14:paraId="14BAAD50"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b.    Description: Short description.</w:t>
      </w:r>
    </w:p>
    <w:p w14:paraId="58978D5C"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c.    Biological Process (GO): Descriptions are summarized based on the gene ontology database, where up to three most informative GO terms are kept.</w:t>
      </w:r>
    </w:p>
    <w:p w14:paraId="4916DE35"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d.    Kinase Class (UniProt): Detailed kinase classes.</w:t>
      </w:r>
    </w:p>
    <w:p w14:paraId="0D5784A7"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e.    Protein Function (Protein Atlas): Protein Function (Protein Atlas)</w:t>
      </w:r>
    </w:p>
    <w:p w14:paraId="7188B5A2"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f.    Subcellular Location (Protein Atlas): Subcellular Location (Protein Atlas)</w:t>
      </w:r>
    </w:p>
    <w:p w14:paraId="24AD062F"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g.    Drug (DrugBank): Drug information for the given gene as a target.</w:t>
      </w:r>
    </w:p>
    <w:p w14:paraId="1CD2F625"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t>h.    Canonical Pathways: Ontology, Canonical Pathways</w:t>
      </w:r>
    </w:p>
    <w:p w14:paraId="64399E57" w14:textId="77777777" w:rsidR="00AA1264" w:rsidRDefault="00AA1264" w:rsidP="00AA1264">
      <w:pPr>
        <w:spacing w:line="480" w:lineRule="auto"/>
        <w:ind w:left="720"/>
        <w:jc w:val="both"/>
        <w:rPr>
          <w:rFonts w:ascii="Arial" w:eastAsia="Arial" w:hAnsi="Arial" w:cs="Arial"/>
          <w:sz w:val="22"/>
          <w:szCs w:val="22"/>
        </w:rPr>
      </w:pPr>
      <w:r>
        <w:rPr>
          <w:rFonts w:ascii="Arial" w:eastAsia="Arial" w:hAnsi="Arial" w:cs="Arial"/>
          <w:sz w:val="22"/>
          <w:szCs w:val="22"/>
        </w:rPr>
        <w:lastRenderedPageBreak/>
        <w:t>i.    Hallmark Gene Sets: Ontology, Hallmark Gene Sets</w:t>
      </w:r>
    </w:p>
    <w:p w14:paraId="117C5297"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2.    Enrichment: enrichment analysis applying the standard cumulative hypergeometric statistical test to identify ontology terms, where input genes show significant presence. Including ontology terms from Broad's MSigDB, as well as automatically cluster resultant terms to reduce redundancy. Enriched GO terms are then ordered by the relevance of their function according to the LogP value (p&lt;0.01) clustered by the most representative function (“summary”). The main function, represented on the network in Figure 4A are highlighted in yellow. Description of the functions and the main genes associated with them are provided.</w:t>
      </w:r>
    </w:p>
    <w:p w14:paraId="69791C4E"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3.    GO_MCODE_TOP3: 3 MCODE components (Molecular Complex Detection algorithm) are displayed separately from the previous Enrichment analysis of the 46 proteins list. The algorithm identifies densely connected network neighborhoods, where such neighborhood components are more likely to be associated with a particular complex or functional unit than the rest of the network, characterizing its biological significance. The color code matches with the colors in Figure 4B.</w:t>
      </w:r>
    </w:p>
    <w:p w14:paraId="663FD80A"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Because of its extensive size this table is provided as separate Excel table.</w:t>
      </w:r>
    </w:p>
    <w:p w14:paraId="3A4FF391"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b/>
          <w:i/>
          <w:sz w:val="22"/>
          <w:szCs w:val="22"/>
        </w:rPr>
        <w:t>Table S5.  Association between changes in bacterial species abundance and the 46 differentially expressed immune proteins (DEIPs) using linear mixed models.</w:t>
      </w:r>
    </w:p>
    <w:p w14:paraId="283FC5CA"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The table describes the relationship between the 46 DEIPs and the bacterial species identified by shotgun metagenomic analysis of the stool samples. Columns show: an estimate of the association, a raw p-value, an adjusted p-value (pvalue_adj), and a significance indicator.</w:t>
      </w:r>
    </w:p>
    <w:p w14:paraId="31938E21"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S6. Groups of differentially expressed inflammatory plasma proteins (DEIPs) that significantly correlate with the detected bacterial species</w:t>
      </w:r>
    </w:p>
    <w:p w14:paraId="04C0673A"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lastRenderedPageBreak/>
        <w:t>Bacteria species identified by shotgun metagenomics of stool samples and correlated with the 46 DEIPs (FDR &lt; 0,05) are ordered based on the highest number of proteins correlated with one bacteria to the lowest number of proteins.</w:t>
      </w:r>
    </w:p>
    <w:p w14:paraId="6444CA60"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S7. Mean relative abundance and minimum number of participants with the presence of fecal bacterial species significantly correlated with 5 or more DEIPs in plasma, aggregated at the genus level.</w:t>
      </w:r>
    </w:p>
    <w:p w14:paraId="3E14A875" w14:textId="77777777" w:rsidR="00AA1264" w:rsidRDefault="00AA1264" w:rsidP="00AA1264">
      <w:pPr>
        <w:spacing w:before="0" w:line="480" w:lineRule="auto"/>
        <w:jc w:val="both"/>
        <w:rPr>
          <w:rFonts w:ascii="Arial" w:eastAsia="Arial" w:hAnsi="Arial" w:cs="Arial"/>
          <w:sz w:val="22"/>
          <w:szCs w:val="22"/>
        </w:rPr>
      </w:pPr>
      <w:r>
        <w:rPr>
          <w:rFonts w:ascii="Arial" w:eastAsia="Arial" w:hAnsi="Arial" w:cs="Arial"/>
          <w:sz w:val="22"/>
          <w:szCs w:val="22"/>
        </w:rPr>
        <w:t>Mean relative abundance a and minimum number of participants showing the presence of fecal bacterial species, aggregated at the genus level, that significantly correlated with 5 or more DEIPs in plasma, differentiating between fecal microbiota transplantation (FMT) and placebo treatment. Data from the different time points (week 0, week 1, week 8 and week 24) are provided. First column shows the mean relative abundance of different bacterial genera in both groups (FMT and placebo). Second column shows their absolute prevalence in terms of the number of participants who had these bacteria. The last column shows the minimum prevalence in FMT and Placebo groups (the bacteria has been identified at least in that number of samples).</w:t>
      </w:r>
    </w:p>
    <w:p w14:paraId="398F5357" w14:textId="77777777" w:rsidR="00AA1264" w:rsidRDefault="00AA1264" w:rsidP="00AA1264">
      <w:pPr>
        <w:spacing w:line="480" w:lineRule="auto"/>
        <w:jc w:val="both"/>
        <w:rPr>
          <w:rFonts w:ascii="Arial" w:eastAsia="Arial" w:hAnsi="Arial" w:cs="Arial"/>
          <w:sz w:val="22"/>
          <w:szCs w:val="22"/>
        </w:rPr>
      </w:pPr>
    </w:p>
    <w:p w14:paraId="4A7D0B58"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S8. Groups of bacterial species that significantly correlate with each of the 46 differentially expressed inflammatory plasma proteins (DEIPs).</w:t>
      </w:r>
    </w:p>
    <w:p w14:paraId="3A290789" w14:textId="77777777" w:rsidR="00AA1264" w:rsidRDefault="00AA1264" w:rsidP="00AA1264">
      <w:pPr>
        <w:spacing w:line="480" w:lineRule="auto"/>
        <w:jc w:val="both"/>
        <w:rPr>
          <w:rFonts w:ascii="Arial" w:eastAsia="Arial" w:hAnsi="Arial" w:cs="Arial"/>
          <w:sz w:val="22"/>
          <w:szCs w:val="22"/>
          <w:highlight w:val="yellow"/>
        </w:rPr>
      </w:pPr>
      <w:r>
        <w:rPr>
          <w:rFonts w:ascii="Arial" w:eastAsia="Arial" w:hAnsi="Arial" w:cs="Arial"/>
          <w:sz w:val="22"/>
          <w:szCs w:val="22"/>
        </w:rPr>
        <w:t>Bacterial species identified by shotgun metagenomics of stool samples and correlated with the 46 DEIPs (FDR &lt; 0,05) are ordered based on the highest number of bacterial species correlated with one protein to the lowest number of bacterial species.</w:t>
      </w:r>
    </w:p>
    <w:p w14:paraId="5312E112"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S9. Association between changes in bacterial gene counts and the 46 differentially expressed immune proteins (DEIPs) using linear mixed models.</w:t>
      </w:r>
    </w:p>
    <w:p w14:paraId="16514243"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lastRenderedPageBreak/>
        <w:t>The table describes the relationship between the 46 DEIPs and the bacterial genes identified by shotgun metagenomic analysis of the stool samples and annotated with eggNOG-mapper. Columns show an estimate of the association, a raw p-value, an adjusted p-value (pvalue_adj), and a significance indicator.</w:t>
      </w:r>
    </w:p>
    <w:p w14:paraId="4667CC32"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S10. Groups of differentially expressed proteins (DEIPs) that significantly correlate with the detected bacterial genes.</w:t>
      </w:r>
    </w:p>
    <w:p w14:paraId="17117B6C"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Bacterial genes identified by shotgun metagenomics of stool samples and correlated with the 46 DEIPs (FDR &lt; 0,05) are ordered based on the highest number of proteins correlated with one gene to the lowest number of proteins.</w:t>
      </w:r>
    </w:p>
    <w:p w14:paraId="14B8AF3C"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S11. Groups of bacterial genes that significantly correlate with the differentially expressed proteins  (DEIPs).</w:t>
      </w:r>
    </w:p>
    <w:p w14:paraId="0C2751D7"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The 46 DEIPs (FDR &lt; 0,05) correlated with bacterial genes identified by shotgun metagenomics of stool samples and ordered based on the highest number of genes correlated with one protein to the lowest number of genes.</w:t>
      </w:r>
    </w:p>
    <w:p w14:paraId="5B7B4BB1"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S12. Association between changes in bacterial functional annotations by KEGG and the 46 differentially expressed immune proteins (DEIPs) using linear mixed models.</w:t>
      </w:r>
    </w:p>
    <w:p w14:paraId="2413B40C"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The table describes the relationship between the 46 DEIPs and the bacterial functional annotations identified in comparison with the KEGG database. Columns show an estimate of the association, a raw p-value, an adjusted p-value (pvalue_adj), and a significance indicator.</w:t>
      </w:r>
    </w:p>
    <w:p w14:paraId="22EEF5AC"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S13. Groups of differentially expressed proteins (DEIPs) that significantly correlate with the detected bacterial annotated functions (KEGG).</w:t>
      </w:r>
    </w:p>
    <w:p w14:paraId="44537BA2"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lastRenderedPageBreak/>
        <w:t>Bacterial functional annotations by using KEGG database correlations with the 46 DEIPs (FDR &lt; 0.05) are ordered based on the highest number of proteins correlated with one function to the lowest number of proteins. A symbol and a description of the gene's function are provided based on KEGG database annotations.</w:t>
      </w:r>
    </w:p>
    <w:p w14:paraId="51BADFE0" w14:textId="77777777" w:rsidR="00AA1264" w:rsidRDefault="00AA1264" w:rsidP="00AA1264">
      <w:pPr>
        <w:spacing w:line="480" w:lineRule="auto"/>
        <w:jc w:val="both"/>
        <w:rPr>
          <w:rFonts w:ascii="Arial" w:eastAsia="Arial" w:hAnsi="Arial" w:cs="Arial"/>
          <w:b/>
          <w:i/>
          <w:sz w:val="22"/>
          <w:szCs w:val="22"/>
        </w:rPr>
      </w:pPr>
      <w:r>
        <w:rPr>
          <w:rFonts w:ascii="Arial" w:eastAsia="Arial" w:hAnsi="Arial" w:cs="Arial"/>
          <w:b/>
          <w:i/>
          <w:sz w:val="22"/>
          <w:szCs w:val="22"/>
        </w:rPr>
        <w:t>Table S14. Groups of bacterial annotated functions (EggNOG) that significantly correlate with the differentially expressed proteins  (DEIPs).</w:t>
      </w:r>
    </w:p>
    <w:p w14:paraId="092B6F0B" w14:textId="77777777" w:rsidR="00AA1264" w:rsidRDefault="00AA1264" w:rsidP="00AA1264">
      <w:pPr>
        <w:spacing w:line="480" w:lineRule="auto"/>
        <w:jc w:val="both"/>
        <w:rPr>
          <w:rFonts w:ascii="Arial" w:eastAsia="Arial" w:hAnsi="Arial" w:cs="Arial"/>
          <w:sz w:val="22"/>
          <w:szCs w:val="22"/>
        </w:rPr>
      </w:pPr>
      <w:r>
        <w:rPr>
          <w:rFonts w:ascii="Arial" w:eastAsia="Arial" w:hAnsi="Arial" w:cs="Arial"/>
          <w:sz w:val="22"/>
          <w:szCs w:val="22"/>
        </w:rPr>
        <w:t>The 46 DEIPs (FDR &lt; 0.05) correlated with bacterial annotated functions by EggNOG and ordered based on the highest number of functions correlated with one protein to the lowest number of functions.</w:t>
      </w:r>
    </w:p>
    <w:p w14:paraId="356C61E2" w14:textId="77777777" w:rsidR="00207679" w:rsidRDefault="00207679"/>
    <w:sectPr w:rsidR="00207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Mono">
    <w:charset w:val="00"/>
    <w:family w:val="modern"/>
    <w:pitch w:val="fixed"/>
    <w:sig w:usb0="E00002FF" w:usb1="1000205B" w:usb2="0000002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264"/>
    <w:rsid w:val="00207679"/>
    <w:rsid w:val="00AA12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D9923"/>
  <w15:chartTrackingRefBased/>
  <w15:docId w15:val="{8864980A-6756-43DF-843E-29E27D2F5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264"/>
    <w:pPr>
      <w:spacing w:before="120" w:after="240" w:line="240" w:lineRule="auto"/>
    </w:pPr>
    <w:rPr>
      <w:rFonts w:ascii="Times New Roman" w:eastAsia="Times New Roman" w:hAnsi="Times New Roman" w:cs="Times New Roman"/>
      <w:kern w:val="0"/>
      <w:lang w:eastAsia="es-ES_tradnl"/>
      <w14:ligatures w14:val="none"/>
    </w:rPr>
  </w:style>
  <w:style w:type="paragraph" w:styleId="Heading1">
    <w:name w:val="heading 1"/>
    <w:basedOn w:val="Normal"/>
    <w:next w:val="Normal"/>
    <w:link w:val="Heading1Char"/>
    <w:uiPriority w:val="9"/>
    <w:qFormat/>
    <w:rsid w:val="00AA126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AA126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AA126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AA1264"/>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AA1264"/>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AA1264"/>
    <w:pPr>
      <w:keepNext/>
      <w:keepLines/>
      <w:spacing w:before="40" w:after="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AA1264"/>
    <w:pPr>
      <w:keepNext/>
      <w:keepLines/>
      <w:spacing w:before="40" w:after="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AA1264"/>
    <w:pPr>
      <w:keepNext/>
      <w:keepLines/>
      <w:spacing w:before="0" w:after="0"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AA1264"/>
    <w:pPr>
      <w:keepNext/>
      <w:keepLines/>
      <w:spacing w:before="0" w:after="0"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12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12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12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12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12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12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12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12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1264"/>
    <w:rPr>
      <w:rFonts w:eastAsiaTheme="majorEastAsia" w:cstheme="majorBidi"/>
      <w:color w:val="272727" w:themeColor="text1" w:themeTint="D8"/>
    </w:rPr>
  </w:style>
  <w:style w:type="paragraph" w:styleId="Title">
    <w:name w:val="Title"/>
    <w:basedOn w:val="Normal"/>
    <w:next w:val="Normal"/>
    <w:link w:val="TitleChar"/>
    <w:uiPriority w:val="10"/>
    <w:qFormat/>
    <w:rsid w:val="00AA1264"/>
    <w:pPr>
      <w:spacing w:before="0"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AA12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1264"/>
    <w:pPr>
      <w:numPr>
        <w:ilvl w:val="1"/>
      </w:numPr>
      <w:spacing w:before="0"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AA12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1264"/>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AA1264"/>
    <w:rPr>
      <w:i/>
      <w:iCs/>
      <w:color w:val="404040" w:themeColor="text1" w:themeTint="BF"/>
    </w:rPr>
  </w:style>
  <w:style w:type="paragraph" w:styleId="ListParagraph">
    <w:name w:val="List Paragraph"/>
    <w:basedOn w:val="Normal"/>
    <w:uiPriority w:val="34"/>
    <w:qFormat/>
    <w:rsid w:val="00AA1264"/>
    <w:pPr>
      <w:spacing w:before="0"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AA1264"/>
    <w:rPr>
      <w:i/>
      <w:iCs/>
      <w:color w:val="0F4761" w:themeColor="accent1" w:themeShade="BF"/>
    </w:rPr>
  </w:style>
  <w:style w:type="paragraph" w:styleId="IntenseQuote">
    <w:name w:val="Intense Quote"/>
    <w:basedOn w:val="Normal"/>
    <w:next w:val="Normal"/>
    <w:link w:val="IntenseQuoteChar"/>
    <w:uiPriority w:val="30"/>
    <w:qFormat/>
    <w:rsid w:val="00AA126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AA1264"/>
    <w:rPr>
      <w:i/>
      <w:iCs/>
      <w:color w:val="0F4761" w:themeColor="accent1" w:themeShade="BF"/>
    </w:rPr>
  </w:style>
  <w:style w:type="character" w:styleId="IntenseReference">
    <w:name w:val="Intense Reference"/>
    <w:basedOn w:val="DefaultParagraphFont"/>
    <w:uiPriority w:val="32"/>
    <w:qFormat/>
    <w:rsid w:val="00AA12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1426</Words>
  <Characters>8130</Characters>
  <Application>Microsoft Office Word</Application>
  <DocSecurity>0</DocSecurity>
  <Lines>67</Lines>
  <Paragraphs>19</Paragraphs>
  <ScaleCrop>false</ScaleCrop>
  <Company>Springer Nature</Company>
  <LinksUpToDate>false</LinksUpToDate>
  <CharactersWithSpaces>9537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2024-06-10T12:36:00Z</dcterms:created>
  <dcterms:modified xsi:type="dcterms:W3CDTF">2024-06-10T12:36:00Z</dcterms:modified>
</cp:coreProperties>
</file>