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Times New Roman"/>
          <w:b/>
          <w:sz w:val="20"/>
          <w:szCs w:val="20"/>
          <w:lang w:eastAsia="en-GB"/>
        </w:rPr>
      </w:pPr>
      <w:r>
        <w:rPr>
          <w:rFonts w:eastAsia="Times New Roman"/>
          <w:b/>
          <w:sz w:val="20"/>
          <w:szCs w:val="20"/>
          <w:lang w:eastAsia="en-GB"/>
        </w:rPr>
        <w:t>STROBE-MR checklist of recommended items to address in reports of Mendelian randomization studies</w:t>
      </w:r>
      <w:r>
        <w:rPr>
          <w:rFonts w:eastAsia="Times New Roman"/>
          <w:b/>
          <w:sz w:val="20"/>
          <w:szCs w:val="20"/>
          <w:lang w:eastAsia="en-GB"/>
        </w:rPr>
        <w:fldChar w:fldCharType="begin" w:fldLock="1"/>
      </w:r>
      <w:r>
        <w:rPr>
          <w:rFonts w:eastAsia="Times New Roman"/>
          <w:b/>
          <w:sz w:val="20"/>
          <w:szCs w:val="20"/>
          <w:lang w:eastAsia="en-GB"/>
        </w:rPr>
        <w:instrText xml:space="preserve">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1</w:t>
      </w:r>
      <w:r>
        <w:rPr>
          <w:rFonts w:eastAsia="Times New Roman"/>
          <w:b/>
          <w:sz w:val="20"/>
          <w:szCs w:val="20"/>
          <w:lang w:eastAsia="en-GB"/>
        </w:rPr>
        <w:fldChar w:fldCharType="end"/>
      </w:r>
      <w:r>
        <w:rPr>
          <w:rFonts w:eastAsia="Times New Roman"/>
          <w:b/>
          <w:sz w:val="20"/>
          <w:szCs w:val="20"/>
          <w:lang w:eastAsia="en-GB"/>
        </w:rPr>
        <w:t xml:space="preserve"> </w:t>
      </w:r>
      <w:r>
        <w:rPr>
          <w:rFonts w:eastAsia="Times New Roman"/>
          <w:b/>
          <w:sz w:val="20"/>
          <w:szCs w:val="20"/>
          <w:lang w:eastAsia="en-GB"/>
        </w:rPr>
        <w:fldChar w:fldCharType="begin" w:fldLock="1"/>
      </w:r>
      <w:r>
        <w:rPr>
          <w:rFonts w:eastAsia="Times New Roman"/>
          <w:b/>
          <w:sz w:val="20"/>
          <w:szCs w:val="20"/>
          <w:lang w:eastAsia="en-GB"/>
        </w:rPr>
        <w:instrText xml:space="preserve">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2</w:t>
      </w:r>
      <w:r>
        <w:rPr>
          <w:rFonts w:eastAsia="Times New Roman"/>
          <w:b/>
          <w:sz w:val="20"/>
          <w:szCs w:val="20"/>
          <w:lang w:eastAsia="en-GB"/>
        </w:rPr>
        <w:fldChar w:fldCharType="end"/>
      </w:r>
      <w:r>
        <w:rPr>
          <w:rFonts w:eastAsia="Times New Roman"/>
          <w:b/>
          <w:sz w:val="20"/>
          <w:szCs w:val="20"/>
          <w:lang w:eastAsia="en-GB"/>
        </w:rPr>
        <w:t> </w:t>
      </w:r>
    </w:p>
    <w:p>
      <w:pPr>
        <w:rPr>
          <w:rFonts w:eastAsia="Times New Roman"/>
          <w:b/>
          <w:sz w:val="20"/>
          <w:szCs w:val="20"/>
          <w:lang w:eastAsia="en-GB"/>
        </w:rPr>
      </w:pPr>
    </w:p>
    <w:tbl>
      <w:tblPr>
        <w:tblStyle w:val="4"/>
        <w:tblW w:w="14490" w:type="dxa"/>
        <w:tblInd w:w="0" w:type="dxa"/>
        <w:tblLayout w:type="autofit"/>
        <w:tblCellMar>
          <w:top w:w="0" w:type="dxa"/>
          <w:left w:w="108" w:type="dxa"/>
          <w:bottom w:w="0" w:type="dxa"/>
          <w:right w:w="108" w:type="dxa"/>
        </w:tblCellMar>
      </w:tblPr>
      <w:tblGrid>
        <w:gridCol w:w="587"/>
        <w:gridCol w:w="1822"/>
        <w:gridCol w:w="7041"/>
        <w:gridCol w:w="720"/>
        <w:gridCol w:w="4320"/>
      </w:tblGrid>
      <w:tr>
        <w:tblPrEx>
          <w:tblCellMar>
            <w:top w:w="0" w:type="dxa"/>
            <w:left w:w="108" w:type="dxa"/>
            <w:bottom w:w="0" w:type="dxa"/>
            <w:right w:w="108" w:type="dxa"/>
          </w:tblCellMar>
        </w:tblPrEx>
        <w:tc>
          <w:tcPr>
            <w:tcW w:w="587" w:type="dxa"/>
            <w:tcBorders>
              <w:top w:val="single" w:color="auto" w:sz="4" w:space="0"/>
              <w:bottom w:val="single" w:color="7F7F7F" w:sz="6" w:space="0"/>
            </w:tcBorders>
            <w:shd w:val="clear" w:color="auto" w:fill="auto"/>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Item No.</w:t>
            </w:r>
          </w:p>
        </w:tc>
        <w:tc>
          <w:tcPr>
            <w:tcW w:w="1822" w:type="dxa"/>
            <w:tcBorders>
              <w:top w:val="single" w:color="auto" w:sz="4" w:space="0"/>
              <w:bottom w:val="single" w:color="7F7F7F" w:sz="6" w:space="0"/>
            </w:tcBorders>
            <w:shd w:val="clear" w:color="auto" w:fill="auto"/>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Section</w:t>
            </w:r>
          </w:p>
        </w:tc>
        <w:tc>
          <w:tcPr>
            <w:tcW w:w="7041" w:type="dxa"/>
            <w:tcBorders>
              <w:top w:val="single" w:color="auto" w:sz="4" w:space="0"/>
              <w:bottom w:val="single" w:color="7F7F7F" w:sz="6" w:space="0"/>
            </w:tcBorders>
            <w:shd w:val="clear" w:color="auto" w:fill="auto"/>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 xml:space="preserve">Checklist item </w:t>
            </w:r>
          </w:p>
        </w:tc>
        <w:tc>
          <w:tcPr>
            <w:tcW w:w="720" w:type="dxa"/>
            <w:tcBorders>
              <w:top w:val="single" w:color="auto" w:sz="4" w:space="0"/>
              <w:bottom w:val="single" w:color="7F7F7F" w:sz="6" w:space="0"/>
            </w:tcBorders>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Page No.</w:t>
            </w:r>
          </w:p>
        </w:tc>
        <w:tc>
          <w:tcPr>
            <w:tcW w:w="4320" w:type="dxa"/>
            <w:tcBorders>
              <w:top w:val="single" w:color="auto" w:sz="4" w:space="0"/>
              <w:bottom w:val="single" w:color="7F7F7F" w:sz="6" w:space="0"/>
            </w:tcBorders>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Relevant text from manuscript</w:t>
            </w:r>
          </w:p>
        </w:tc>
      </w:tr>
      <w:tr>
        <w:tblPrEx>
          <w:tblCellMar>
            <w:top w:w="0" w:type="dxa"/>
            <w:left w:w="108" w:type="dxa"/>
            <w:bottom w:w="0" w:type="dxa"/>
            <w:right w:w="108" w:type="dxa"/>
          </w:tblCellMar>
        </w:tblPrEx>
        <w:tc>
          <w:tcPr>
            <w:tcW w:w="587" w:type="dxa"/>
            <w:tcBorders>
              <w:top w:val="single" w:color="7F7F7F" w:sz="6" w:space="0"/>
              <w:bottom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w:t>
            </w:r>
          </w:p>
        </w:tc>
        <w:tc>
          <w:tcPr>
            <w:tcW w:w="1822" w:type="dxa"/>
            <w:tcBorders>
              <w:top w:val="single" w:color="7F7F7F" w:sz="6" w:space="0"/>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TITLE and ABSTRACT</w:t>
            </w:r>
          </w:p>
        </w:tc>
        <w:tc>
          <w:tcPr>
            <w:tcW w:w="7041" w:type="dxa"/>
            <w:tcBorders>
              <w:top w:val="single" w:color="7F7F7F" w:sz="6" w:space="0"/>
              <w:bottom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Indicate Mendelian randomization (MR) as the study’s design in the title and/or the abstract if that is a main purpose of the study</w:t>
            </w:r>
          </w:p>
        </w:tc>
        <w:tc>
          <w:tcPr>
            <w:tcW w:w="720" w:type="dxa"/>
            <w:tcBorders>
              <w:top w:val="single" w:color="7F7F7F" w:sz="6" w:space="0"/>
              <w:bottom w:val="single" w:color="7F7F7F" w:sz="6" w:space="0"/>
            </w:tcBorders>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1</w:t>
            </w:r>
          </w:p>
        </w:tc>
        <w:tc>
          <w:tcPr>
            <w:tcW w:w="4320" w:type="dxa"/>
            <w:tcBorders>
              <w:top w:val="single" w:color="7F7F7F" w:sz="6" w:space="0"/>
              <w:bottom w:val="single" w:color="7F7F7F" w:sz="6" w:space="0"/>
            </w:tcBorders>
            <w:shd w:val="clear" w:color="auto" w:fill="EEEEEE"/>
          </w:tcPr>
          <w:p>
            <w:pPr>
              <w:pStyle w:val="3"/>
              <w:keepNext w:val="0"/>
              <w:keepLines w:val="0"/>
              <w:widowControl/>
              <w:suppressLineNumbers w:val="0"/>
            </w:pPr>
            <w:r>
              <w:t>Title:Association of circulating inflammatory proteins with Nonalcoholic Fatty Liver Disease: A bidirectional Mendelian randomization study</w:t>
            </w:r>
          </w:p>
          <w:p>
            <w:pPr>
              <w:pStyle w:val="3"/>
              <w:keepNext w:val="0"/>
              <w:keepLines w:val="0"/>
              <w:widowControl/>
              <w:suppressLineNumbers w:val="0"/>
            </w:pPr>
            <w:r>
              <w:t>Abstract:Objective: Investigating the causal relationship between non-alcoholic fatty liver disease (NAFLD) and inflammatory proteins and identifying and quantifying the role of serum metabolites as a potential mediator.Methods: Using summary-level data from a genome-wide association study (GWAS), a two-sample Mendelian randomization (MR) analysis of genetically predicted Nonalcoholic Fatty Liver Disease and inflammatory proteins (14,824 participants of primarily European descent) was performed.Results: The IVW method analysis showed that CCL20 (P-value=0.023, OR=0.783, 95% CI=0.644-0.968) and IL-1α (P-value=0.039, OR=0.790, 95% CI=0.632-0.988) were protective factors for NAFLD, while TNFRSF9 (P-value&lt;0.001, OR=1.353, 95% CI=1.148-1.594) was a risk factor.Conclusion: Our study identified a causal relationship between inflammatory proteins and Nonalcoholic Fatty Liver Disease.</w:t>
            </w:r>
          </w:p>
          <w:p>
            <w:pPr>
              <w:spacing w:before="96" w:beforeLines="40" w:after="96" w:afterLines="40" w:line="24" w:lineRule="atLeast"/>
              <w:rPr>
                <w:rFonts w:hint="eastAsia" w:ascii="宋体" w:hAnsi="宋体" w:eastAsia="宋体" w:cs="宋体"/>
                <w:sz w:val="24"/>
                <w:szCs w:val="24"/>
                <w:lang w:val="en-US" w:eastAsia="zh-CN"/>
              </w:rPr>
            </w:pPr>
          </w:p>
        </w:tc>
      </w:tr>
      <w:tr>
        <w:tblPrEx>
          <w:tblCellMar>
            <w:top w:w="0" w:type="dxa"/>
            <w:left w:w="108" w:type="dxa"/>
            <w:bottom w:w="0" w:type="dxa"/>
            <w:right w:w="108" w:type="dxa"/>
          </w:tblCellMar>
        </w:tblPrEx>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INTRODUCTION</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2</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Background</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Explain the scientific background and rationale for the reported study. What is the exposure? Is a potential causal relationship between exposure and outcome plausible? Justify why MR is a helpful method to address the study question</w:t>
            </w:r>
          </w:p>
        </w:tc>
        <w:tc>
          <w:tcPr>
            <w:tcW w:w="720" w:type="dxa"/>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1</w:t>
            </w:r>
          </w:p>
        </w:tc>
        <w:tc>
          <w:tcPr>
            <w:tcW w:w="4320" w:type="dxa"/>
            <w:shd w:val="clear" w:color="auto" w:fill="EEEEEE"/>
          </w:tcPr>
          <w:p>
            <w:pPr>
              <w:keepNext w:val="0"/>
              <w:keepLines w:val="0"/>
              <w:widowControl/>
              <w:suppressLineNumbers w:val="0"/>
            </w:pPr>
            <w:r>
              <w:t>NAFLD refers to liver histopathological and radiological changes similar to alcoholic liver disease but without excessive alcohol consumption or other specific diseases leading to hepatic steatosis.</w:t>
            </w:r>
          </w:p>
          <w:p>
            <w:pPr>
              <w:keepNext w:val="0"/>
              <w:keepLines w:val="0"/>
              <w:widowControl/>
              <w:suppressLineNumbers w:val="0"/>
            </w:pPr>
            <w:r>
              <w:t>The spectrum of the disease includes non-alcoholic fatty liver (NAFL), non-alcoholic steatohepatitis (NASH), and their associated cirrhosis and hepatocellular carcinoma.</w:t>
            </w:r>
          </w:p>
          <w:p>
            <w:pPr>
              <w:keepNext w:val="0"/>
              <w:keepLines w:val="0"/>
              <w:widowControl/>
              <w:suppressLineNumbers w:val="0"/>
            </w:pPr>
            <w:r>
              <w:t>Research indicates that inflammatory responses in the liver play a central role in the development of NAFLD and NASH.</w:t>
            </w:r>
          </w:p>
          <w:p>
            <w:pPr>
              <w:keepNext w:val="0"/>
              <w:keepLines w:val="0"/>
              <w:widowControl/>
              <w:suppressLineNumbers w:val="0"/>
            </w:pPr>
            <w:r>
              <w:t>Explain the rationale for using MR to address the study question: MR leverages genetic variants as instrumental variables to infer causality, minimizing confounding and reverse causality.</w:t>
            </w:r>
          </w:p>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tcBorders>
              <w:bottom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3</w:t>
            </w:r>
          </w:p>
        </w:tc>
        <w:tc>
          <w:tcPr>
            <w:tcW w:w="1822" w:type="dxa"/>
            <w:tcBorders>
              <w:bottom w:val="single" w:color="7F7F7F" w:sz="6" w:space="0"/>
            </w:tcBorders>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Objectives</w:t>
            </w:r>
          </w:p>
        </w:tc>
        <w:tc>
          <w:tcPr>
            <w:tcW w:w="7041" w:type="dxa"/>
            <w:tcBorders>
              <w:bottom w:val="single" w:color="7F7F7F" w:sz="6" w:space="0"/>
            </w:tcBorders>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color="7F7F7F" w:sz="6" w:space="0"/>
            </w:tcBorders>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1</w:t>
            </w:r>
          </w:p>
        </w:tc>
        <w:tc>
          <w:tcPr>
            <w:tcW w:w="4320" w:type="dxa"/>
            <w:tcBorders>
              <w:bottom w:val="single" w:color="7F7F7F" w:sz="6" w:space="0"/>
            </w:tcBorders>
          </w:tcPr>
          <w:p>
            <w:pPr>
              <w:spacing w:before="96" w:beforeLines="40" w:after="96" w:afterLines="40" w:line="24" w:lineRule="atLeast"/>
              <w:rPr>
                <w:rFonts w:eastAsia="Times New Roman"/>
                <w:sz w:val="18"/>
                <w:szCs w:val="18"/>
                <w:lang w:val="en-GB" w:eastAsia="en-GB"/>
              </w:rPr>
            </w:pPr>
            <w:r>
              <w:rPr>
                <w:rFonts w:ascii="宋体" w:hAnsi="宋体" w:eastAsia="宋体" w:cs="宋体"/>
                <w:sz w:val="24"/>
                <w:szCs w:val="24"/>
              </w:rPr>
              <w:t>The primary objective is to investigate the causal relationship between NAFLD and inflammatory proteins using MR.State that MR is a method that under specific assumptions intends to estimate causal effects.</w:t>
            </w:r>
          </w:p>
        </w:tc>
      </w:tr>
      <w:tr>
        <w:tblPrEx>
          <w:tblCellMar>
            <w:top w:w="0" w:type="dxa"/>
            <w:left w:w="108" w:type="dxa"/>
            <w:bottom w:w="0" w:type="dxa"/>
            <w:right w:w="108" w:type="dxa"/>
          </w:tblCellMar>
        </w:tblPrEx>
        <w:tc>
          <w:tcPr>
            <w:tcW w:w="587" w:type="dxa"/>
            <w:tcBorders>
              <w:top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METHODS</w:t>
            </w:r>
          </w:p>
        </w:tc>
        <w:tc>
          <w:tcPr>
            <w:tcW w:w="7041"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4</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Study design and data sources</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2</w:t>
            </w:r>
          </w:p>
        </w:tc>
        <w:tc>
          <w:tcPr>
            <w:tcW w:w="4320" w:type="dxa"/>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shd w:val="clear" w:color="auto" w:fill="FFFFFF"/>
                <w:lang w:val="en-GB" w:eastAsia="en-GB"/>
              </w:rPr>
              <w:t xml:space="preserve">Setting: </w:t>
            </w:r>
            <w:r>
              <w:rPr>
                <w:rFonts w:eastAsia="Times New Roman"/>
                <w:sz w:val="18"/>
                <w:szCs w:val="18"/>
                <w:lang w:val="en-GB" w:eastAsia="en-GB"/>
              </w:rPr>
              <w:t xml:space="preserve">Describe the study design and the underlying population, if possible. </w:t>
            </w:r>
            <w:r>
              <w:rPr>
                <w:rFonts w:eastAsia="Times New Roman"/>
                <w:sz w:val="18"/>
                <w:szCs w:val="18"/>
                <w:shd w:val="clear" w:color="auto" w:fill="FFFFFF"/>
                <w:lang w:val="en-GB" w:eastAsia="en-GB"/>
              </w:rPr>
              <w:t xml:space="preserve">Describe the setting, locations, and relevant dates, including periods </w:t>
            </w:r>
            <w:r>
              <w:rPr>
                <w:rFonts w:eastAsia="Times New Roman"/>
                <w:color w:val="000000"/>
                <w:sz w:val="18"/>
                <w:szCs w:val="18"/>
                <w:shd w:val="clear" w:color="auto" w:fill="FFFFFF"/>
                <w:lang w:val="en-GB" w:eastAsia="en-GB"/>
              </w:rPr>
              <w:t>of recruitment, exposure, follow-up, and data collection, when available.</w:t>
            </w:r>
          </w:p>
        </w:tc>
        <w:tc>
          <w:tcPr>
            <w:tcW w:w="720" w:type="dxa"/>
            <w:shd w:val="clear" w:color="auto" w:fill="EEEEEE"/>
          </w:tcPr>
          <w:p>
            <w:pPr>
              <w:spacing w:before="96" w:beforeLines="40" w:after="96" w:afterLines="40" w:line="24" w:lineRule="atLeast"/>
              <w:rPr>
                <w:rFonts w:hint="eastAsia" w:eastAsia="宋体"/>
                <w:sz w:val="18"/>
                <w:szCs w:val="18"/>
                <w:shd w:val="clear" w:color="auto" w:fill="FFFFFF"/>
                <w:lang w:val="en-US" w:eastAsia="zh-CN"/>
              </w:rPr>
            </w:pPr>
            <w:r>
              <w:rPr>
                <w:rFonts w:hint="eastAsia" w:eastAsia="宋体"/>
                <w:sz w:val="18"/>
                <w:szCs w:val="18"/>
                <w:shd w:val="clear" w:color="auto" w:fill="FFFFFF"/>
                <w:lang w:val="en-US" w:eastAsia="zh-CN"/>
              </w:rPr>
              <w:t>2</w:t>
            </w:r>
          </w:p>
        </w:tc>
        <w:tc>
          <w:tcPr>
            <w:tcW w:w="4320" w:type="dxa"/>
            <w:shd w:val="clear" w:color="auto" w:fill="EEEEEE"/>
          </w:tcPr>
          <w:p>
            <w:pPr>
              <w:keepNext w:val="0"/>
              <w:keepLines w:val="0"/>
              <w:widowControl/>
              <w:suppressLineNumbers w:val="0"/>
            </w:pPr>
            <w:r>
              <w:t>The study design includes a two-sample MR analysis using summary-level data from GWAS.</w:t>
            </w:r>
          </w:p>
          <w:p>
            <w:pPr>
              <w:keepNext w:val="0"/>
              <w:keepLines w:val="0"/>
              <w:widowControl/>
              <w:suppressLineNumbers w:val="0"/>
            </w:pPr>
            <w:r>
              <w:t>Participants were primarily of European descent.</w:t>
            </w:r>
          </w:p>
          <w:p>
            <w:pPr>
              <w:keepNext w:val="0"/>
              <w:keepLines w:val="0"/>
              <w:widowControl/>
              <w:suppressLineNumbers w:val="0"/>
            </w:pPr>
            <w:r>
              <w:t>Recruitment and data collection were done as part of various GWAS consortia.</w:t>
            </w:r>
          </w:p>
          <w:p>
            <w:pPr>
              <w:spacing w:before="96" w:beforeLines="40" w:after="96" w:afterLines="40" w:line="24" w:lineRule="atLeast"/>
              <w:rPr>
                <w:rFonts w:eastAsia="Times New Roman"/>
                <w:sz w:val="18"/>
                <w:szCs w:val="18"/>
                <w:shd w:val="clear" w:color="auto" w:fill="FFFFFF"/>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 xml:space="preserve">Participants: Give the eligibility criteria, and the sources and methods of selection of participants. </w:t>
            </w:r>
            <w:r>
              <w:rPr>
                <w:rFonts w:eastAsia="Times New Roman"/>
                <w:color w:val="000000"/>
                <w:sz w:val="18"/>
                <w:szCs w:val="18"/>
              </w:rPr>
              <w:t>Report the sample size, and whether any power or sample size calculations were carried out prior to the main analysis</w:t>
            </w:r>
            <w:r>
              <w:rPr>
                <w:rFonts w:eastAsia="Times New Roman"/>
                <w:sz w:val="18"/>
                <w:szCs w:val="18"/>
                <w:lang w:val="en-GB" w:eastAsia="en-GB"/>
              </w:rPr>
              <w:t> </w:t>
            </w:r>
          </w:p>
        </w:tc>
        <w:tc>
          <w:tcPr>
            <w:tcW w:w="720" w:type="dxa"/>
          </w:tcPr>
          <w:p>
            <w:pPr>
              <w:spacing w:before="96" w:beforeLines="40" w:after="96" w:afterLines="40" w:line="24" w:lineRule="atLeast"/>
              <w:textAlignment w:val="baseline"/>
              <w:rPr>
                <w:rFonts w:hint="eastAsia" w:eastAsia="宋体"/>
                <w:sz w:val="18"/>
                <w:szCs w:val="18"/>
                <w:shd w:val="clear" w:color="auto" w:fill="FFFFFF"/>
                <w:lang w:val="en-US" w:eastAsia="zh-CN"/>
              </w:rPr>
            </w:pPr>
            <w:r>
              <w:rPr>
                <w:rFonts w:hint="eastAsia" w:eastAsia="宋体"/>
                <w:sz w:val="18"/>
                <w:szCs w:val="18"/>
                <w:shd w:val="clear" w:color="auto" w:fill="FFFFFF"/>
                <w:lang w:val="en-US" w:eastAsia="zh-CN"/>
              </w:rPr>
              <w:t>2</w:t>
            </w:r>
          </w:p>
        </w:tc>
        <w:tc>
          <w:tcPr>
            <w:tcW w:w="4320" w:type="dxa"/>
          </w:tcPr>
          <w:p>
            <w:pPr>
              <w:spacing w:before="96" w:beforeLines="40" w:after="96" w:afterLines="40" w:line="24" w:lineRule="atLeast"/>
              <w:textAlignment w:val="baseline"/>
              <w:rPr>
                <w:rFonts w:eastAsia="Times New Roman"/>
                <w:sz w:val="18"/>
                <w:szCs w:val="18"/>
                <w:shd w:val="clear" w:color="auto" w:fill="FFFFFF"/>
                <w:lang w:val="en-GB" w:eastAsia="en-GB"/>
              </w:rPr>
            </w:pPr>
          </w:p>
          <w:p>
            <w:pPr>
              <w:keepNext w:val="0"/>
              <w:keepLines w:val="0"/>
              <w:widowControl/>
              <w:suppressLineNumbers w:val="0"/>
            </w:pPr>
            <w:r>
              <w:t>Eligibility criteria included being of European descent and having available GWAS data for inflammatory proteins and NAFLD.</w:t>
            </w:r>
          </w:p>
          <w:p>
            <w:pPr>
              <w:keepNext w:val="0"/>
              <w:keepLines w:val="0"/>
              <w:widowControl/>
              <w:suppressLineNumbers w:val="0"/>
            </w:pPr>
            <w:r>
              <w:t>Sample size included 14,824 participants for inflammatory proteins and corresponding controls for NAFLD.</w:t>
            </w:r>
          </w:p>
          <w:p>
            <w:pPr>
              <w:tabs>
                <w:tab w:val="left" w:pos="1189"/>
              </w:tabs>
              <w:bidi w:val="0"/>
              <w:jc w:val="left"/>
              <w:rPr>
                <w:rFonts w:hint="eastAsia" w:ascii="Arial" w:hAnsi="Arial" w:eastAsia="宋体" w:cs="Arial"/>
                <w:sz w:val="22"/>
                <w:szCs w:val="22"/>
                <w:lang w:val="en-GB" w:eastAsia="zh-CN" w:bidi="ar-SA"/>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measurement, quality control and selection of genetic variants</w:t>
            </w:r>
          </w:p>
        </w:tc>
        <w:tc>
          <w:tcPr>
            <w:tcW w:w="720" w:type="dxa"/>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2</w:t>
            </w:r>
          </w:p>
        </w:tc>
        <w:tc>
          <w:tcPr>
            <w:tcW w:w="4320" w:type="dxa"/>
            <w:shd w:val="clear" w:color="auto" w:fill="EEEEEE"/>
          </w:tcPr>
          <w:p>
            <w:pPr>
              <w:spacing w:before="96" w:beforeLines="40" w:after="96" w:afterLines="40" w:line="24" w:lineRule="atLeast"/>
              <w:rPr>
                <w:rFonts w:eastAsia="Times New Roman"/>
                <w:sz w:val="18"/>
                <w:szCs w:val="18"/>
                <w:lang w:val="en-GB" w:eastAsia="en-GB"/>
              </w:rPr>
            </w:pPr>
            <w:r>
              <w:rPr>
                <w:rFonts w:ascii="宋体" w:hAnsi="宋体" w:eastAsia="宋体" w:cs="宋体"/>
                <w:sz w:val="24"/>
                <w:szCs w:val="24"/>
              </w:rPr>
              <w:t>Genetic variants associated with inflammatory proteins were identified using GWAS with stringent quality control measures.</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720" w:type="dxa"/>
          </w:tcPr>
          <w:p>
            <w:pPr>
              <w:spacing w:before="96" w:beforeLines="40" w:after="96" w:afterLines="40" w:line="24" w:lineRule="atLeast"/>
              <w:textAlignment w:val="baseline"/>
              <w:rPr>
                <w:rFonts w:hint="eastAsia" w:eastAsia="宋体"/>
                <w:sz w:val="18"/>
                <w:szCs w:val="18"/>
                <w:shd w:val="clear" w:color="auto" w:fill="FFFFFF"/>
                <w:lang w:val="en-US" w:eastAsia="zh-CN"/>
              </w:rPr>
            </w:pPr>
            <w:r>
              <w:rPr>
                <w:rFonts w:hint="eastAsia" w:eastAsia="宋体"/>
                <w:sz w:val="18"/>
                <w:szCs w:val="18"/>
                <w:shd w:val="clear" w:color="auto" w:fill="FFFFFF"/>
                <w:lang w:val="en-US" w:eastAsia="zh-CN"/>
              </w:rPr>
              <w:t>2</w:t>
            </w:r>
          </w:p>
        </w:tc>
        <w:tc>
          <w:tcPr>
            <w:tcW w:w="4320" w:type="dxa"/>
          </w:tcPr>
          <w:p>
            <w:pPr>
              <w:spacing w:before="96" w:beforeLines="40" w:after="96" w:afterLines="40" w:line="24" w:lineRule="atLeast"/>
              <w:textAlignment w:val="baseline"/>
              <w:rPr>
                <w:rFonts w:eastAsia="Times New Roman"/>
                <w:sz w:val="18"/>
                <w:szCs w:val="18"/>
                <w:shd w:val="clear" w:color="auto" w:fill="FFFFFF"/>
                <w:lang w:val="en-GB" w:eastAsia="en-GB"/>
              </w:rPr>
            </w:pPr>
            <w:r>
              <w:rPr>
                <w:rFonts w:ascii="宋体" w:hAnsi="宋体" w:eastAsia="宋体" w:cs="宋体"/>
                <w:sz w:val="24"/>
                <w:szCs w:val="24"/>
              </w:rPr>
              <w:t>NAFLD and inflammatory proteins were assessed using established diagnostic criteria and genetic association studies.</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shd w:val="clear" w:color="auto" w:fill="EEEEEE"/>
          </w:tcPr>
          <w:p>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Provide details of ethics committee approval and participant informed consent, if relevant</w:t>
            </w:r>
          </w:p>
        </w:tc>
        <w:tc>
          <w:tcPr>
            <w:tcW w:w="720" w:type="dxa"/>
            <w:shd w:val="clear" w:color="auto" w:fill="EEEEEE"/>
          </w:tcPr>
          <w:p>
            <w:pPr>
              <w:spacing w:before="96" w:beforeLines="40" w:after="96" w:afterLines="40" w:line="24" w:lineRule="atLeast"/>
              <w:textAlignment w:val="baseline"/>
              <w:rPr>
                <w:rFonts w:hint="eastAsia" w:eastAsia="宋体"/>
                <w:sz w:val="18"/>
                <w:szCs w:val="18"/>
                <w:shd w:val="clear" w:color="auto" w:fill="FFFFFF"/>
                <w:lang w:val="en-US" w:eastAsia="zh-CN"/>
              </w:rPr>
            </w:pPr>
            <w:r>
              <w:rPr>
                <w:rFonts w:hint="eastAsia" w:eastAsia="宋体"/>
                <w:sz w:val="18"/>
                <w:szCs w:val="18"/>
                <w:shd w:val="clear" w:color="auto" w:fill="FFFFFF"/>
                <w:lang w:val="en-US" w:eastAsia="zh-CN"/>
              </w:rPr>
              <w:t>2</w:t>
            </w:r>
          </w:p>
        </w:tc>
        <w:tc>
          <w:tcPr>
            <w:tcW w:w="4320" w:type="dxa"/>
            <w:shd w:val="clear" w:color="auto" w:fill="EEEEEE"/>
          </w:tcPr>
          <w:p>
            <w:pPr>
              <w:spacing w:before="96" w:beforeLines="40" w:after="96" w:afterLines="40" w:line="24" w:lineRule="atLeast"/>
              <w:textAlignment w:val="baseline"/>
              <w:rPr>
                <w:rFonts w:eastAsia="Times New Roman"/>
                <w:sz w:val="18"/>
                <w:szCs w:val="18"/>
                <w:shd w:val="clear" w:color="auto" w:fill="FFFFFF"/>
                <w:lang w:val="en-GB" w:eastAsia="en-GB"/>
              </w:rPr>
            </w:pPr>
            <w:r>
              <w:rPr>
                <w:rFonts w:ascii="宋体" w:hAnsi="宋体" w:eastAsia="宋体" w:cs="宋体"/>
                <w:sz w:val="24"/>
                <w:szCs w:val="24"/>
              </w:rPr>
              <w:t>Ethical approval and informed consent were obtained for all original studies contributing data to the GWAS consortia.</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5</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Assumptions</w:t>
            </w:r>
          </w:p>
          <w:p>
            <w:pPr>
              <w:spacing w:before="96" w:beforeLines="40" w:after="96" w:afterLines="40" w:line="24" w:lineRule="atLeast"/>
              <w:jc w:val="center"/>
              <w:rPr>
                <w:rFonts w:eastAsia="Cambria"/>
                <w:sz w:val="18"/>
                <w:szCs w:val="18"/>
                <w:lang w:val="en-GB" w:eastAsia="en-US"/>
              </w:rPr>
            </w:pP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keepNext w:val="0"/>
              <w:keepLines w:val="0"/>
              <w:widowControl/>
              <w:suppressLineNumbers w:val="0"/>
            </w:pPr>
            <w:r>
              <w:rPr>
                <w:rFonts w:ascii="Symbol" w:hAnsi="Symbol" w:eastAsia="Symbol" w:cs="Symbol"/>
                <w:sz w:val="24"/>
              </w:rPr>
              <w:t>·</w:t>
            </w:r>
            <w:r>
              <w:rPr>
                <w:rFonts w:hint="eastAsia" w:ascii="宋体" w:hAnsi="宋体" w:eastAsia="宋体" w:cs="宋体"/>
                <w:sz w:val="24"/>
              </w:rPr>
              <w:t xml:space="preserve">  </w:t>
            </w:r>
            <w:r>
              <w:t>Relevance: Genetic variants are associated with the exposure (inflammatory proteins).</w:t>
            </w:r>
          </w:p>
          <w:p>
            <w:pPr>
              <w:keepNext w:val="0"/>
              <w:keepLines w:val="0"/>
              <w:widowControl/>
              <w:suppressLineNumbers w:val="0"/>
            </w:pPr>
            <w:r>
              <w:rPr>
                <w:rFonts w:hint="default" w:ascii="Symbol" w:hAnsi="Symbol" w:eastAsia="Symbol" w:cs="Symbol"/>
                <w:sz w:val="24"/>
              </w:rPr>
              <w:t>·</w:t>
            </w:r>
            <w:r>
              <w:rPr>
                <w:rFonts w:hint="eastAsia" w:ascii="宋体" w:hAnsi="宋体" w:eastAsia="宋体" w:cs="宋体"/>
                <w:sz w:val="24"/>
              </w:rPr>
              <w:t xml:space="preserve">  </w:t>
            </w:r>
            <w:r>
              <w:t>Independence: Genetic variants are not associated with confounders.</w:t>
            </w:r>
          </w:p>
          <w:p>
            <w:pPr>
              <w:keepNext w:val="0"/>
              <w:keepLines w:val="0"/>
              <w:widowControl/>
              <w:suppressLineNumbers w:val="0"/>
            </w:pPr>
            <w:r>
              <w:rPr>
                <w:rFonts w:hint="default" w:ascii="Symbol" w:hAnsi="Symbol" w:eastAsia="Symbol" w:cs="Symbol"/>
                <w:sz w:val="24"/>
              </w:rPr>
              <w:t>·</w:t>
            </w:r>
            <w:r>
              <w:rPr>
                <w:rFonts w:hint="eastAsia" w:ascii="宋体" w:hAnsi="宋体" w:eastAsia="宋体" w:cs="宋体"/>
                <w:sz w:val="24"/>
              </w:rPr>
              <w:t xml:space="preserve">  </w:t>
            </w:r>
            <w:r>
              <w:t>Exclusion restriction: Genetic variants affect the outcome (NAFLD) only through the exposure.</w:t>
            </w:r>
          </w:p>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6</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Statistical methods: main analysis</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statistical methods and statistics used</w:t>
            </w:r>
          </w:p>
        </w:tc>
        <w:tc>
          <w:tcPr>
            <w:tcW w:w="720" w:type="dxa"/>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3</w:t>
            </w:r>
          </w:p>
        </w:tc>
        <w:tc>
          <w:tcPr>
            <w:tcW w:w="4320" w:type="dxa"/>
            <w:shd w:val="clear" w:color="auto" w:fill="EEEEEE"/>
          </w:tcPr>
          <w:p>
            <w:pPr>
              <w:pStyle w:val="3"/>
              <w:keepNext w:val="0"/>
              <w:keepLines w:val="0"/>
              <w:widowControl/>
              <w:suppressLineNumbers w:val="0"/>
            </w:pPr>
          </w:p>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how quantitative variables were handled in the analyses (i.e., scale, units, model)</w:t>
            </w:r>
          </w:p>
        </w:tc>
        <w:tc>
          <w:tcPr>
            <w:tcW w:w="720" w:type="dxa"/>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3</w:t>
            </w:r>
          </w:p>
        </w:tc>
        <w:tc>
          <w:tcPr>
            <w:tcW w:w="4320" w:type="dxa"/>
          </w:tcPr>
          <w:p>
            <w:pPr>
              <w:spacing w:before="96" w:beforeLines="40" w:after="96" w:afterLines="40" w:line="24" w:lineRule="atLeast"/>
              <w:rPr>
                <w:rFonts w:eastAsia="Times New Roman"/>
                <w:sz w:val="18"/>
                <w:szCs w:val="18"/>
                <w:lang w:val="en-GB" w:eastAsia="en-GB"/>
              </w:rPr>
            </w:pPr>
            <w:r>
              <w:t>Quantitative variables were analyzed using standardized effect sizes from GWAS summary statistics.</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how genetic variants were handled in the analyses and, if applicable, how their weights were selected</w:t>
            </w:r>
          </w:p>
        </w:tc>
        <w:tc>
          <w:tcPr>
            <w:tcW w:w="720" w:type="dxa"/>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3</w:t>
            </w:r>
          </w:p>
        </w:tc>
        <w:tc>
          <w:tcPr>
            <w:tcW w:w="4320" w:type="dxa"/>
            <w:shd w:val="clear" w:color="auto" w:fill="EEEEEE"/>
          </w:tcPr>
          <w:p>
            <w:pPr>
              <w:spacing w:before="96" w:beforeLines="40" w:after="96" w:afterLines="40" w:line="24" w:lineRule="atLeast"/>
              <w:rPr>
                <w:rFonts w:eastAsia="Times New Roman"/>
                <w:sz w:val="18"/>
                <w:szCs w:val="18"/>
                <w:lang w:val="en-GB" w:eastAsia="en-GB"/>
              </w:rPr>
            </w:pPr>
            <w:r>
              <w:t>Genetic variants were selected based on genome-wide significance (P &lt; 5×10^-6) and linkage disequilibrium thresholds (R^2 &lt; 0.001).</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3</w:t>
            </w:r>
          </w:p>
        </w:tc>
        <w:tc>
          <w:tcPr>
            <w:tcW w:w="4320" w:type="dxa"/>
          </w:tcPr>
          <w:p>
            <w:pPr>
              <w:spacing w:before="96" w:beforeLines="40" w:after="96" w:afterLines="40" w:line="24" w:lineRule="atLeast"/>
              <w:rPr>
                <w:rFonts w:eastAsia="Times New Roman"/>
                <w:sz w:val="18"/>
                <w:szCs w:val="18"/>
                <w:lang w:val="en-GB" w:eastAsia="en-GB"/>
              </w:rPr>
            </w:pPr>
            <w:r>
              <w:t>The MR estimator used was the Inverse Variance Weighted (IVW) method, along with other methods for robustness checks (e.g., MR-Egger, Weighted Median).</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Explain how missing data were addressed</w:t>
            </w:r>
          </w:p>
        </w:tc>
        <w:tc>
          <w:tcPr>
            <w:tcW w:w="720" w:type="dxa"/>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3</w:t>
            </w:r>
          </w:p>
        </w:tc>
        <w:tc>
          <w:tcPr>
            <w:tcW w:w="4320" w:type="dxa"/>
            <w:shd w:val="clear" w:color="auto" w:fill="EEEEEE"/>
          </w:tcPr>
          <w:p>
            <w:pPr>
              <w:spacing w:before="96" w:beforeLines="40" w:after="96" w:afterLines="40" w:line="24" w:lineRule="atLeast"/>
              <w:rPr>
                <w:rFonts w:eastAsia="Times New Roman"/>
                <w:sz w:val="18"/>
                <w:szCs w:val="18"/>
                <w:lang w:val="en-GB" w:eastAsia="en-GB"/>
              </w:rPr>
            </w:pPr>
            <w:r>
              <w:t>Missing data were addressed by using complete summary statistics from GWAS.</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applicable, indicate how multiple testing was addressed</w:t>
            </w:r>
          </w:p>
        </w:tc>
        <w:tc>
          <w:tcPr>
            <w:tcW w:w="720" w:type="dxa"/>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3</w:t>
            </w:r>
          </w:p>
        </w:tc>
        <w:tc>
          <w:tcPr>
            <w:tcW w:w="4320" w:type="dxa"/>
          </w:tcPr>
          <w:p>
            <w:pPr>
              <w:spacing w:before="96" w:beforeLines="40" w:after="96" w:afterLines="40" w:line="24" w:lineRule="atLeast"/>
              <w:rPr>
                <w:rFonts w:eastAsia="Times New Roman"/>
                <w:sz w:val="18"/>
                <w:szCs w:val="18"/>
                <w:lang w:val="en-GB" w:eastAsia="en-GB"/>
              </w:rPr>
            </w:pPr>
            <w:r>
              <w:t>Multiple testing was addressed by using the False Discovery Rate (FDR) method.</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7</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7041" w:type="dxa"/>
            <w:shd w:val="clear" w:color="auto" w:fill="EEEEEE"/>
          </w:tcPr>
          <w:p>
            <w:pPr>
              <w:tabs>
                <w:tab w:val="left" w:pos="1620"/>
              </w:tabs>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any methods or prior knowledge used to assess the assumptions or justify their validity</w:t>
            </w:r>
            <w:r>
              <w:rPr>
                <w:rFonts w:eastAsia="Cambria"/>
                <w:sz w:val="18"/>
                <w:szCs w:val="18"/>
                <w:lang w:val="en-GB" w:eastAsia="en-US"/>
              </w:rPr>
              <w:tab/>
            </w:r>
          </w:p>
        </w:tc>
        <w:tc>
          <w:tcPr>
            <w:tcW w:w="720" w:type="dxa"/>
            <w:shd w:val="clear" w:color="auto" w:fill="EEEEEE"/>
          </w:tcPr>
          <w:p>
            <w:pPr>
              <w:tabs>
                <w:tab w:val="left" w:pos="1620"/>
              </w:tabs>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4</w:t>
            </w:r>
          </w:p>
        </w:tc>
        <w:tc>
          <w:tcPr>
            <w:tcW w:w="4320" w:type="dxa"/>
            <w:shd w:val="clear" w:color="auto" w:fill="EEEEEE"/>
          </w:tcPr>
          <w:p>
            <w:pPr>
              <w:tabs>
                <w:tab w:val="left" w:pos="1620"/>
              </w:tabs>
              <w:spacing w:before="96" w:beforeLines="40" w:after="96" w:afterLines="40" w:line="24" w:lineRule="atLeast"/>
              <w:rPr>
                <w:rFonts w:eastAsia="Times New Roman"/>
                <w:sz w:val="18"/>
                <w:szCs w:val="18"/>
                <w:lang w:val="en-GB" w:eastAsia="en-GB"/>
              </w:rPr>
            </w:pPr>
            <w:r>
              <w:rPr>
                <w:rFonts w:ascii="宋体" w:hAnsi="宋体" w:eastAsia="宋体" w:cs="宋体"/>
                <w:sz w:val="24"/>
                <w:szCs w:val="24"/>
              </w:rPr>
              <w:t>Assumptions were assessed using methods such as MR-Egger intercept for pleiotropy and Cochran’s Q test for heterogeneity.</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8</w:t>
            </w:r>
          </w:p>
        </w:tc>
        <w:tc>
          <w:tcPr>
            <w:tcW w:w="1822" w:type="dxa"/>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Sensitivity analyses and additional analyses</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4</w:t>
            </w:r>
          </w:p>
        </w:tc>
        <w:tc>
          <w:tcPr>
            <w:tcW w:w="4320" w:type="dxa"/>
          </w:tcPr>
          <w:p>
            <w:pPr>
              <w:spacing w:before="96" w:beforeLines="40" w:after="96" w:afterLines="40" w:line="24" w:lineRule="atLeast"/>
              <w:rPr>
                <w:rFonts w:eastAsia="Times New Roman"/>
                <w:sz w:val="18"/>
                <w:szCs w:val="18"/>
                <w:lang w:val="en-GB" w:eastAsia="en-GB"/>
              </w:rPr>
            </w:pPr>
            <w:r>
              <w:rPr>
                <w:rFonts w:ascii="宋体" w:hAnsi="宋体" w:eastAsia="宋体" w:cs="宋体"/>
                <w:sz w:val="24"/>
                <w:szCs w:val="24"/>
              </w:rPr>
              <w:t>Sensitivity analyses included leave-one-out analysis, MR-Egger, and Weighted Median methods to test robustness of the results.</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9</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Software and pre-registration</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720" w:type="dxa"/>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4</w:t>
            </w:r>
          </w:p>
        </w:tc>
        <w:tc>
          <w:tcPr>
            <w:tcW w:w="4320" w:type="dxa"/>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Name statistical software and package(s), including version and settings used </w:t>
            </w:r>
          </w:p>
        </w:tc>
        <w:tc>
          <w:tcPr>
            <w:tcW w:w="720" w:type="dxa"/>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4</w:t>
            </w:r>
          </w:p>
        </w:tc>
        <w:tc>
          <w:tcPr>
            <w:tcW w:w="4320" w:type="dxa"/>
          </w:tcPr>
          <w:p>
            <w:pPr>
              <w:spacing w:before="96" w:beforeLines="40" w:after="96" w:afterLines="40" w:line="24" w:lineRule="atLeast"/>
              <w:rPr>
                <w:rFonts w:eastAsia="Times New Roman"/>
                <w:sz w:val="18"/>
                <w:szCs w:val="18"/>
                <w:lang w:val="en-GB" w:eastAsia="en-GB"/>
              </w:rPr>
            </w:pPr>
            <w:r>
              <w:rPr>
                <w:rFonts w:ascii="宋体" w:hAnsi="宋体" w:eastAsia="宋体" w:cs="宋体"/>
                <w:sz w:val="24"/>
                <w:szCs w:val="24"/>
              </w:rPr>
              <w:t>Statistical software: R software (version 4.3.1) with TwoSampleMR (version 0.5.6) and MRPRESSO (version 1.0) packages.</w:t>
            </w:r>
          </w:p>
        </w:tc>
      </w:tr>
      <w:tr>
        <w:tblPrEx>
          <w:tblCellMar>
            <w:top w:w="0" w:type="dxa"/>
            <w:left w:w="108" w:type="dxa"/>
            <w:bottom w:w="0" w:type="dxa"/>
            <w:right w:w="108" w:type="dxa"/>
          </w:tblCellMar>
        </w:tblPrEx>
        <w:tc>
          <w:tcPr>
            <w:tcW w:w="587" w:type="dxa"/>
            <w:tcBorders>
              <w:bottom w:val="single" w:color="7F7F7F" w:sz="6" w:space="0"/>
            </w:tcBorders>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tcBorders>
              <w:bottom w:val="single" w:color="7F7F7F" w:sz="6" w:space="0"/>
            </w:tcBorders>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tcBorders>
              <w:bottom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State whether the study protocol and details were pre-registered (as well as when and where)</w:t>
            </w:r>
          </w:p>
        </w:tc>
        <w:tc>
          <w:tcPr>
            <w:tcW w:w="720" w:type="dxa"/>
            <w:tcBorders>
              <w:bottom w:val="single" w:color="7F7F7F" w:sz="6" w:space="0"/>
            </w:tcBorders>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4</w:t>
            </w:r>
          </w:p>
        </w:tc>
        <w:tc>
          <w:tcPr>
            <w:tcW w:w="4320"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ascii="宋体" w:hAnsi="宋体" w:eastAsia="宋体" w:cs="宋体"/>
                <w:sz w:val="24"/>
                <w:szCs w:val="24"/>
              </w:rPr>
              <w:t>Pre-registration: The study protocol and details were pre-registered in relevant databases.</w:t>
            </w:r>
          </w:p>
        </w:tc>
      </w:tr>
      <w:tr>
        <w:tblPrEx>
          <w:tblCellMar>
            <w:top w:w="0" w:type="dxa"/>
            <w:left w:w="108" w:type="dxa"/>
            <w:bottom w:w="0" w:type="dxa"/>
            <w:right w:w="108" w:type="dxa"/>
          </w:tblCellMar>
        </w:tblPrEx>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RESULTS</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10</w:t>
            </w:r>
          </w:p>
        </w:tc>
        <w:tc>
          <w:tcPr>
            <w:tcW w:w="182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Descriptive data</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720" w:type="dxa"/>
            <w:shd w:val="clear" w:color="auto" w:fill="EEEEEE"/>
          </w:tcPr>
          <w:p>
            <w:pPr>
              <w:spacing w:before="96" w:beforeLines="40" w:after="96" w:afterLines="40" w:line="24" w:lineRule="atLeast"/>
              <w:rPr>
                <w:rFonts w:eastAsia="Cambria"/>
                <w:sz w:val="18"/>
                <w:szCs w:val="18"/>
                <w:lang w:val="en-GB" w:eastAsia="en-US"/>
              </w:rPr>
            </w:pPr>
          </w:p>
        </w:tc>
        <w:tc>
          <w:tcPr>
            <w:tcW w:w="4320" w:type="dxa"/>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numbers of individuals at each stage of included studies and reasons for exclusion. Consider use of a flow diagram</w:t>
            </w:r>
          </w:p>
        </w:tc>
        <w:tc>
          <w:tcPr>
            <w:tcW w:w="720" w:type="dxa"/>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5</w:t>
            </w:r>
          </w:p>
        </w:tc>
        <w:tc>
          <w:tcPr>
            <w:tcW w:w="4320" w:type="dxa"/>
          </w:tcPr>
          <w:p>
            <w:pPr>
              <w:spacing w:before="96" w:beforeLines="40" w:after="96" w:afterLines="40" w:line="24" w:lineRule="atLeast"/>
              <w:rPr>
                <w:rFonts w:eastAsia="Times New Roman"/>
                <w:sz w:val="18"/>
                <w:szCs w:val="18"/>
                <w:lang w:val="en-GB" w:eastAsia="en-GB"/>
              </w:rPr>
            </w:pPr>
            <w:r>
              <w:rPr>
                <w:rFonts w:ascii="宋体" w:hAnsi="宋体" w:eastAsia="宋体" w:cs="宋体"/>
                <w:sz w:val="24"/>
                <w:szCs w:val="24"/>
              </w:rPr>
              <w:t>Numbers of individuals at each stage and reasons for exclusion were documented.</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Report summary statistics for phenotypic exposure(s), outcome(s), and other relevant variables (e.g. means, SDs, proportions)</w:t>
            </w:r>
          </w:p>
        </w:tc>
        <w:tc>
          <w:tcPr>
            <w:tcW w:w="720" w:type="dxa"/>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5</w:t>
            </w:r>
          </w:p>
        </w:tc>
        <w:tc>
          <w:tcPr>
            <w:tcW w:w="4320" w:type="dxa"/>
            <w:shd w:val="clear" w:color="auto" w:fill="EEEEEE"/>
          </w:tcPr>
          <w:p>
            <w:pPr>
              <w:spacing w:before="96" w:beforeLines="40" w:after="96" w:afterLines="40" w:line="24" w:lineRule="atLeast"/>
              <w:rPr>
                <w:rFonts w:eastAsia="Times New Roman"/>
                <w:sz w:val="18"/>
                <w:szCs w:val="18"/>
                <w:lang w:val="en-GB" w:eastAsia="en-GB"/>
              </w:rPr>
            </w:pPr>
            <w:r>
              <w:rPr>
                <w:rFonts w:ascii="宋体" w:hAnsi="宋体" w:eastAsia="宋体" w:cs="宋体"/>
                <w:sz w:val="24"/>
                <w:szCs w:val="24"/>
              </w:rPr>
              <w:t>Summary statistics for phenotypic exposures, outcomes, and other relevant variables were reported.</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the data sources include meta-analyses of previous studies, provide the assessments of heterogeneity across these studies</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eastAsia="Times New Roman"/>
                <w:sz w:val="18"/>
                <w:szCs w:val="18"/>
                <w:lang w:val="en-GB" w:eastAsia="en-GB"/>
              </w:rPr>
            </w:pPr>
            <w:r>
              <w:rPr>
                <w:rFonts w:ascii="宋体" w:hAnsi="宋体" w:eastAsia="宋体" w:cs="宋体"/>
                <w:sz w:val="24"/>
                <w:szCs w:val="24"/>
              </w:rPr>
              <w:t>Meta-analyses of previous studies included assessments of heterogeneity.</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For </w:t>
            </w:r>
            <w:r>
              <w:rPr>
                <w:rFonts w:eastAsia="Times New Roman"/>
                <w:iCs/>
                <w:sz w:val="18"/>
                <w:szCs w:val="18"/>
                <w:lang w:val="en-GB" w:eastAsia="en-GB"/>
              </w:rPr>
              <w:t>two-sample</w:t>
            </w:r>
            <w:r>
              <w:rPr>
                <w:rFonts w:eastAsia="Times New Roman"/>
                <w:sz w:val="18"/>
                <w:szCs w:val="18"/>
                <w:lang w:val="en-GB" w:eastAsia="en-GB"/>
              </w:rPr>
              <w:t xml:space="preserve"> MR:</w:t>
            </w:r>
          </w:p>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   i.  Provide justification of the similarity of the genetic variant-exposure associations between the exposure and outcome samples</w:t>
            </w:r>
          </w:p>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   ii.  Provide information on the number of individuals who overlap between the exposure and outcome studies</w:t>
            </w:r>
          </w:p>
        </w:tc>
        <w:tc>
          <w:tcPr>
            <w:tcW w:w="720" w:type="dxa"/>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5</w:t>
            </w:r>
          </w:p>
        </w:tc>
        <w:tc>
          <w:tcPr>
            <w:tcW w:w="4320" w:type="dxa"/>
            <w:shd w:val="clear" w:color="auto" w:fill="EEEEEE"/>
          </w:tcPr>
          <w:p>
            <w:pPr>
              <w:spacing w:before="96" w:beforeLines="40" w:after="96" w:afterLines="40" w:line="24" w:lineRule="atLeast"/>
              <w:rPr>
                <w:rFonts w:eastAsia="Times New Roman"/>
                <w:sz w:val="18"/>
                <w:szCs w:val="18"/>
                <w:lang w:val="en-GB" w:eastAsia="en-GB"/>
              </w:rPr>
            </w:pPr>
            <w:r>
              <w:rPr>
                <w:rFonts w:ascii="宋体" w:hAnsi="宋体" w:eastAsia="宋体" w:cs="宋体"/>
                <w:sz w:val="24"/>
                <w:szCs w:val="24"/>
              </w:rPr>
              <w:t>Two-sample MR: i. Justification of the similarity of genetic variant-exposure associations was provided. ii. Information on the number of overlapping individuals between exposure and outcome studies was included.</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11</w:t>
            </w:r>
          </w:p>
        </w:tc>
        <w:tc>
          <w:tcPr>
            <w:tcW w:w="1822" w:type="dxa"/>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Main results</w:t>
            </w:r>
          </w:p>
        </w:tc>
        <w:tc>
          <w:tcPr>
            <w:tcW w:w="7041" w:type="dxa"/>
            <w:shd w:val="clear" w:color="auto" w:fill="auto"/>
          </w:tcPr>
          <w:p>
            <w:pPr>
              <w:spacing w:before="96" w:beforeLines="40" w:after="96" w:afterLines="40" w:line="24" w:lineRule="atLeast"/>
              <w:rPr>
                <w:rFonts w:eastAsia="Cambria"/>
                <w:sz w:val="18"/>
                <w:szCs w:val="18"/>
                <w:lang w:val="en-GB" w:eastAsia="en-US"/>
              </w:rPr>
            </w:pPr>
          </w:p>
        </w:tc>
        <w:tc>
          <w:tcPr>
            <w:tcW w:w="720" w:type="dxa"/>
          </w:tcPr>
          <w:p>
            <w:pPr>
              <w:spacing w:before="96" w:beforeLines="40" w:after="96" w:afterLines="40" w:line="24" w:lineRule="atLeast"/>
              <w:rPr>
                <w:rFonts w:eastAsia="Cambria"/>
                <w:sz w:val="18"/>
                <w:szCs w:val="18"/>
                <w:lang w:val="en-GB" w:eastAsia="en-US"/>
              </w:rPr>
            </w:pPr>
          </w:p>
        </w:tc>
        <w:tc>
          <w:tcPr>
            <w:tcW w:w="4320" w:type="dxa"/>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6</w:t>
            </w:r>
          </w:p>
        </w:tc>
        <w:tc>
          <w:tcPr>
            <w:tcW w:w="4320" w:type="dxa"/>
            <w:shd w:val="clear" w:color="auto" w:fill="EEEEEE"/>
          </w:tcPr>
          <w:p>
            <w:pPr>
              <w:spacing w:before="96" w:beforeLines="40" w:after="96" w:afterLines="40" w:line="24" w:lineRule="atLeast"/>
              <w:rPr>
                <w:rFonts w:eastAsia="Times New Roman"/>
                <w:sz w:val="18"/>
                <w:szCs w:val="18"/>
                <w:lang w:val="en-GB" w:eastAsia="en-GB"/>
              </w:rPr>
            </w:pPr>
            <w:r>
              <w:rPr>
                <w:rFonts w:ascii="宋体" w:hAnsi="宋体" w:eastAsia="宋体" w:cs="宋体"/>
                <w:sz w:val="24"/>
                <w:szCs w:val="24"/>
              </w:rPr>
              <w:t>Associations between genetic variants and exposure, and between genetic variants and outcome, were reported.</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MR estimates of the relationship between exposure and outcome, and the measures of uncertainty from the MR analysis, on an interpretable scale, such as odds ratio or relative risk per SD difference</w:t>
            </w:r>
          </w:p>
        </w:tc>
        <w:tc>
          <w:tcPr>
            <w:tcW w:w="720" w:type="dxa"/>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6</w:t>
            </w:r>
          </w:p>
        </w:tc>
        <w:tc>
          <w:tcPr>
            <w:tcW w:w="4320" w:type="dxa"/>
          </w:tcPr>
          <w:p>
            <w:pPr>
              <w:spacing w:before="96" w:beforeLines="40" w:after="96" w:afterLines="40" w:line="24" w:lineRule="atLeast"/>
              <w:rPr>
                <w:rFonts w:eastAsia="Times New Roman"/>
                <w:sz w:val="18"/>
                <w:szCs w:val="18"/>
                <w:lang w:val="en-GB" w:eastAsia="en-GB"/>
              </w:rPr>
            </w:pPr>
            <w:r>
              <w:rPr>
                <w:rFonts w:ascii="宋体" w:hAnsi="宋体" w:eastAsia="宋体" w:cs="宋体"/>
                <w:sz w:val="24"/>
                <w:szCs w:val="24"/>
              </w:rPr>
              <w:t>MR estimates of the relationship between exposure and outcome, with measures of uncertainty, were provided.</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relevant, consider translating estimates of relative risk into absolute risk for a meaningful time period</w:t>
            </w:r>
          </w:p>
        </w:tc>
        <w:tc>
          <w:tcPr>
            <w:tcW w:w="720" w:type="dxa"/>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6</w:t>
            </w:r>
          </w:p>
        </w:tc>
        <w:tc>
          <w:tcPr>
            <w:tcW w:w="4320" w:type="dxa"/>
            <w:shd w:val="clear" w:color="auto" w:fill="EEEEEE"/>
          </w:tcPr>
          <w:p>
            <w:pPr>
              <w:spacing w:before="96" w:beforeLines="40" w:after="96" w:afterLines="40" w:line="24" w:lineRule="atLeast"/>
              <w:rPr>
                <w:rFonts w:eastAsia="Times New Roman"/>
                <w:sz w:val="18"/>
                <w:szCs w:val="18"/>
                <w:lang w:val="en-GB" w:eastAsia="en-GB"/>
              </w:rPr>
            </w:pPr>
            <w:r>
              <w:rPr>
                <w:rFonts w:ascii="宋体" w:hAnsi="宋体" w:eastAsia="宋体" w:cs="宋体"/>
                <w:sz w:val="24"/>
                <w:szCs w:val="24"/>
              </w:rPr>
              <w:t>Estimates of relative risk were translated into absolute risk where relevant.</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720" w:type="dxa"/>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6</w:t>
            </w:r>
          </w:p>
        </w:tc>
        <w:tc>
          <w:tcPr>
            <w:tcW w:w="4320" w:type="dxa"/>
          </w:tcPr>
          <w:p>
            <w:pPr>
              <w:spacing w:before="96" w:beforeLines="40" w:after="96" w:afterLines="40" w:line="24" w:lineRule="atLeast"/>
              <w:rPr>
                <w:rFonts w:eastAsia="Times New Roman"/>
                <w:sz w:val="18"/>
                <w:szCs w:val="18"/>
                <w:lang w:val="en-GB" w:eastAsia="en-GB"/>
              </w:rPr>
            </w:pPr>
            <w:r>
              <w:rPr>
                <w:rFonts w:ascii="宋体" w:hAnsi="宋体" w:eastAsia="宋体" w:cs="宋体"/>
                <w:sz w:val="24"/>
                <w:szCs w:val="24"/>
              </w:rPr>
              <w:t>Plots visualizing results (e.g., forest plots, scatterplots) were considered.</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12</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720" w:type="dxa"/>
            <w:shd w:val="clear" w:color="auto" w:fill="EEEEEE"/>
          </w:tcPr>
          <w:p>
            <w:pPr>
              <w:spacing w:before="96" w:beforeLines="40" w:after="96" w:afterLines="40" w:line="24" w:lineRule="atLeast"/>
              <w:rPr>
                <w:rFonts w:eastAsia="Cambria"/>
                <w:sz w:val="18"/>
                <w:szCs w:val="18"/>
                <w:lang w:val="en-GB" w:eastAsia="en-US"/>
              </w:rPr>
            </w:pPr>
          </w:p>
        </w:tc>
        <w:tc>
          <w:tcPr>
            <w:tcW w:w="4320" w:type="dxa"/>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assessment of the validity of the assumptions</w:t>
            </w:r>
          </w:p>
        </w:tc>
        <w:tc>
          <w:tcPr>
            <w:tcW w:w="720" w:type="dxa"/>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6</w:t>
            </w:r>
          </w:p>
        </w:tc>
        <w:tc>
          <w:tcPr>
            <w:tcW w:w="4320" w:type="dxa"/>
          </w:tcPr>
          <w:p>
            <w:pPr>
              <w:spacing w:before="96" w:beforeLines="40" w:after="96" w:afterLines="40" w:line="24" w:lineRule="atLeast"/>
              <w:rPr>
                <w:rFonts w:eastAsia="Times New Roman"/>
                <w:sz w:val="18"/>
                <w:szCs w:val="18"/>
                <w:lang w:val="en-GB" w:eastAsia="en-GB"/>
              </w:rPr>
            </w:pPr>
            <w:r>
              <w:rPr>
                <w:rFonts w:ascii="宋体" w:hAnsi="宋体" w:eastAsia="宋体" w:cs="宋体"/>
                <w:sz w:val="24"/>
                <w:szCs w:val="24"/>
              </w:rPr>
              <w:t>Assessment of the validity of the assumptions was reported.</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Report any additional statistics (e.g., assessments of heterogeneity </w:t>
            </w:r>
            <w:r>
              <w:rPr>
                <w:rFonts w:eastAsia="Times New Roman"/>
                <w:sz w:val="18"/>
                <w:szCs w:val="18"/>
                <w:lang w:eastAsia="en-GB"/>
              </w:rPr>
              <w:t>across genetic variants</w:t>
            </w:r>
            <w:r>
              <w:rPr>
                <w:rFonts w:eastAsia="Times New Roman"/>
                <w:sz w:val="18"/>
                <w:szCs w:val="18"/>
                <w:lang w:val="en-GB" w:eastAsia="en-GB"/>
              </w:rPr>
              <w:t xml:space="preserve">, such as </w:t>
            </w:r>
            <w:r>
              <w:rPr>
                <w:rFonts w:eastAsia="Times New Roman"/>
                <w:i/>
                <w:sz w:val="18"/>
                <w:szCs w:val="18"/>
                <w:lang w:val="en-GB" w:eastAsia="en-GB"/>
              </w:rPr>
              <w:t>I</w:t>
            </w:r>
            <w:r>
              <w:rPr>
                <w:rFonts w:eastAsia="Times New Roman"/>
                <w:i/>
                <w:sz w:val="18"/>
                <w:szCs w:val="18"/>
                <w:vertAlign w:val="superscript"/>
                <w:lang w:val="en-GB" w:eastAsia="en-GB"/>
              </w:rPr>
              <w:t>2</w:t>
            </w:r>
            <w:r>
              <w:rPr>
                <w:rFonts w:eastAsia="Times New Roman"/>
                <w:sz w:val="18"/>
                <w:szCs w:val="18"/>
                <w:lang w:val="en-GB" w:eastAsia="en-GB"/>
              </w:rPr>
              <w:t>, Q statistic or E-value)</w:t>
            </w:r>
          </w:p>
        </w:tc>
        <w:tc>
          <w:tcPr>
            <w:tcW w:w="720" w:type="dxa"/>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6</w:t>
            </w:r>
          </w:p>
        </w:tc>
        <w:tc>
          <w:tcPr>
            <w:tcW w:w="4320" w:type="dxa"/>
            <w:shd w:val="clear" w:color="auto" w:fill="EEEEEE"/>
          </w:tcPr>
          <w:p>
            <w:pPr>
              <w:spacing w:before="96" w:beforeLines="40" w:after="96" w:afterLines="40" w:line="24" w:lineRule="atLeast"/>
              <w:rPr>
                <w:rFonts w:eastAsia="Times New Roman"/>
                <w:b/>
                <w:bCs/>
                <w:sz w:val="18"/>
                <w:szCs w:val="18"/>
                <w:lang w:val="en-GB" w:eastAsia="en-GB"/>
              </w:rPr>
            </w:pPr>
            <w:r>
              <w:rPr>
                <w:rFonts w:ascii="宋体" w:hAnsi="宋体" w:eastAsia="宋体" w:cs="宋体"/>
                <w:sz w:val="24"/>
                <w:szCs w:val="24"/>
              </w:rPr>
              <w:t>Additional statistics, such as I</w:t>
            </w:r>
            <w:r>
              <w:rPr>
                <w:rFonts w:ascii="宋体" w:hAnsi="宋体" w:eastAsia="宋体" w:cs="宋体"/>
                <w:sz w:val="24"/>
                <w:szCs w:val="24"/>
                <w:vertAlign w:val="superscript"/>
              </w:rPr>
              <w:t xml:space="preserve">2 </w:t>
            </w:r>
            <w:r>
              <w:rPr>
                <w:rFonts w:ascii="宋体" w:hAnsi="宋体" w:eastAsia="宋体" w:cs="宋体"/>
                <w:sz w:val="24"/>
                <w:szCs w:val="24"/>
              </w:rPr>
              <w:t>and Q statistics, were included.</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13</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Sensitivity analyses and additional analyses</w:t>
            </w:r>
          </w:p>
        </w:tc>
        <w:tc>
          <w:tcPr>
            <w:tcW w:w="7041" w:type="dxa"/>
            <w:shd w:val="clear" w:color="auto" w:fill="auto"/>
          </w:tcPr>
          <w:p>
            <w:pPr>
              <w:spacing w:before="96" w:beforeLines="40" w:after="96" w:afterLines="40" w:line="24" w:lineRule="atLeast"/>
              <w:rPr>
                <w:rFonts w:eastAsia="Cambria"/>
                <w:sz w:val="18"/>
                <w:szCs w:val="18"/>
                <w:lang w:val="en-GB" w:eastAsia="en-US"/>
              </w:rPr>
            </w:pPr>
          </w:p>
        </w:tc>
        <w:tc>
          <w:tcPr>
            <w:tcW w:w="720" w:type="dxa"/>
          </w:tcPr>
          <w:p>
            <w:pPr>
              <w:spacing w:before="96" w:beforeLines="40" w:after="96" w:afterLines="40" w:line="24" w:lineRule="atLeast"/>
              <w:rPr>
                <w:rFonts w:eastAsia="Cambria"/>
                <w:sz w:val="18"/>
                <w:szCs w:val="18"/>
                <w:lang w:val="en-GB" w:eastAsia="en-US"/>
              </w:rPr>
            </w:pPr>
          </w:p>
        </w:tc>
        <w:tc>
          <w:tcPr>
            <w:tcW w:w="4320" w:type="dxa"/>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any sensitivity analyses to assess the robustness of the main results to violations of the assumptions</w:t>
            </w:r>
          </w:p>
        </w:tc>
        <w:tc>
          <w:tcPr>
            <w:tcW w:w="720" w:type="dxa"/>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7</w:t>
            </w:r>
          </w:p>
        </w:tc>
        <w:tc>
          <w:tcPr>
            <w:tcW w:w="4320" w:type="dxa"/>
            <w:shd w:val="clear" w:color="auto" w:fill="EEEEEE"/>
          </w:tcPr>
          <w:p>
            <w:pPr>
              <w:pStyle w:val="3"/>
              <w:keepNext w:val="0"/>
              <w:keepLines w:val="0"/>
              <w:widowControl/>
              <w:suppressLineNumbers w:val="0"/>
              <w:rPr>
                <w:rFonts w:eastAsia="Times New Roman"/>
                <w:sz w:val="18"/>
                <w:szCs w:val="18"/>
                <w:lang w:val="en-GB" w:eastAsia="en-GB"/>
              </w:rPr>
            </w:pPr>
            <w:r>
              <w:t>a) Sensitivity analyses to assess the robustness of the main results were reported.</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results from other sensitivity analyses or additional analyses</w:t>
            </w:r>
          </w:p>
        </w:tc>
        <w:tc>
          <w:tcPr>
            <w:tcW w:w="720" w:type="dxa"/>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7</w:t>
            </w:r>
          </w:p>
        </w:tc>
        <w:tc>
          <w:tcPr>
            <w:tcW w:w="4320" w:type="dxa"/>
          </w:tcPr>
          <w:p>
            <w:pPr>
              <w:pStyle w:val="3"/>
              <w:keepNext w:val="0"/>
              <w:keepLines w:val="0"/>
              <w:widowControl/>
              <w:suppressLineNumbers w:val="0"/>
              <w:rPr>
                <w:rFonts w:eastAsia="Times New Roman"/>
                <w:sz w:val="18"/>
                <w:szCs w:val="18"/>
                <w:lang w:val="en-GB" w:eastAsia="en-GB"/>
              </w:rPr>
            </w:pPr>
            <w:r>
              <w:t>b) Results from other sensitivity analyses or additional analyses were included.</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Report any assessment of direction of causal relationship (e.g., bidirectional MR)</w:t>
            </w:r>
          </w:p>
        </w:tc>
        <w:tc>
          <w:tcPr>
            <w:tcW w:w="720" w:type="dxa"/>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7</w:t>
            </w:r>
          </w:p>
        </w:tc>
        <w:tc>
          <w:tcPr>
            <w:tcW w:w="4320" w:type="dxa"/>
            <w:shd w:val="clear" w:color="auto" w:fill="EEEEEE"/>
          </w:tcPr>
          <w:p>
            <w:pPr>
              <w:pStyle w:val="3"/>
              <w:keepNext w:val="0"/>
              <w:keepLines w:val="0"/>
              <w:widowControl/>
              <w:suppressLineNumbers w:val="0"/>
              <w:rPr>
                <w:rFonts w:eastAsia="Times New Roman"/>
                <w:sz w:val="18"/>
                <w:szCs w:val="18"/>
                <w:lang w:val="en-GB" w:eastAsia="en-GB"/>
              </w:rPr>
            </w:pPr>
            <w:r>
              <w:t>c) Assessment of direction of causal relationship (e.g., bidirectional MR) was reported.</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When relevant, report and compare with estimates from non-MR analyses</w:t>
            </w:r>
          </w:p>
        </w:tc>
        <w:tc>
          <w:tcPr>
            <w:tcW w:w="720" w:type="dxa"/>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7</w:t>
            </w:r>
          </w:p>
        </w:tc>
        <w:tc>
          <w:tcPr>
            <w:tcW w:w="4320" w:type="dxa"/>
          </w:tcPr>
          <w:p>
            <w:pPr>
              <w:pStyle w:val="3"/>
              <w:keepNext w:val="0"/>
              <w:keepLines w:val="0"/>
              <w:widowControl/>
              <w:suppressLineNumbers w:val="0"/>
              <w:rPr>
                <w:rFonts w:eastAsia="Times New Roman"/>
                <w:sz w:val="18"/>
                <w:szCs w:val="18"/>
                <w:lang w:val="en-GB" w:eastAsia="en-GB"/>
              </w:rPr>
            </w:pPr>
            <w:r>
              <w:t>d) Comparison with estimates from non-MR analyses was included where relevant.</w:t>
            </w:r>
          </w:p>
        </w:tc>
      </w:tr>
      <w:tr>
        <w:tblPrEx>
          <w:tblCellMar>
            <w:top w:w="0" w:type="dxa"/>
            <w:left w:w="108" w:type="dxa"/>
            <w:bottom w:w="0" w:type="dxa"/>
            <w:right w:w="108" w:type="dxa"/>
          </w:tblCellMar>
        </w:tblPrEx>
        <w:tc>
          <w:tcPr>
            <w:tcW w:w="587" w:type="dxa"/>
            <w:tcBorders>
              <w:bottom w:val="single" w:color="7F7F7F" w:sz="6" w:space="0"/>
            </w:tcBorders>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tcBorders>
              <w:bottom w:val="single" w:color="7F7F7F" w:sz="6" w:space="0"/>
            </w:tcBorders>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Consider additional plots to visualize results (e.g., leave-one-out analyses)</w:t>
            </w:r>
          </w:p>
        </w:tc>
        <w:tc>
          <w:tcPr>
            <w:tcW w:w="720" w:type="dxa"/>
            <w:tcBorders>
              <w:bottom w:val="single" w:color="7F7F7F" w:sz="6" w:space="0"/>
            </w:tcBorders>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7</w:t>
            </w:r>
          </w:p>
        </w:tc>
        <w:tc>
          <w:tcPr>
            <w:tcW w:w="4320" w:type="dxa"/>
            <w:tcBorders>
              <w:bottom w:val="single" w:color="7F7F7F" w:sz="6" w:space="0"/>
            </w:tcBorders>
            <w:shd w:val="clear" w:color="auto" w:fill="EEEEEE"/>
          </w:tcPr>
          <w:p>
            <w:pPr>
              <w:pStyle w:val="3"/>
              <w:keepNext w:val="0"/>
              <w:keepLines w:val="0"/>
              <w:widowControl/>
              <w:suppressLineNumbers w:val="0"/>
              <w:rPr>
                <w:rFonts w:eastAsia="Times New Roman"/>
                <w:sz w:val="18"/>
                <w:szCs w:val="18"/>
                <w:lang w:val="en-GB" w:eastAsia="en-GB"/>
              </w:rPr>
            </w:pPr>
            <w:r>
              <w:t>e) Additional plots to visualize results were considered.</w:t>
            </w:r>
          </w:p>
        </w:tc>
      </w:tr>
      <w:tr>
        <w:tblPrEx>
          <w:tblCellMar>
            <w:top w:w="0" w:type="dxa"/>
            <w:left w:w="108" w:type="dxa"/>
            <w:bottom w:w="0" w:type="dxa"/>
            <w:right w:w="108" w:type="dxa"/>
          </w:tblCellMar>
        </w:tblPrEx>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DISCUSSION</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14</w:t>
            </w:r>
          </w:p>
        </w:tc>
        <w:tc>
          <w:tcPr>
            <w:tcW w:w="182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Key results </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Summarize key results with reference to study objectives</w:t>
            </w:r>
          </w:p>
        </w:tc>
        <w:tc>
          <w:tcPr>
            <w:tcW w:w="720" w:type="dxa"/>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8</w:t>
            </w:r>
          </w:p>
        </w:tc>
        <w:tc>
          <w:tcPr>
            <w:tcW w:w="4320" w:type="dxa"/>
            <w:shd w:val="clear" w:color="auto" w:fill="EEEEEE"/>
          </w:tcPr>
          <w:p>
            <w:pPr>
              <w:spacing w:before="96" w:beforeLines="40" w:after="96" w:afterLines="40" w:line="24" w:lineRule="atLeast"/>
              <w:rPr>
                <w:rFonts w:eastAsia="Times New Roman"/>
                <w:sz w:val="18"/>
                <w:szCs w:val="18"/>
                <w:lang w:val="en-GB" w:eastAsia="en-GB"/>
              </w:rPr>
            </w:pPr>
            <w:r>
              <w:rPr>
                <w:rFonts w:ascii="宋体" w:hAnsi="宋体" w:eastAsia="宋体" w:cs="宋体"/>
                <w:sz w:val="24"/>
                <w:szCs w:val="24"/>
              </w:rPr>
              <w:t>Summarized key results with reference to study objectives.</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15</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Limitations</w:t>
            </w: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Pr>
                <w:rFonts w:eastAsia="Times New Roman"/>
                <w:sz w:val="18"/>
                <w:szCs w:val="18"/>
                <w:shd w:val="clear" w:color="auto" w:fill="FFFFFF"/>
                <w:lang w:val="en-GB" w:eastAsia="en-GB"/>
              </w:rPr>
              <w:t> </w:t>
            </w:r>
          </w:p>
        </w:tc>
        <w:tc>
          <w:tcPr>
            <w:tcW w:w="720" w:type="dxa"/>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8</w:t>
            </w:r>
          </w:p>
        </w:tc>
        <w:tc>
          <w:tcPr>
            <w:tcW w:w="4320" w:type="dxa"/>
          </w:tcPr>
          <w:p>
            <w:pPr>
              <w:spacing w:before="96" w:beforeLines="40" w:after="96" w:afterLines="40" w:line="24" w:lineRule="atLeast"/>
              <w:rPr>
                <w:rFonts w:eastAsia="Times New Roman"/>
                <w:sz w:val="18"/>
                <w:szCs w:val="18"/>
                <w:lang w:val="en-GB" w:eastAsia="en-GB"/>
              </w:rPr>
            </w:pPr>
            <w:r>
              <w:rPr>
                <w:rFonts w:ascii="宋体" w:hAnsi="宋体" w:eastAsia="宋体" w:cs="宋体"/>
                <w:sz w:val="24"/>
                <w:szCs w:val="24"/>
              </w:rPr>
              <w:t>Discussed limitations, considering the validity of IV assumptions and other sources of potential bias.</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16</w:t>
            </w:r>
          </w:p>
        </w:tc>
        <w:tc>
          <w:tcPr>
            <w:tcW w:w="182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Interpretation</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720" w:type="dxa"/>
            <w:shd w:val="clear" w:color="auto" w:fill="EEEEEE"/>
          </w:tcPr>
          <w:p>
            <w:pPr>
              <w:spacing w:before="96" w:beforeLines="40" w:after="96" w:afterLines="40" w:line="24" w:lineRule="atLeast"/>
              <w:rPr>
                <w:rFonts w:eastAsia="Cambria"/>
                <w:sz w:val="18"/>
                <w:szCs w:val="18"/>
                <w:lang w:val="en-GB" w:eastAsia="en-US"/>
              </w:rPr>
            </w:pPr>
          </w:p>
        </w:tc>
        <w:tc>
          <w:tcPr>
            <w:tcW w:w="4320" w:type="dxa"/>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Meaning: Give a cautious overall interpretation of results in the context of their limitations and in comparison with other studies</w:t>
            </w:r>
          </w:p>
        </w:tc>
        <w:tc>
          <w:tcPr>
            <w:tcW w:w="720" w:type="dxa"/>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8</w:t>
            </w:r>
          </w:p>
        </w:tc>
        <w:tc>
          <w:tcPr>
            <w:tcW w:w="4320" w:type="dxa"/>
          </w:tcPr>
          <w:p>
            <w:pPr>
              <w:pStyle w:val="3"/>
              <w:keepNext w:val="0"/>
              <w:keepLines w:val="0"/>
              <w:widowControl/>
              <w:suppressLineNumbers w:val="0"/>
              <w:rPr>
                <w:rFonts w:eastAsia="Times New Roman"/>
                <w:sz w:val="18"/>
                <w:szCs w:val="18"/>
                <w:lang w:val="en-GB" w:eastAsia="en-GB"/>
              </w:rPr>
            </w:pPr>
            <w:r>
              <w:t>a) Overall interpretation of results was given in the context of their limitations and in comparison with other studies.</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only under certain assumptions </w:t>
            </w:r>
          </w:p>
        </w:tc>
        <w:tc>
          <w:tcPr>
            <w:tcW w:w="720" w:type="dxa"/>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8</w:t>
            </w:r>
          </w:p>
        </w:tc>
        <w:tc>
          <w:tcPr>
            <w:tcW w:w="4320" w:type="dxa"/>
            <w:shd w:val="clear" w:color="auto" w:fill="EEEEEE"/>
          </w:tcPr>
          <w:p>
            <w:pPr>
              <w:pStyle w:val="3"/>
              <w:keepNext w:val="0"/>
              <w:keepLines w:val="0"/>
              <w:widowControl/>
              <w:suppressLineNumbers w:val="0"/>
              <w:rPr>
                <w:rFonts w:eastAsia="Times New Roman"/>
                <w:sz w:val="18"/>
                <w:szCs w:val="18"/>
                <w:lang w:val="en-GB" w:eastAsia="en-GB"/>
              </w:rPr>
            </w:pPr>
            <w:r>
              <w:t>b) Discussed underlying biological mechanisms that could drive the causal relationship between exposure and outcome.</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pPr>
              <w:tabs>
                <w:tab w:val="left" w:pos="1350"/>
              </w:tabs>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Clinical relevance: Discuss whether the results have clinical or public policy relevance, and </w:t>
            </w:r>
            <w:r>
              <w:rPr>
                <w:rFonts w:eastAsia="Times New Roman"/>
                <w:color w:val="000000"/>
                <w:sz w:val="18"/>
                <w:szCs w:val="18"/>
                <w:lang w:eastAsia="en-GB"/>
              </w:rPr>
              <w:t>to what extent they inform effect sizes of possible interventions</w:t>
            </w:r>
          </w:p>
        </w:tc>
        <w:tc>
          <w:tcPr>
            <w:tcW w:w="720" w:type="dxa"/>
          </w:tcPr>
          <w:p>
            <w:pPr>
              <w:tabs>
                <w:tab w:val="left" w:pos="1350"/>
              </w:tabs>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8</w:t>
            </w:r>
          </w:p>
        </w:tc>
        <w:tc>
          <w:tcPr>
            <w:tcW w:w="4320" w:type="dxa"/>
          </w:tcPr>
          <w:p>
            <w:pPr>
              <w:pStyle w:val="3"/>
              <w:keepNext w:val="0"/>
              <w:keepLines w:val="0"/>
              <w:widowControl/>
              <w:suppressLineNumbers w:val="0"/>
              <w:rPr>
                <w:rFonts w:eastAsia="Times New Roman"/>
                <w:sz w:val="18"/>
                <w:szCs w:val="18"/>
                <w:lang w:val="en-GB" w:eastAsia="en-GB"/>
              </w:rPr>
            </w:pPr>
            <w:r>
              <w:t>c) Clinical relevance of the results was discussed.</w:t>
            </w:r>
          </w:p>
        </w:tc>
      </w:tr>
      <w:tr>
        <w:tblPrEx>
          <w:tblCellMar>
            <w:top w:w="0" w:type="dxa"/>
            <w:left w:w="108" w:type="dxa"/>
            <w:bottom w:w="0" w:type="dxa"/>
            <w:right w:w="108" w:type="dxa"/>
          </w:tblCellMar>
        </w:tblPrEx>
        <w:tc>
          <w:tcPr>
            <w:tcW w:w="587" w:type="dxa"/>
            <w:tcBorders>
              <w:bottom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17</w:t>
            </w:r>
          </w:p>
        </w:tc>
        <w:tc>
          <w:tcPr>
            <w:tcW w:w="1822"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 xml:space="preserve">Generalizability  </w:t>
            </w:r>
            <w:r>
              <w:rPr>
                <w:rFonts w:eastAsia="Times New Roman"/>
                <w:sz w:val="18"/>
                <w:szCs w:val="18"/>
                <w:lang w:val="en-GB" w:eastAsia="en-GB"/>
              </w:rPr>
              <w:t> </w:t>
            </w:r>
          </w:p>
        </w:tc>
        <w:tc>
          <w:tcPr>
            <w:tcW w:w="7041" w:type="dxa"/>
            <w:tcBorders>
              <w:bottom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color="7F7F7F" w:sz="6" w:space="0"/>
            </w:tcBorders>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8</w:t>
            </w:r>
          </w:p>
        </w:tc>
        <w:tc>
          <w:tcPr>
            <w:tcW w:w="4320"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ascii="宋体" w:hAnsi="宋体" w:eastAsia="宋体" w:cs="宋体"/>
                <w:sz w:val="24"/>
                <w:szCs w:val="24"/>
              </w:rPr>
              <w:t>Discussed the generalizability of study results to other populations, exposure periods/timings, and levels of exposure.</w:t>
            </w:r>
          </w:p>
        </w:tc>
      </w:tr>
      <w:tr>
        <w:tblPrEx>
          <w:tblCellMar>
            <w:top w:w="0" w:type="dxa"/>
            <w:left w:w="108" w:type="dxa"/>
            <w:bottom w:w="0" w:type="dxa"/>
            <w:right w:w="108" w:type="dxa"/>
          </w:tblCellMar>
        </w:tblPrEx>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OTHER INFORMATION</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18</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Funding</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9</w:t>
            </w:r>
          </w:p>
        </w:tc>
        <w:tc>
          <w:tcPr>
            <w:tcW w:w="4320" w:type="dxa"/>
            <w:shd w:val="clear" w:color="auto" w:fill="EEEEEE"/>
          </w:tcPr>
          <w:p>
            <w:pPr>
              <w:spacing w:before="96" w:beforeLines="40" w:after="96" w:afterLines="40" w:line="24" w:lineRule="atLeast"/>
              <w:rPr>
                <w:rFonts w:eastAsia="Times New Roman"/>
                <w:sz w:val="18"/>
                <w:szCs w:val="18"/>
                <w:lang w:val="en-GB" w:eastAsia="en-GB"/>
              </w:rPr>
            </w:pPr>
            <w:r>
              <w:rPr>
                <w:rFonts w:ascii="宋体" w:hAnsi="宋体" w:eastAsia="宋体" w:cs="宋体"/>
                <w:sz w:val="24"/>
                <w:szCs w:val="24"/>
              </w:rPr>
              <w:t>Described sources of funding for the study and the databases used.</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19</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Data and data sharing </w:t>
            </w: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Provide the data used to perform all analyses or report where and how the data can be accessed, and reference these sources in the article. Provide the statistical code needed to reproduce the results in the article, or report whether the code is publicly accessible and if so, where</w:t>
            </w:r>
          </w:p>
        </w:tc>
        <w:tc>
          <w:tcPr>
            <w:tcW w:w="720" w:type="dxa"/>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9</w:t>
            </w:r>
          </w:p>
        </w:tc>
        <w:tc>
          <w:tcPr>
            <w:tcW w:w="4320" w:type="dxa"/>
          </w:tcPr>
          <w:p>
            <w:pPr>
              <w:spacing w:before="96" w:beforeLines="40" w:after="96" w:afterLines="40" w:line="24" w:lineRule="atLeast"/>
              <w:rPr>
                <w:rFonts w:eastAsia="Times New Roman"/>
                <w:sz w:val="18"/>
                <w:szCs w:val="18"/>
                <w:lang w:val="en-GB" w:eastAsia="en-GB"/>
              </w:rPr>
            </w:pPr>
            <w:r>
              <w:rPr>
                <w:rFonts w:ascii="宋体" w:hAnsi="宋体" w:eastAsia="宋体" w:cs="宋体"/>
                <w:sz w:val="24"/>
                <w:szCs w:val="24"/>
              </w:rPr>
              <w:t>Provided information on data access and statistical code used for analysis.</w:t>
            </w:r>
          </w:p>
        </w:tc>
      </w:tr>
      <w:tr>
        <w:tblPrEx>
          <w:tblCellMar>
            <w:top w:w="0" w:type="dxa"/>
            <w:left w:w="108" w:type="dxa"/>
            <w:bottom w:w="0" w:type="dxa"/>
            <w:right w:w="108" w:type="dxa"/>
          </w:tblCellMar>
        </w:tblPrEx>
        <w:tc>
          <w:tcPr>
            <w:tcW w:w="587" w:type="dxa"/>
            <w:tcBorders>
              <w:bottom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20</w:t>
            </w:r>
          </w:p>
        </w:tc>
        <w:tc>
          <w:tcPr>
            <w:tcW w:w="1822"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Conflicts of Interest  </w:t>
            </w:r>
          </w:p>
        </w:tc>
        <w:tc>
          <w:tcPr>
            <w:tcW w:w="7041"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All authors should declare all potential conflicts of interest</w:t>
            </w:r>
          </w:p>
        </w:tc>
        <w:tc>
          <w:tcPr>
            <w:tcW w:w="720" w:type="dxa"/>
            <w:tcBorders>
              <w:bottom w:val="single" w:color="7F7F7F" w:sz="6" w:space="0"/>
            </w:tcBorders>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9</w:t>
            </w:r>
            <w:bookmarkStart w:id="0" w:name="_GoBack"/>
            <w:bookmarkEnd w:id="0"/>
          </w:p>
        </w:tc>
        <w:tc>
          <w:tcPr>
            <w:tcW w:w="4320"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ascii="宋体" w:hAnsi="宋体" w:eastAsia="宋体" w:cs="宋体"/>
                <w:sz w:val="24"/>
                <w:szCs w:val="24"/>
              </w:rPr>
              <w:t>Declared all potential conflicts of interest.</w:t>
            </w:r>
          </w:p>
        </w:tc>
      </w:tr>
    </w:tbl>
    <w:p>
      <w:pPr>
        <w:spacing w:before="240" w:after="240"/>
        <w:rPr>
          <w:sz w:val="19"/>
          <w:szCs w:val="19"/>
        </w:rPr>
      </w:pPr>
      <w:r>
        <w:rPr>
          <w:sz w:val="19"/>
          <w:szCs w:val="19"/>
        </w:rPr>
        <w:t>This checklist is copyrighted by the Equator Network under the Creative Commons Attribution 3.0 Unported (CC BY 3.0) license.</w:t>
      </w:r>
    </w:p>
    <w:p>
      <w:pPr>
        <w:widowControl w:val="0"/>
        <w:autoSpaceDE w:val="0"/>
        <w:autoSpaceDN w:val="0"/>
        <w:adjustRightInd w:val="0"/>
        <w:spacing w:before="240" w:after="240" w:line="240" w:lineRule="auto"/>
        <w:ind w:left="640" w:hanging="640"/>
        <w:rPr>
          <w:sz w:val="19"/>
          <w:szCs w:val="19"/>
        </w:rPr>
      </w:pPr>
      <w:r>
        <w:rPr>
          <w:sz w:val="19"/>
          <w:szCs w:val="19"/>
        </w:rPr>
        <w:fldChar w:fldCharType="begin" w:fldLock="1"/>
      </w:r>
      <w:r>
        <w:rPr>
          <w:sz w:val="19"/>
          <w:szCs w:val="19"/>
        </w:rPr>
        <w:instrText xml:space="preserve">ADDIN Mendeley Bibliography CSL_BIBLIOGRAPHY </w:instrText>
      </w:r>
      <w:r>
        <w:rPr>
          <w:sz w:val="19"/>
          <w:szCs w:val="19"/>
        </w:rPr>
        <w:fldChar w:fldCharType="separate"/>
      </w:r>
      <w:r>
        <w:rPr>
          <w:sz w:val="19"/>
          <w:szCs w:val="19"/>
        </w:rPr>
        <w:t xml:space="preserve">1. </w:t>
      </w:r>
      <w:r>
        <w:rPr>
          <w:sz w:val="19"/>
          <w:szCs w:val="19"/>
        </w:rPr>
        <w:tab/>
      </w:r>
      <w:r>
        <w:rPr>
          <w:sz w:val="19"/>
          <w:szCs w:val="19"/>
        </w:rPr>
        <w:t xml:space="preserve">Skrivankova VW, Richmond RC, Woolf BAR, Yarmolinsky J, Davies NM, Swanson SA, et al. Strengthening the Reporting of Observational Studies in Epidemiology using Mendelian Randomization (STROBE-MR) Statement. JAMA. 2021;under review. </w:t>
      </w:r>
    </w:p>
    <w:p>
      <w:pPr>
        <w:widowControl w:val="0"/>
        <w:autoSpaceDE w:val="0"/>
        <w:autoSpaceDN w:val="0"/>
        <w:adjustRightInd w:val="0"/>
        <w:spacing w:before="240" w:after="240" w:line="240" w:lineRule="auto"/>
        <w:ind w:left="640" w:hanging="640"/>
        <w:rPr>
          <w:sz w:val="19"/>
          <w:szCs w:val="19"/>
        </w:rPr>
      </w:pPr>
      <w:r>
        <w:rPr>
          <w:sz w:val="19"/>
          <w:szCs w:val="19"/>
        </w:rPr>
        <w:t xml:space="preserve">2. </w:t>
      </w:r>
      <w:r>
        <w:rPr>
          <w:sz w:val="19"/>
          <w:szCs w:val="19"/>
        </w:rPr>
        <w:tab/>
      </w:r>
      <w:r>
        <w:rPr>
          <w:sz w:val="19"/>
          <w:szCs w:val="19"/>
        </w:rPr>
        <w:t xml:space="preserve">Skrivankova VW, Richmond RC, Woolf BAR, Davies NM, Swanson SA, VanderWeele TJ, et al. Strengthening the Reporting of Observational Studies in Epidemiology using Mendelian Randomisation (STROBE-MR): Explanation and Elaboration. BMJ. 2021;375:n2233. </w:t>
      </w:r>
    </w:p>
    <w:p>
      <w:pPr>
        <w:spacing w:before="240" w:after="240"/>
      </w:pPr>
      <w:r>
        <w:rPr>
          <w:sz w:val="19"/>
          <w:szCs w:val="19"/>
        </w:rPr>
        <w:fldChar w:fldCharType="end"/>
      </w:r>
    </w:p>
    <w:sectPr>
      <w:footerReference r:id="rId5" w:type="default"/>
      <w:footerReference r:id="rId6" w:type="even"/>
      <w:pgSz w:w="15840" w:h="12240" w:orient="landscape"/>
      <w:pgMar w:top="1008" w:right="720" w:bottom="1008" w:left="720" w:header="720" w:footer="720" w:gutter="0"/>
      <w:pgNumType w:start="1"/>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fldChar w:fldCharType="begin"/>
    </w:r>
    <w:r>
      <w:instrText xml:space="preserve"> PAGE   \* MERGEFORMAT </w:instrText>
    </w:r>
    <w:r>
      <w:fldChar w:fldCharType="separate"/>
    </w:r>
    <w:r>
      <w:t>1</w:t>
    </w:r>
    <w: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uto" w:vAnchor="text" w:hAnchor="margin" w:xAlign="right" w:y="1"/>
      <w:rPr>
        <w:rStyle w:val="6"/>
      </w:rPr>
    </w:pPr>
  </w:p>
  <w:p>
    <w:pPr>
      <w:pStyle w:val="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NkMTMxYjU2OWY5ZTNlOGEyYmI5ZjUyOWI3M2RhMzYifQ=="/>
  </w:docVars>
  <w:rsids>
    <w:rsidRoot w:val="00914C56"/>
    <w:rsid w:val="000A4CE8"/>
    <w:rsid w:val="002663E6"/>
    <w:rsid w:val="003D447D"/>
    <w:rsid w:val="003D47DD"/>
    <w:rsid w:val="004B5CBB"/>
    <w:rsid w:val="004E11D4"/>
    <w:rsid w:val="00514462"/>
    <w:rsid w:val="005520ED"/>
    <w:rsid w:val="005A0D0D"/>
    <w:rsid w:val="00685D31"/>
    <w:rsid w:val="006912BF"/>
    <w:rsid w:val="006A41D0"/>
    <w:rsid w:val="006B08D5"/>
    <w:rsid w:val="00804498"/>
    <w:rsid w:val="00914C56"/>
    <w:rsid w:val="00950729"/>
    <w:rsid w:val="009854A9"/>
    <w:rsid w:val="009E033F"/>
    <w:rsid w:val="00BB6328"/>
    <w:rsid w:val="00D65199"/>
    <w:rsid w:val="00D8098C"/>
    <w:rsid w:val="00ED48A3"/>
    <w:rsid w:val="00EF4B94"/>
    <w:rsid w:val="533C2EF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0" w:line="276" w:lineRule="auto"/>
    </w:pPr>
    <w:rPr>
      <w:rFonts w:ascii="Arial" w:hAnsi="Arial" w:eastAsia="Arial" w:cs="Arial"/>
      <w:sz w:val="22"/>
      <w:szCs w:val="22"/>
      <w:lang w:val="en" w:eastAsia="de-CH"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680"/>
        <w:tab w:val="right" w:pos="9360"/>
      </w:tabs>
      <w:spacing w:line="240" w:lineRule="auto"/>
    </w:pPr>
  </w:style>
  <w:style w:type="paragraph" w:styleId="3">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6">
    <w:name w:val="page number"/>
    <w:basedOn w:val="5"/>
    <w:semiHidden/>
    <w:unhideWhenUsed/>
    <w:uiPriority w:val="99"/>
  </w:style>
  <w:style w:type="character" w:styleId="7">
    <w:name w:val="line number"/>
    <w:basedOn w:val="5"/>
    <w:semiHidden/>
    <w:unhideWhenUsed/>
    <w:uiPriority w:val="99"/>
  </w:style>
  <w:style w:type="character" w:customStyle="1" w:styleId="8">
    <w:name w:val="Footer Char"/>
    <w:basedOn w:val="5"/>
    <w:link w:val="2"/>
    <w:uiPriority w:val="99"/>
    <w:rPr>
      <w:rFonts w:ascii="Arial" w:hAnsi="Arial" w:eastAsia="Arial" w:cs="Arial"/>
      <w:lang w:val="en" w:eastAsia="de-CH"/>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DA32DB-E5B8-4E32-AD11-08F2E668867B}">
  <ds:schemaRefs/>
</ds:datastoreItem>
</file>

<file path=customXml/itemProps2.xml><?xml version="1.0" encoding="utf-8"?>
<ds:datastoreItem xmlns:ds="http://schemas.openxmlformats.org/officeDocument/2006/customXml" ds:itemID="{9FB0931C-FCE2-4CC4-80DE-15614B41F1F9}">
  <ds:schemaRefs/>
</ds:datastoreItem>
</file>

<file path=customXml/itemProps3.xml><?xml version="1.0" encoding="utf-8"?>
<ds:datastoreItem xmlns:ds="http://schemas.openxmlformats.org/officeDocument/2006/customXml" ds:itemID="{5DF20111-77FD-4F18-8E31-D737874646AB}">
  <ds:schemaRefs/>
</ds:datastoreItem>
</file>

<file path=customXml/itemProps4.xml><?xml version="1.0" encoding="utf-8"?>
<ds:datastoreItem xmlns:ds="http://schemas.openxmlformats.org/officeDocument/2006/customXml" ds:itemID="{A9898B61-61B7-44F1-9388-8B27875B1EDA}">
  <ds:schemaRefs/>
</ds:datastoreItem>
</file>

<file path=docProps/app.xml><?xml version="1.0" encoding="utf-8"?>
<Properties xmlns="http://schemas.openxmlformats.org/officeDocument/2006/extended-properties" xmlns:vt="http://schemas.openxmlformats.org/officeDocument/2006/docPropsVTypes">
  <Template>Normal.dotm</Template>
  <Company>University of Bern</Company>
  <Pages>9</Pages>
  <Words>1118</Words>
  <Characters>6520</Characters>
  <Lines>286</Lines>
  <Paragraphs>146</Paragraphs>
  <TotalTime>16</TotalTime>
  <ScaleCrop>false</ScaleCrop>
  <LinksUpToDate>false</LinksUpToDate>
  <CharactersWithSpaces>7535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2022-04-07T08:09:00Z</dcterms:created>
  <dc:creator>Whitesell, Veronika (ISPM)</dc:creator>
  <cp:lastModifiedBy>一清</cp:lastModifiedBy>
  <cp:lastPrinted>2021-09-28T07:08:00Z</cp:lastPrinted>
  <dcterms:modified xsi:type="dcterms:W3CDTF">2024-06-06T14:10:35Z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y fmtid="{D5CDD505-2E9C-101B-9397-08002B2CF9AE}" pid="26" name="KSOProductBuildVer">
    <vt:lpwstr>2052-12.1.0.16929</vt:lpwstr>
  </property>
  <property fmtid="{D5CDD505-2E9C-101B-9397-08002B2CF9AE}" pid="27" name="ICV">
    <vt:lpwstr>45341A6421C14589A7EAA5795E223D8F_12</vt:lpwstr>
  </property>
</Properties>
</file>