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921063" w14:textId="1493220E" w:rsidR="0097404C" w:rsidRDefault="005D2D3C">
      <w:pPr>
        <w:spacing w:line="520" w:lineRule="exact"/>
        <w:ind w:firstLine="420"/>
        <w:jc w:val="center"/>
        <w:rPr>
          <w:rFonts w:ascii="Times New Roman" w:hAnsi="Times New Roman" w:cs="Segoe UI"/>
          <w:color w:val="212121"/>
          <w:sz w:val="24"/>
          <w:szCs w:val="24"/>
          <w:shd w:val="clear" w:color="auto" w:fill="FFFFFF"/>
        </w:rPr>
      </w:pPr>
      <w:bookmarkStart w:id="0" w:name="_Hlk159154799"/>
      <w:bookmarkEnd w:id="0"/>
      <w:proofErr w:type="spellStart"/>
      <w:r>
        <w:rPr>
          <w:rFonts w:ascii="Times New Roman" w:hAnsi="Times New Roman" w:cs="Segoe UI" w:hint="eastAsia"/>
          <w:color w:val="212121"/>
          <w:sz w:val="24"/>
          <w:szCs w:val="24"/>
          <w:shd w:val="clear" w:color="auto" w:fill="FFFFFF"/>
        </w:rPr>
        <w:t>e</w:t>
      </w:r>
      <w:r w:rsidR="001407CB">
        <w:rPr>
          <w:rFonts w:ascii="Times New Roman" w:hAnsi="Times New Roman" w:cs="Segoe UI" w:hint="eastAsia"/>
          <w:color w:val="212121"/>
          <w:sz w:val="24"/>
          <w:szCs w:val="24"/>
          <w:shd w:val="clear" w:color="auto" w:fill="FFFFFF"/>
        </w:rPr>
        <w:t>Table</w:t>
      </w:r>
      <w:proofErr w:type="spellEnd"/>
      <w:r w:rsidR="001407CB">
        <w:rPr>
          <w:rFonts w:ascii="Times New Roman" w:hAnsi="Times New Roman" w:cs="Segoe UI" w:hint="eastAsia"/>
          <w:color w:val="212121"/>
          <w:sz w:val="24"/>
          <w:szCs w:val="24"/>
          <w:shd w:val="clear" w:color="auto" w:fill="FFFFFF"/>
        </w:rPr>
        <w:t xml:space="preserve"> S2</w:t>
      </w:r>
      <w:r w:rsidR="001407CB">
        <w:rPr>
          <w:rFonts w:ascii="Times New Roman" w:hAnsi="Times New Roman" w:cs="Segoe UI"/>
          <w:color w:val="212121"/>
          <w:sz w:val="24"/>
          <w:szCs w:val="24"/>
          <w:shd w:val="clear" w:color="auto" w:fill="FFFFFF"/>
        </w:rPr>
        <w:t xml:space="preserve"> </w:t>
      </w:r>
      <w:r w:rsidR="001407CB">
        <w:rPr>
          <w:rFonts w:ascii="Times New Roman" w:hAnsi="Times New Roman" w:cs="Segoe UI" w:hint="eastAsia"/>
          <w:color w:val="212121"/>
          <w:sz w:val="24"/>
          <w:szCs w:val="24"/>
          <w:shd w:val="clear" w:color="auto" w:fill="FFFFFF"/>
        </w:rPr>
        <w:t>Baseline values, ranges, and distribution of disease transition probabilities in the Markov model</w:t>
      </w:r>
    </w:p>
    <w:tbl>
      <w:tblPr>
        <w:tblStyle w:val="a7"/>
        <w:tblW w:w="5057" w:type="pct"/>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49"/>
        <w:gridCol w:w="1112"/>
        <w:gridCol w:w="1065"/>
        <w:gridCol w:w="2255"/>
        <w:gridCol w:w="1038"/>
      </w:tblGrid>
      <w:tr w:rsidR="0097404C" w14:paraId="77AB6D4F" w14:textId="77777777">
        <w:trPr>
          <w:jc w:val="center"/>
        </w:trPr>
        <w:tc>
          <w:tcPr>
            <w:tcW w:w="1827" w:type="pct"/>
            <w:tcBorders>
              <w:top w:val="single" w:sz="12" w:space="0" w:color="auto"/>
              <w:bottom w:val="single" w:sz="8" w:space="0" w:color="auto"/>
            </w:tcBorders>
          </w:tcPr>
          <w:p w14:paraId="1F8B5758" w14:textId="77777777" w:rsidR="0097404C" w:rsidRDefault="001407CB">
            <w:pPr>
              <w:rPr>
                <w:rFonts w:cs="Calibri"/>
                <w:bCs/>
                <w:kern w:val="0"/>
                <w:sz w:val="18"/>
                <w:szCs w:val="18"/>
              </w:rPr>
            </w:pPr>
            <w:r>
              <w:rPr>
                <w:rFonts w:cs="Calibri"/>
                <w:bCs/>
                <w:kern w:val="0"/>
                <w:sz w:val="18"/>
                <w:szCs w:val="18"/>
              </w:rPr>
              <w:t>Parameters</w:t>
            </w:r>
          </w:p>
        </w:tc>
        <w:tc>
          <w:tcPr>
            <w:tcW w:w="645" w:type="pct"/>
            <w:tcBorders>
              <w:top w:val="single" w:sz="12" w:space="0" w:color="auto"/>
              <w:bottom w:val="single" w:sz="8" w:space="0" w:color="auto"/>
            </w:tcBorders>
          </w:tcPr>
          <w:p w14:paraId="3FA29958" w14:textId="77777777" w:rsidR="0097404C" w:rsidRDefault="001407CB">
            <w:pPr>
              <w:rPr>
                <w:rFonts w:cs="Calibri"/>
                <w:bCs/>
                <w:kern w:val="0"/>
                <w:sz w:val="18"/>
                <w:szCs w:val="18"/>
              </w:rPr>
            </w:pPr>
            <w:r>
              <w:rPr>
                <w:rFonts w:cs="Calibri"/>
                <w:bCs/>
                <w:kern w:val="0"/>
                <w:sz w:val="18"/>
                <w:szCs w:val="18"/>
              </w:rPr>
              <w:t>Base case</w:t>
            </w:r>
          </w:p>
        </w:tc>
        <w:tc>
          <w:tcPr>
            <w:tcW w:w="618" w:type="pct"/>
            <w:tcBorders>
              <w:top w:val="single" w:sz="12" w:space="0" w:color="auto"/>
              <w:bottom w:val="single" w:sz="8" w:space="0" w:color="auto"/>
            </w:tcBorders>
          </w:tcPr>
          <w:p w14:paraId="5BE19EA8" w14:textId="77777777" w:rsidR="0097404C" w:rsidRDefault="001407CB">
            <w:pPr>
              <w:rPr>
                <w:rFonts w:cs="Calibri"/>
                <w:bCs/>
                <w:kern w:val="0"/>
                <w:sz w:val="18"/>
                <w:szCs w:val="18"/>
              </w:rPr>
            </w:pPr>
            <w:r>
              <w:rPr>
                <w:rFonts w:cs="Calibri"/>
                <w:bCs/>
                <w:kern w:val="0"/>
                <w:sz w:val="18"/>
                <w:szCs w:val="18"/>
              </w:rPr>
              <w:t>Range tested in sensitivity analysis</w:t>
            </w:r>
          </w:p>
        </w:tc>
        <w:tc>
          <w:tcPr>
            <w:tcW w:w="1308" w:type="pct"/>
            <w:tcBorders>
              <w:top w:val="single" w:sz="12" w:space="0" w:color="auto"/>
              <w:bottom w:val="single" w:sz="8" w:space="0" w:color="auto"/>
            </w:tcBorders>
          </w:tcPr>
          <w:p w14:paraId="79907D20" w14:textId="77777777" w:rsidR="0097404C" w:rsidRDefault="001407CB">
            <w:pPr>
              <w:rPr>
                <w:rFonts w:cs="Calibri"/>
                <w:bCs/>
                <w:kern w:val="0"/>
                <w:sz w:val="18"/>
                <w:szCs w:val="18"/>
              </w:rPr>
            </w:pPr>
            <w:r>
              <w:rPr>
                <w:rFonts w:cs="Calibri"/>
                <w:bCs/>
                <w:kern w:val="0"/>
                <w:sz w:val="18"/>
                <w:szCs w:val="18"/>
              </w:rPr>
              <w:t>Distribution</w:t>
            </w:r>
          </w:p>
        </w:tc>
        <w:tc>
          <w:tcPr>
            <w:tcW w:w="602" w:type="pct"/>
            <w:tcBorders>
              <w:top w:val="single" w:sz="12" w:space="0" w:color="auto"/>
              <w:bottom w:val="single" w:sz="8" w:space="0" w:color="auto"/>
            </w:tcBorders>
          </w:tcPr>
          <w:p w14:paraId="371D3C9F" w14:textId="77777777" w:rsidR="0097404C" w:rsidRDefault="001407CB">
            <w:pPr>
              <w:jc w:val="left"/>
              <w:rPr>
                <w:rFonts w:cs="Calibri"/>
                <w:bCs/>
                <w:kern w:val="0"/>
                <w:sz w:val="18"/>
                <w:szCs w:val="18"/>
              </w:rPr>
            </w:pPr>
            <w:proofErr w:type="spellStart"/>
            <w:r>
              <w:rPr>
                <w:rFonts w:cs="Calibri"/>
                <w:bCs/>
                <w:kern w:val="0"/>
                <w:sz w:val="18"/>
                <w:szCs w:val="18"/>
              </w:rPr>
              <w:t>Refrence</w:t>
            </w:r>
            <w:proofErr w:type="spellEnd"/>
          </w:p>
        </w:tc>
      </w:tr>
      <w:tr w:rsidR="0097404C" w14:paraId="23E75159" w14:textId="77777777">
        <w:trPr>
          <w:jc w:val="center"/>
        </w:trPr>
        <w:tc>
          <w:tcPr>
            <w:tcW w:w="1827" w:type="pct"/>
          </w:tcPr>
          <w:p w14:paraId="068D6FD5" w14:textId="77777777" w:rsidR="0097404C" w:rsidRDefault="001407CB">
            <w:pPr>
              <w:jc w:val="left"/>
              <w:rPr>
                <w:rFonts w:cs="Calibri"/>
                <w:kern w:val="0"/>
                <w:sz w:val="18"/>
                <w:szCs w:val="18"/>
              </w:rPr>
            </w:pPr>
            <w:r>
              <w:rPr>
                <w:rFonts w:cs="Calibri"/>
                <w:kern w:val="0"/>
                <w:sz w:val="18"/>
                <w:szCs w:val="18"/>
              </w:rPr>
              <w:t>Target population starting age (years)</w:t>
            </w:r>
          </w:p>
        </w:tc>
        <w:tc>
          <w:tcPr>
            <w:tcW w:w="645" w:type="pct"/>
          </w:tcPr>
          <w:p w14:paraId="7B07E2DE" w14:textId="77777777" w:rsidR="0097404C" w:rsidRDefault="001407CB">
            <w:pPr>
              <w:rPr>
                <w:rFonts w:cs="Calibri"/>
                <w:kern w:val="0"/>
                <w:sz w:val="18"/>
                <w:szCs w:val="18"/>
              </w:rPr>
            </w:pPr>
            <w:r>
              <w:rPr>
                <w:rFonts w:cs="Calibri"/>
                <w:kern w:val="0"/>
                <w:sz w:val="18"/>
                <w:szCs w:val="18"/>
              </w:rPr>
              <w:t>40</w:t>
            </w:r>
          </w:p>
        </w:tc>
        <w:tc>
          <w:tcPr>
            <w:tcW w:w="618" w:type="pct"/>
          </w:tcPr>
          <w:p w14:paraId="78974A18" w14:textId="77777777" w:rsidR="0097404C" w:rsidRDefault="001407CB">
            <w:pPr>
              <w:rPr>
                <w:rFonts w:cs="Calibri"/>
                <w:kern w:val="0"/>
                <w:sz w:val="18"/>
                <w:szCs w:val="18"/>
              </w:rPr>
            </w:pPr>
            <w:r>
              <w:rPr>
                <w:rFonts w:cs="Calibri"/>
                <w:kern w:val="0"/>
                <w:sz w:val="18"/>
                <w:szCs w:val="18"/>
              </w:rPr>
              <w:t>40-70</w:t>
            </w:r>
          </w:p>
        </w:tc>
        <w:tc>
          <w:tcPr>
            <w:tcW w:w="1308" w:type="pct"/>
          </w:tcPr>
          <w:p w14:paraId="5F0266D7" w14:textId="77777777" w:rsidR="0097404C" w:rsidRDefault="0097404C">
            <w:pPr>
              <w:rPr>
                <w:rFonts w:cs="Calibri"/>
                <w:kern w:val="0"/>
                <w:sz w:val="18"/>
                <w:szCs w:val="18"/>
              </w:rPr>
            </w:pPr>
          </w:p>
        </w:tc>
        <w:tc>
          <w:tcPr>
            <w:tcW w:w="602" w:type="pct"/>
          </w:tcPr>
          <w:p w14:paraId="7A302423" w14:textId="77777777" w:rsidR="0097404C" w:rsidRDefault="0097404C">
            <w:pPr>
              <w:jc w:val="left"/>
              <w:rPr>
                <w:rFonts w:cs="Calibri"/>
                <w:kern w:val="0"/>
                <w:sz w:val="18"/>
                <w:szCs w:val="18"/>
              </w:rPr>
            </w:pPr>
          </w:p>
        </w:tc>
      </w:tr>
      <w:tr w:rsidR="0097404C" w14:paraId="7791742B" w14:textId="77777777">
        <w:trPr>
          <w:jc w:val="center"/>
        </w:trPr>
        <w:tc>
          <w:tcPr>
            <w:tcW w:w="1827" w:type="pct"/>
          </w:tcPr>
          <w:p w14:paraId="7C2875E8" w14:textId="77777777" w:rsidR="0097404C" w:rsidRDefault="001407CB">
            <w:pPr>
              <w:jc w:val="left"/>
              <w:rPr>
                <w:rFonts w:cs="Calibri"/>
                <w:bCs/>
                <w:kern w:val="0"/>
                <w:sz w:val="18"/>
                <w:szCs w:val="18"/>
              </w:rPr>
            </w:pPr>
            <w:r>
              <w:rPr>
                <w:rFonts w:cs="Calibri"/>
                <w:bCs/>
                <w:kern w:val="0"/>
                <w:sz w:val="18"/>
                <w:szCs w:val="18"/>
              </w:rPr>
              <w:t>Probability of disease metastasis</w:t>
            </w:r>
          </w:p>
        </w:tc>
        <w:tc>
          <w:tcPr>
            <w:tcW w:w="645" w:type="pct"/>
          </w:tcPr>
          <w:p w14:paraId="3740366D" w14:textId="77777777" w:rsidR="0097404C" w:rsidRDefault="0097404C">
            <w:pPr>
              <w:rPr>
                <w:rFonts w:cs="Calibri"/>
                <w:kern w:val="0"/>
                <w:sz w:val="18"/>
                <w:szCs w:val="18"/>
              </w:rPr>
            </w:pPr>
          </w:p>
        </w:tc>
        <w:tc>
          <w:tcPr>
            <w:tcW w:w="618" w:type="pct"/>
          </w:tcPr>
          <w:p w14:paraId="3574B1DD" w14:textId="77777777" w:rsidR="0097404C" w:rsidRDefault="0097404C">
            <w:pPr>
              <w:rPr>
                <w:rFonts w:cs="Calibri"/>
                <w:kern w:val="0"/>
                <w:sz w:val="18"/>
                <w:szCs w:val="18"/>
              </w:rPr>
            </w:pPr>
          </w:p>
        </w:tc>
        <w:tc>
          <w:tcPr>
            <w:tcW w:w="1308" w:type="pct"/>
          </w:tcPr>
          <w:p w14:paraId="58D842F3" w14:textId="77777777" w:rsidR="0097404C" w:rsidRDefault="0097404C">
            <w:pPr>
              <w:rPr>
                <w:rFonts w:cs="Calibri"/>
                <w:kern w:val="0"/>
                <w:sz w:val="18"/>
                <w:szCs w:val="18"/>
              </w:rPr>
            </w:pPr>
          </w:p>
        </w:tc>
        <w:tc>
          <w:tcPr>
            <w:tcW w:w="602" w:type="pct"/>
          </w:tcPr>
          <w:p w14:paraId="7B8D520B" w14:textId="77777777" w:rsidR="0097404C" w:rsidRDefault="0097404C">
            <w:pPr>
              <w:jc w:val="left"/>
              <w:rPr>
                <w:rFonts w:cs="Calibri"/>
                <w:kern w:val="0"/>
                <w:sz w:val="18"/>
                <w:szCs w:val="18"/>
              </w:rPr>
            </w:pPr>
          </w:p>
        </w:tc>
      </w:tr>
      <w:tr w:rsidR="0097404C" w14:paraId="749C0CC7" w14:textId="77777777">
        <w:trPr>
          <w:jc w:val="center"/>
        </w:trPr>
        <w:tc>
          <w:tcPr>
            <w:tcW w:w="1827" w:type="pct"/>
          </w:tcPr>
          <w:p w14:paraId="22227F59" w14:textId="77777777" w:rsidR="0097404C" w:rsidRDefault="001407CB">
            <w:pPr>
              <w:jc w:val="left"/>
              <w:rPr>
                <w:rFonts w:cs="Calibri"/>
                <w:kern w:val="0"/>
                <w:sz w:val="18"/>
                <w:szCs w:val="18"/>
              </w:rPr>
            </w:pPr>
            <w:r>
              <w:rPr>
                <w:rFonts w:cs="Calibri"/>
                <w:kern w:val="0"/>
                <w:sz w:val="18"/>
                <w:szCs w:val="18"/>
              </w:rPr>
              <w:t>Non-</w:t>
            </w:r>
            <w:proofErr w:type="spellStart"/>
            <w:r>
              <w:rPr>
                <w:rFonts w:cs="Calibri"/>
                <w:kern w:val="0"/>
                <w:sz w:val="18"/>
                <w:szCs w:val="18"/>
              </w:rPr>
              <w:t>hhcy</w:t>
            </w:r>
            <w:proofErr w:type="spellEnd"/>
          </w:p>
        </w:tc>
        <w:tc>
          <w:tcPr>
            <w:tcW w:w="645" w:type="pct"/>
          </w:tcPr>
          <w:p w14:paraId="207C3833" w14:textId="77777777" w:rsidR="0097404C" w:rsidRDefault="0097404C">
            <w:pPr>
              <w:rPr>
                <w:rFonts w:cs="Calibri"/>
                <w:kern w:val="0"/>
                <w:sz w:val="18"/>
                <w:szCs w:val="18"/>
              </w:rPr>
            </w:pPr>
          </w:p>
        </w:tc>
        <w:tc>
          <w:tcPr>
            <w:tcW w:w="618" w:type="pct"/>
          </w:tcPr>
          <w:p w14:paraId="5884BF36" w14:textId="77777777" w:rsidR="0097404C" w:rsidRDefault="0097404C">
            <w:pPr>
              <w:rPr>
                <w:rFonts w:cs="Calibri"/>
                <w:kern w:val="0"/>
                <w:sz w:val="18"/>
                <w:szCs w:val="18"/>
              </w:rPr>
            </w:pPr>
          </w:p>
        </w:tc>
        <w:tc>
          <w:tcPr>
            <w:tcW w:w="1308" w:type="pct"/>
          </w:tcPr>
          <w:p w14:paraId="77A86DC7" w14:textId="77777777" w:rsidR="0097404C" w:rsidRDefault="0097404C">
            <w:pPr>
              <w:rPr>
                <w:rFonts w:cs="Calibri"/>
                <w:kern w:val="0"/>
                <w:sz w:val="18"/>
                <w:szCs w:val="18"/>
              </w:rPr>
            </w:pPr>
          </w:p>
        </w:tc>
        <w:tc>
          <w:tcPr>
            <w:tcW w:w="602" w:type="pct"/>
          </w:tcPr>
          <w:p w14:paraId="13887277" w14:textId="77777777" w:rsidR="0097404C" w:rsidRDefault="0097404C">
            <w:pPr>
              <w:jc w:val="left"/>
              <w:rPr>
                <w:rFonts w:cs="Calibri"/>
                <w:kern w:val="0"/>
                <w:sz w:val="18"/>
                <w:szCs w:val="18"/>
              </w:rPr>
            </w:pPr>
          </w:p>
        </w:tc>
      </w:tr>
      <w:tr w:rsidR="0097404C" w14:paraId="75C39047" w14:textId="77777777">
        <w:trPr>
          <w:trHeight w:val="213"/>
          <w:jc w:val="center"/>
        </w:trPr>
        <w:tc>
          <w:tcPr>
            <w:tcW w:w="1827" w:type="pct"/>
          </w:tcPr>
          <w:p w14:paraId="21A32E6C" w14:textId="77777777" w:rsidR="0097404C" w:rsidRDefault="001407CB">
            <w:pPr>
              <w:ind w:firstLineChars="100" w:firstLine="180"/>
              <w:jc w:val="left"/>
              <w:rPr>
                <w:rFonts w:cs="Calibri"/>
                <w:kern w:val="0"/>
                <w:sz w:val="18"/>
                <w:szCs w:val="18"/>
              </w:rPr>
            </w:pPr>
            <w:r>
              <w:rPr>
                <w:rFonts w:cs="Calibri"/>
                <w:kern w:val="0"/>
                <w:sz w:val="18"/>
                <w:szCs w:val="18"/>
              </w:rPr>
              <w:t xml:space="preserve">Progress to </w:t>
            </w:r>
            <w:proofErr w:type="spellStart"/>
            <w:r>
              <w:rPr>
                <w:rFonts w:cs="Calibri"/>
                <w:kern w:val="0"/>
                <w:sz w:val="18"/>
                <w:szCs w:val="18"/>
              </w:rPr>
              <w:t>Hhcy</w:t>
            </w:r>
            <w:proofErr w:type="spellEnd"/>
          </w:p>
        </w:tc>
        <w:tc>
          <w:tcPr>
            <w:tcW w:w="645" w:type="pct"/>
          </w:tcPr>
          <w:p w14:paraId="0C38B017" w14:textId="77777777" w:rsidR="0097404C" w:rsidRDefault="0097404C">
            <w:pPr>
              <w:rPr>
                <w:rFonts w:cs="Calibri"/>
                <w:kern w:val="0"/>
                <w:sz w:val="18"/>
                <w:szCs w:val="18"/>
              </w:rPr>
            </w:pPr>
          </w:p>
        </w:tc>
        <w:tc>
          <w:tcPr>
            <w:tcW w:w="618" w:type="pct"/>
          </w:tcPr>
          <w:p w14:paraId="75C82770" w14:textId="77777777" w:rsidR="0097404C" w:rsidRDefault="0097404C">
            <w:pPr>
              <w:rPr>
                <w:rFonts w:cs="Calibri"/>
                <w:kern w:val="0"/>
                <w:sz w:val="18"/>
                <w:szCs w:val="18"/>
              </w:rPr>
            </w:pPr>
          </w:p>
        </w:tc>
        <w:tc>
          <w:tcPr>
            <w:tcW w:w="1308" w:type="pct"/>
          </w:tcPr>
          <w:p w14:paraId="1A9DDFA9" w14:textId="77777777" w:rsidR="0097404C" w:rsidRDefault="0097404C">
            <w:pPr>
              <w:rPr>
                <w:rFonts w:cs="Calibri"/>
                <w:kern w:val="0"/>
                <w:sz w:val="18"/>
                <w:szCs w:val="18"/>
              </w:rPr>
            </w:pPr>
          </w:p>
        </w:tc>
        <w:tc>
          <w:tcPr>
            <w:tcW w:w="602" w:type="pct"/>
          </w:tcPr>
          <w:p w14:paraId="359A267E" w14:textId="600819CB" w:rsidR="0097404C" w:rsidRDefault="00865821" w:rsidP="006A6358">
            <w:pPr>
              <w:jc w:val="left"/>
              <w:rPr>
                <w:rFonts w:cs="Calibri"/>
                <w:kern w:val="0"/>
                <w:sz w:val="18"/>
                <w:szCs w:val="18"/>
              </w:rPr>
            </w:pPr>
            <w:r>
              <w:rPr>
                <w:rFonts w:cs="Calibri"/>
                <w:kern w:val="0"/>
                <w:sz w:val="18"/>
                <w:szCs w:val="18"/>
              </w:rPr>
              <w:fldChar w:fldCharType="begin"/>
            </w:r>
            <w:r w:rsidR="007D10D2">
              <w:rPr>
                <w:rFonts w:cs="Calibri"/>
                <w:kern w:val="0"/>
                <w:sz w:val="18"/>
                <w:szCs w:val="18"/>
              </w:rPr>
              <w:instrText xml:space="preserve"> ADDIN NE.Ref.{866EE7AF-1BC1-49DD-8622-EBB68FF2E01A}</w:instrText>
            </w:r>
            <w:r>
              <w:rPr>
                <w:rFonts w:cs="Calibri"/>
                <w:kern w:val="0"/>
                <w:sz w:val="18"/>
                <w:szCs w:val="18"/>
              </w:rPr>
              <w:fldChar w:fldCharType="separate"/>
            </w:r>
            <w:r w:rsidR="007D10D2">
              <w:rPr>
                <w:rFonts w:eastAsiaTheme="minorEastAsia" w:cs="Calibri"/>
                <w:color w:val="000000"/>
                <w:kern w:val="0"/>
                <w:sz w:val="18"/>
                <w:szCs w:val="18"/>
                <w:vertAlign w:val="superscript"/>
              </w:rPr>
              <w:t>1</w:t>
            </w:r>
            <w:r>
              <w:rPr>
                <w:rFonts w:cs="Calibri"/>
                <w:kern w:val="0"/>
                <w:sz w:val="18"/>
                <w:szCs w:val="18"/>
              </w:rPr>
              <w:fldChar w:fldCharType="end"/>
            </w:r>
          </w:p>
        </w:tc>
      </w:tr>
      <w:tr w:rsidR="0097404C" w14:paraId="7723ADB1" w14:textId="77777777">
        <w:trPr>
          <w:jc w:val="center"/>
        </w:trPr>
        <w:tc>
          <w:tcPr>
            <w:tcW w:w="1827" w:type="pct"/>
          </w:tcPr>
          <w:p w14:paraId="6A82F232" w14:textId="77777777" w:rsidR="0097404C" w:rsidRDefault="001407CB">
            <w:pPr>
              <w:ind w:firstLineChars="200" w:firstLine="360"/>
              <w:jc w:val="left"/>
              <w:rPr>
                <w:rFonts w:cs="Calibri"/>
                <w:kern w:val="0"/>
                <w:sz w:val="18"/>
                <w:szCs w:val="18"/>
              </w:rPr>
            </w:pPr>
            <w:r>
              <w:rPr>
                <w:rFonts w:cs="Calibri"/>
                <w:kern w:val="0"/>
                <w:sz w:val="18"/>
                <w:szCs w:val="18"/>
              </w:rPr>
              <w:t>40-49 y</w:t>
            </w:r>
          </w:p>
        </w:tc>
        <w:tc>
          <w:tcPr>
            <w:tcW w:w="645" w:type="pct"/>
            <w:vAlign w:val="center"/>
          </w:tcPr>
          <w:p w14:paraId="3C92527D" w14:textId="77777777" w:rsidR="0097404C" w:rsidRDefault="001407CB">
            <w:pPr>
              <w:rPr>
                <w:rFonts w:cs="Calibri"/>
                <w:kern w:val="0"/>
                <w:sz w:val="18"/>
                <w:szCs w:val="18"/>
              </w:rPr>
            </w:pPr>
            <w:r>
              <w:rPr>
                <w:rFonts w:cs="Calibri"/>
                <w:color w:val="000000"/>
                <w:kern w:val="0"/>
                <w:sz w:val="18"/>
                <w:szCs w:val="18"/>
              </w:rPr>
              <w:t>0.0100</w:t>
            </w:r>
          </w:p>
        </w:tc>
        <w:tc>
          <w:tcPr>
            <w:tcW w:w="618" w:type="pct"/>
          </w:tcPr>
          <w:p w14:paraId="54735595" w14:textId="77777777" w:rsidR="0097404C" w:rsidRDefault="001407CB">
            <w:pPr>
              <w:rPr>
                <w:rFonts w:cs="Calibri"/>
                <w:kern w:val="0"/>
                <w:sz w:val="18"/>
                <w:szCs w:val="18"/>
              </w:rPr>
            </w:pPr>
            <w:r>
              <w:rPr>
                <w:rFonts w:cs="Calibri"/>
                <w:kern w:val="0"/>
                <w:sz w:val="18"/>
                <w:szCs w:val="18"/>
              </w:rPr>
              <w:t>±50%</w:t>
            </w:r>
          </w:p>
        </w:tc>
        <w:tc>
          <w:tcPr>
            <w:tcW w:w="1308" w:type="pct"/>
          </w:tcPr>
          <w:p w14:paraId="67A71C9A" w14:textId="77777777" w:rsidR="0097404C" w:rsidRDefault="001407CB">
            <w:pPr>
              <w:rPr>
                <w:rFonts w:cs="Calibri"/>
                <w:kern w:val="0"/>
                <w:sz w:val="18"/>
                <w:szCs w:val="18"/>
              </w:rPr>
            </w:pPr>
            <w:r>
              <w:rPr>
                <w:rFonts w:cs="Calibri"/>
                <w:kern w:val="0"/>
                <w:sz w:val="18"/>
                <w:szCs w:val="18"/>
              </w:rPr>
              <w:t>Uniform (0.0050, 0.0150)</w:t>
            </w:r>
          </w:p>
        </w:tc>
        <w:tc>
          <w:tcPr>
            <w:tcW w:w="602" w:type="pct"/>
          </w:tcPr>
          <w:p w14:paraId="11013A3B" w14:textId="77777777" w:rsidR="0097404C" w:rsidRDefault="0097404C">
            <w:pPr>
              <w:jc w:val="left"/>
              <w:rPr>
                <w:rFonts w:cs="Calibri"/>
                <w:kern w:val="0"/>
                <w:sz w:val="18"/>
                <w:szCs w:val="18"/>
              </w:rPr>
            </w:pPr>
          </w:p>
        </w:tc>
      </w:tr>
      <w:tr w:rsidR="0097404C" w14:paraId="2E417C56" w14:textId="77777777">
        <w:trPr>
          <w:jc w:val="center"/>
        </w:trPr>
        <w:tc>
          <w:tcPr>
            <w:tcW w:w="1827" w:type="pct"/>
          </w:tcPr>
          <w:p w14:paraId="2ECB4B59" w14:textId="77777777" w:rsidR="0097404C" w:rsidRDefault="001407CB">
            <w:pPr>
              <w:ind w:firstLineChars="200" w:firstLine="360"/>
              <w:jc w:val="left"/>
              <w:rPr>
                <w:rFonts w:cs="Calibri"/>
                <w:kern w:val="0"/>
                <w:sz w:val="18"/>
                <w:szCs w:val="18"/>
              </w:rPr>
            </w:pPr>
            <w:r>
              <w:rPr>
                <w:rFonts w:cs="Calibri"/>
                <w:kern w:val="0"/>
                <w:sz w:val="18"/>
                <w:szCs w:val="18"/>
              </w:rPr>
              <w:t>50-59 y</w:t>
            </w:r>
          </w:p>
        </w:tc>
        <w:tc>
          <w:tcPr>
            <w:tcW w:w="645" w:type="pct"/>
            <w:vAlign w:val="center"/>
          </w:tcPr>
          <w:p w14:paraId="48166C79" w14:textId="77777777" w:rsidR="0097404C" w:rsidRDefault="001407CB">
            <w:pPr>
              <w:rPr>
                <w:rFonts w:cs="Calibri"/>
                <w:kern w:val="0"/>
                <w:sz w:val="18"/>
                <w:szCs w:val="18"/>
              </w:rPr>
            </w:pPr>
            <w:r>
              <w:rPr>
                <w:rFonts w:cs="Calibri"/>
                <w:color w:val="000000"/>
                <w:kern w:val="0"/>
                <w:sz w:val="18"/>
                <w:szCs w:val="18"/>
              </w:rPr>
              <w:t>0.0187</w:t>
            </w:r>
          </w:p>
        </w:tc>
        <w:tc>
          <w:tcPr>
            <w:tcW w:w="618" w:type="pct"/>
          </w:tcPr>
          <w:p w14:paraId="1F4C4150" w14:textId="77777777" w:rsidR="0097404C" w:rsidRDefault="001407CB">
            <w:pPr>
              <w:rPr>
                <w:rFonts w:cs="Calibri"/>
                <w:kern w:val="0"/>
                <w:sz w:val="18"/>
                <w:szCs w:val="18"/>
              </w:rPr>
            </w:pPr>
            <w:r>
              <w:rPr>
                <w:rFonts w:cs="Calibri"/>
                <w:kern w:val="0"/>
                <w:sz w:val="18"/>
                <w:szCs w:val="18"/>
              </w:rPr>
              <w:t>±50%</w:t>
            </w:r>
          </w:p>
        </w:tc>
        <w:tc>
          <w:tcPr>
            <w:tcW w:w="1308" w:type="pct"/>
          </w:tcPr>
          <w:p w14:paraId="4B726E5B" w14:textId="77777777" w:rsidR="0097404C" w:rsidRDefault="001407CB">
            <w:pPr>
              <w:rPr>
                <w:rFonts w:cs="Calibri"/>
                <w:kern w:val="0"/>
                <w:sz w:val="18"/>
                <w:szCs w:val="18"/>
              </w:rPr>
            </w:pPr>
            <w:r>
              <w:rPr>
                <w:rFonts w:cs="Calibri"/>
                <w:kern w:val="0"/>
                <w:sz w:val="18"/>
                <w:szCs w:val="18"/>
              </w:rPr>
              <w:t>Uniform (0.0093, 0.0280)</w:t>
            </w:r>
          </w:p>
        </w:tc>
        <w:tc>
          <w:tcPr>
            <w:tcW w:w="602" w:type="pct"/>
          </w:tcPr>
          <w:p w14:paraId="0000802A" w14:textId="77777777" w:rsidR="0097404C" w:rsidRDefault="0097404C">
            <w:pPr>
              <w:jc w:val="left"/>
              <w:rPr>
                <w:rFonts w:cs="Calibri"/>
                <w:kern w:val="0"/>
                <w:sz w:val="18"/>
                <w:szCs w:val="18"/>
              </w:rPr>
            </w:pPr>
          </w:p>
        </w:tc>
      </w:tr>
      <w:tr w:rsidR="0097404C" w14:paraId="6FDFEF8F" w14:textId="77777777">
        <w:trPr>
          <w:jc w:val="center"/>
        </w:trPr>
        <w:tc>
          <w:tcPr>
            <w:tcW w:w="1827" w:type="pct"/>
          </w:tcPr>
          <w:p w14:paraId="214BC81C" w14:textId="77777777" w:rsidR="0097404C" w:rsidRDefault="001407CB">
            <w:pPr>
              <w:ind w:firstLineChars="200" w:firstLine="360"/>
              <w:jc w:val="left"/>
              <w:rPr>
                <w:rFonts w:cs="Calibri"/>
                <w:kern w:val="0"/>
                <w:sz w:val="18"/>
                <w:szCs w:val="18"/>
              </w:rPr>
            </w:pPr>
            <w:r>
              <w:rPr>
                <w:rFonts w:cs="Calibri"/>
                <w:kern w:val="0"/>
                <w:sz w:val="18"/>
                <w:szCs w:val="18"/>
              </w:rPr>
              <w:t>60-69 y</w:t>
            </w:r>
          </w:p>
        </w:tc>
        <w:tc>
          <w:tcPr>
            <w:tcW w:w="645" w:type="pct"/>
            <w:vAlign w:val="center"/>
          </w:tcPr>
          <w:p w14:paraId="7348ABC4" w14:textId="77777777" w:rsidR="0097404C" w:rsidRDefault="001407CB">
            <w:pPr>
              <w:rPr>
                <w:rFonts w:cs="Calibri"/>
                <w:kern w:val="0"/>
                <w:sz w:val="18"/>
                <w:szCs w:val="18"/>
              </w:rPr>
            </w:pPr>
            <w:r>
              <w:rPr>
                <w:rFonts w:cs="Calibri"/>
                <w:color w:val="000000"/>
                <w:kern w:val="0"/>
                <w:sz w:val="18"/>
                <w:szCs w:val="18"/>
              </w:rPr>
              <w:t>0.0229</w:t>
            </w:r>
          </w:p>
        </w:tc>
        <w:tc>
          <w:tcPr>
            <w:tcW w:w="618" w:type="pct"/>
          </w:tcPr>
          <w:p w14:paraId="45F276FD" w14:textId="77777777" w:rsidR="0097404C" w:rsidRDefault="001407CB">
            <w:pPr>
              <w:rPr>
                <w:rFonts w:cs="Calibri"/>
                <w:kern w:val="0"/>
                <w:sz w:val="18"/>
                <w:szCs w:val="18"/>
              </w:rPr>
            </w:pPr>
            <w:r>
              <w:rPr>
                <w:rFonts w:cs="Calibri"/>
                <w:kern w:val="0"/>
                <w:sz w:val="18"/>
                <w:szCs w:val="18"/>
              </w:rPr>
              <w:t>±50%</w:t>
            </w:r>
          </w:p>
        </w:tc>
        <w:tc>
          <w:tcPr>
            <w:tcW w:w="1308" w:type="pct"/>
          </w:tcPr>
          <w:p w14:paraId="01CB9A43" w14:textId="77777777" w:rsidR="0097404C" w:rsidRDefault="001407CB">
            <w:pPr>
              <w:rPr>
                <w:rFonts w:cs="Calibri"/>
                <w:kern w:val="0"/>
                <w:sz w:val="18"/>
                <w:szCs w:val="18"/>
              </w:rPr>
            </w:pPr>
            <w:r>
              <w:rPr>
                <w:rFonts w:cs="Calibri"/>
                <w:kern w:val="0"/>
                <w:sz w:val="18"/>
                <w:szCs w:val="18"/>
              </w:rPr>
              <w:t>Uniform (0.0115, 0.0344)</w:t>
            </w:r>
          </w:p>
        </w:tc>
        <w:tc>
          <w:tcPr>
            <w:tcW w:w="602" w:type="pct"/>
          </w:tcPr>
          <w:p w14:paraId="7AE9A15A" w14:textId="77777777" w:rsidR="0097404C" w:rsidRDefault="0097404C">
            <w:pPr>
              <w:jc w:val="left"/>
              <w:rPr>
                <w:rFonts w:cs="Calibri"/>
                <w:kern w:val="0"/>
                <w:sz w:val="18"/>
                <w:szCs w:val="18"/>
              </w:rPr>
            </w:pPr>
          </w:p>
        </w:tc>
      </w:tr>
      <w:tr w:rsidR="0097404C" w14:paraId="339B1E3E" w14:textId="77777777">
        <w:trPr>
          <w:jc w:val="center"/>
        </w:trPr>
        <w:tc>
          <w:tcPr>
            <w:tcW w:w="1827" w:type="pct"/>
          </w:tcPr>
          <w:p w14:paraId="7CF62713" w14:textId="77777777" w:rsidR="0097404C" w:rsidRDefault="001407CB">
            <w:pPr>
              <w:ind w:firstLineChars="200" w:firstLine="360"/>
              <w:jc w:val="left"/>
              <w:rPr>
                <w:rFonts w:cs="Calibri"/>
                <w:kern w:val="0"/>
                <w:sz w:val="18"/>
                <w:szCs w:val="18"/>
              </w:rPr>
            </w:pPr>
            <w:r>
              <w:rPr>
                <w:rFonts w:cs="Calibri"/>
                <w:kern w:val="0"/>
                <w:sz w:val="18"/>
                <w:szCs w:val="18"/>
              </w:rPr>
              <w:t>≥70 y</w:t>
            </w:r>
          </w:p>
        </w:tc>
        <w:tc>
          <w:tcPr>
            <w:tcW w:w="645" w:type="pct"/>
            <w:vAlign w:val="center"/>
          </w:tcPr>
          <w:p w14:paraId="0A45F3EC" w14:textId="77777777" w:rsidR="0097404C" w:rsidRDefault="001407CB">
            <w:pPr>
              <w:rPr>
                <w:rFonts w:cs="Calibri"/>
                <w:kern w:val="0"/>
                <w:sz w:val="18"/>
                <w:szCs w:val="18"/>
              </w:rPr>
            </w:pPr>
            <w:r>
              <w:rPr>
                <w:rFonts w:cs="Calibri"/>
                <w:color w:val="000000"/>
                <w:kern w:val="0"/>
                <w:sz w:val="18"/>
                <w:szCs w:val="18"/>
              </w:rPr>
              <w:t>0.0245</w:t>
            </w:r>
          </w:p>
        </w:tc>
        <w:tc>
          <w:tcPr>
            <w:tcW w:w="618" w:type="pct"/>
          </w:tcPr>
          <w:p w14:paraId="38AB6D7E" w14:textId="77777777" w:rsidR="0097404C" w:rsidRDefault="001407CB">
            <w:pPr>
              <w:rPr>
                <w:rFonts w:cs="Calibri"/>
                <w:kern w:val="0"/>
                <w:sz w:val="18"/>
                <w:szCs w:val="18"/>
              </w:rPr>
            </w:pPr>
            <w:r>
              <w:rPr>
                <w:rFonts w:cs="Calibri"/>
                <w:kern w:val="0"/>
                <w:sz w:val="18"/>
                <w:szCs w:val="18"/>
              </w:rPr>
              <w:t>±50%</w:t>
            </w:r>
          </w:p>
        </w:tc>
        <w:tc>
          <w:tcPr>
            <w:tcW w:w="1308" w:type="pct"/>
          </w:tcPr>
          <w:p w14:paraId="23943C90" w14:textId="77777777" w:rsidR="0097404C" w:rsidRDefault="001407CB">
            <w:pPr>
              <w:rPr>
                <w:rFonts w:cs="Calibri"/>
                <w:kern w:val="0"/>
                <w:sz w:val="18"/>
                <w:szCs w:val="18"/>
              </w:rPr>
            </w:pPr>
            <w:r>
              <w:rPr>
                <w:rFonts w:cs="Calibri"/>
                <w:kern w:val="0"/>
                <w:sz w:val="18"/>
                <w:szCs w:val="18"/>
              </w:rPr>
              <w:t>Uniform (0.0122, 0.0367)</w:t>
            </w:r>
          </w:p>
        </w:tc>
        <w:tc>
          <w:tcPr>
            <w:tcW w:w="602" w:type="pct"/>
          </w:tcPr>
          <w:p w14:paraId="08E42639" w14:textId="77777777" w:rsidR="0097404C" w:rsidRDefault="0097404C">
            <w:pPr>
              <w:jc w:val="left"/>
              <w:rPr>
                <w:rFonts w:cs="Calibri"/>
                <w:kern w:val="0"/>
                <w:sz w:val="18"/>
                <w:szCs w:val="18"/>
              </w:rPr>
            </w:pPr>
          </w:p>
        </w:tc>
      </w:tr>
      <w:tr w:rsidR="0097404C" w14:paraId="56D14E0F" w14:textId="77777777">
        <w:trPr>
          <w:jc w:val="center"/>
        </w:trPr>
        <w:tc>
          <w:tcPr>
            <w:tcW w:w="1827" w:type="pct"/>
          </w:tcPr>
          <w:p w14:paraId="60E3F994" w14:textId="77777777" w:rsidR="0097404C" w:rsidRDefault="001407CB">
            <w:pPr>
              <w:ind w:firstLineChars="100" w:firstLine="180"/>
              <w:jc w:val="left"/>
              <w:rPr>
                <w:rFonts w:cs="Calibri"/>
                <w:kern w:val="0"/>
                <w:sz w:val="18"/>
                <w:szCs w:val="18"/>
              </w:rPr>
            </w:pPr>
            <w:r>
              <w:rPr>
                <w:rFonts w:cs="Calibri"/>
                <w:kern w:val="0"/>
                <w:sz w:val="18"/>
                <w:szCs w:val="18"/>
              </w:rPr>
              <w:t>Progress to TIA</w:t>
            </w:r>
          </w:p>
        </w:tc>
        <w:tc>
          <w:tcPr>
            <w:tcW w:w="645" w:type="pct"/>
          </w:tcPr>
          <w:p w14:paraId="24EA806E" w14:textId="77777777" w:rsidR="0097404C" w:rsidRDefault="0097404C">
            <w:pPr>
              <w:rPr>
                <w:rFonts w:cs="Calibri"/>
                <w:kern w:val="0"/>
                <w:sz w:val="18"/>
                <w:szCs w:val="18"/>
              </w:rPr>
            </w:pPr>
          </w:p>
        </w:tc>
        <w:tc>
          <w:tcPr>
            <w:tcW w:w="618" w:type="pct"/>
          </w:tcPr>
          <w:p w14:paraId="534DB162" w14:textId="77777777" w:rsidR="0097404C" w:rsidRDefault="0097404C">
            <w:pPr>
              <w:rPr>
                <w:rFonts w:cs="Calibri"/>
                <w:kern w:val="0"/>
                <w:sz w:val="18"/>
                <w:szCs w:val="18"/>
              </w:rPr>
            </w:pPr>
          </w:p>
        </w:tc>
        <w:tc>
          <w:tcPr>
            <w:tcW w:w="1308" w:type="pct"/>
          </w:tcPr>
          <w:p w14:paraId="669AE9FF" w14:textId="77777777" w:rsidR="0097404C" w:rsidRDefault="0097404C">
            <w:pPr>
              <w:rPr>
                <w:rFonts w:cs="Calibri"/>
                <w:kern w:val="0"/>
                <w:sz w:val="18"/>
                <w:szCs w:val="18"/>
              </w:rPr>
            </w:pPr>
          </w:p>
        </w:tc>
        <w:tc>
          <w:tcPr>
            <w:tcW w:w="602" w:type="pct"/>
          </w:tcPr>
          <w:p w14:paraId="600FBCF8" w14:textId="77777777" w:rsidR="0097404C" w:rsidRDefault="0097404C">
            <w:pPr>
              <w:jc w:val="left"/>
              <w:rPr>
                <w:rFonts w:cs="Calibri"/>
                <w:kern w:val="0"/>
                <w:sz w:val="18"/>
                <w:szCs w:val="18"/>
              </w:rPr>
            </w:pPr>
          </w:p>
        </w:tc>
      </w:tr>
      <w:tr w:rsidR="0097404C" w14:paraId="2D5A42CD" w14:textId="77777777">
        <w:trPr>
          <w:jc w:val="center"/>
        </w:trPr>
        <w:tc>
          <w:tcPr>
            <w:tcW w:w="1827" w:type="pct"/>
          </w:tcPr>
          <w:p w14:paraId="36AC78BB" w14:textId="77777777" w:rsidR="0097404C" w:rsidRDefault="001407CB">
            <w:pPr>
              <w:ind w:firstLineChars="200" w:firstLine="360"/>
              <w:jc w:val="left"/>
              <w:rPr>
                <w:rFonts w:cs="Calibri"/>
                <w:kern w:val="0"/>
                <w:sz w:val="18"/>
                <w:szCs w:val="18"/>
              </w:rPr>
            </w:pPr>
            <w:r>
              <w:rPr>
                <w:rFonts w:cs="Calibri"/>
                <w:kern w:val="0"/>
                <w:sz w:val="18"/>
                <w:szCs w:val="18"/>
              </w:rPr>
              <w:t>40-49 y</w:t>
            </w:r>
          </w:p>
        </w:tc>
        <w:tc>
          <w:tcPr>
            <w:tcW w:w="645" w:type="pct"/>
          </w:tcPr>
          <w:p w14:paraId="11A06B43" w14:textId="77777777" w:rsidR="0097404C" w:rsidRDefault="001407CB">
            <w:pPr>
              <w:rPr>
                <w:rFonts w:cs="Calibri"/>
                <w:kern w:val="0"/>
                <w:sz w:val="18"/>
                <w:szCs w:val="18"/>
              </w:rPr>
            </w:pPr>
            <w:r>
              <w:rPr>
                <w:rFonts w:cs="Calibri"/>
                <w:kern w:val="0"/>
                <w:sz w:val="18"/>
                <w:szCs w:val="18"/>
              </w:rPr>
              <w:t>0.0002</w:t>
            </w:r>
          </w:p>
        </w:tc>
        <w:tc>
          <w:tcPr>
            <w:tcW w:w="618" w:type="pct"/>
          </w:tcPr>
          <w:p w14:paraId="523FAE33" w14:textId="77777777" w:rsidR="0097404C" w:rsidRDefault="001407CB">
            <w:pPr>
              <w:rPr>
                <w:rFonts w:cs="Calibri"/>
                <w:kern w:val="0"/>
                <w:sz w:val="18"/>
                <w:szCs w:val="18"/>
              </w:rPr>
            </w:pPr>
            <w:r>
              <w:rPr>
                <w:rFonts w:cs="Calibri"/>
                <w:kern w:val="0"/>
                <w:sz w:val="18"/>
                <w:szCs w:val="18"/>
              </w:rPr>
              <w:t>±50%</w:t>
            </w:r>
          </w:p>
        </w:tc>
        <w:tc>
          <w:tcPr>
            <w:tcW w:w="1308" w:type="pct"/>
          </w:tcPr>
          <w:p w14:paraId="700AB197" w14:textId="77777777" w:rsidR="0097404C" w:rsidRDefault="001407CB">
            <w:pPr>
              <w:rPr>
                <w:rFonts w:cs="Calibri"/>
                <w:kern w:val="0"/>
                <w:sz w:val="18"/>
                <w:szCs w:val="18"/>
              </w:rPr>
            </w:pPr>
            <w:r>
              <w:rPr>
                <w:rFonts w:cs="Calibri"/>
                <w:kern w:val="0"/>
                <w:sz w:val="18"/>
                <w:szCs w:val="18"/>
              </w:rPr>
              <w:t>Uniform (0.0001, 0.0003)</w:t>
            </w:r>
          </w:p>
        </w:tc>
        <w:tc>
          <w:tcPr>
            <w:tcW w:w="602" w:type="pct"/>
          </w:tcPr>
          <w:p w14:paraId="654BF09A" w14:textId="704882E0" w:rsidR="0097404C" w:rsidRDefault="00865821" w:rsidP="006A6358">
            <w:pPr>
              <w:jc w:val="left"/>
              <w:rPr>
                <w:rFonts w:cs="Calibri"/>
                <w:kern w:val="0"/>
                <w:sz w:val="18"/>
                <w:szCs w:val="18"/>
              </w:rPr>
            </w:pPr>
            <w:r>
              <w:rPr>
                <w:rFonts w:cs="Calibri"/>
                <w:kern w:val="0"/>
                <w:sz w:val="18"/>
                <w:szCs w:val="18"/>
              </w:rPr>
              <w:fldChar w:fldCharType="begin"/>
            </w:r>
            <w:r w:rsidR="007D10D2">
              <w:rPr>
                <w:rFonts w:cs="Calibri"/>
                <w:kern w:val="0"/>
                <w:sz w:val="18"/>
                <w:szCs w:val="18"/>
              </w:rPr>
              <w:instrText xml:space="preserve"> ADDIN NE.Ref.{340F0A98-4CC7-4ED0-8E17-A2A11DDA5354}</w:instrText>
            </w:r>
            <w:r>
              <w:rPr>
                <w:rFonts w:cs="Calibri"/>
                <w:kern w:val="0"/>
                <w:sz w:val="18"/>
                <w:szCs w:val="18"/>
              </w:rPr>
              <w:fldChar w:fldCharType="separate"/>
            </w:r>
            <w:r w:rsidR="007D10D2">
              <w:rPr>
                <w:rFonts w:eastAsiaTheme="minorEastAsia" w:cs="Calibri"/>
                <w:color w:val="000000"/>
                <w:kern w:val="0"/>
                <w:sz w:val="18"/>
                <w:szCs w:val="18"/>
                <w:vertAlign w:val="superscript"/>
              </w:rPr>
              <w:t>2-4</w:t>
            </w:r>
            <w:r>
              <w:rPr>
                <w:rFonts w:cs="Calibri"/>
                <w:kern w:val="0"/>
                <w:sz w:val="18"/>
                <w:szCs w:val="18"/>
              </w:rPr>
              <w:fldChar w:fldCharType="end"/>
            </w:r>
          </w:p>
        </w:tc>
      </w:tr>
      <w:tr w:rsidR="0097404C" w14:paraId="6AE0A723" w14:textId="77777777">
        <w:trPr>
          <w:jc w:val="center"/>
        </w:trPr>
        <w:tc>
          <w:tcPr>
            <w:tcW w:w="1827" w:type="pct"/>
          </w:tcPr>
          <w:p w14:paraId="7AC179CD" w14:textId="77777777" w:rsidR="0097404C" w:rsidRDefault="001407CB">
            <w:pPr>
              <w:ind w:firstLineChars="200" w:firstLine="360"/>
              <w:jc w:val="left"/>
              <w:rPr>
                <w:rFonts w:cs="Calibri"/>
                <w:kern w:val="0"/>
                <w:sz w:val="18"/>
                <w:szCs w:val="18"/>
              </w:rPr>
            </w:pPr>
            <w:r>
              <w:rPr>
                <w:rFonts w:cs="Calibri"/>
                <w:kern w:val="0"/>
                <w:sz w:val="18"/>
                <w:szCs w:val="18"/>
              </w:rPr>
              <w:t>50-59 y</w:t>
            </w:r>
          </w:p>
        </w:tc>
        <w:tc>
          <w:tcPr>
            <w:tcW w:w="645" w:type="pct"/>
          </w:tcPr>
          <w:p w14:paraId="6B6AAAAD" w14:textId="77777777" w:rsidR="0097404C" w:rsidRDefault="001407CB">
            <w:pPr>
              <w:rPr>
                <w:rFonts w:cs="Calibri"/>
                <w:kern w:val="0"/>
                <w:sz w:val="18"/>
                <w:szCs w:val="18"/>
              </w:rPr>
            </w:pPr>
            <w:r>
              <w:rPr>
                <w:rFonts w:cs="Calibri"/>
                <w:kern w:val="0"/>
                <w:sz w:val="18"/>
                <w:szCs w:val="18"/>
              </w:rPr>
              <w:t>0.0007</w:t>
            </w:r>
          </w:p>
        </w:tc>
        <w:tc>
          <w:tcPr>
            <w:tcW w:w="618" w:type="pct"/>
          </w:tcPr>
          <w:p w14:paraId="76229CC4" w14:textId="77777777" w:rsidR="0097404C" w:rsidRDefault="001407CB">
            <w:pPr>
              <w:rPr>
                <w:rFonts w:cs="Calibri"/>
                <w:kern w:val="0"/>
                <w:sz w:val="18"/>
                <w:szCs w:val="18"/>
              </w:rPr>
            </w:pPr>
            <w:r>
              <w:rPr>
                <w:rFonts w:cs="Calibri"/>
                <w:kern w:val="0"/>
                <w:sz w:val="18"/>
                <w:szCs w:val="18"/>
              </w:rPr>
              <w:t>±50%</w:t>
            </w:r>
          </w:p>
        </w:tc>
        <w:tc>
          <w:tcPr>
            <w:tcW w:w="1308" w:type="pct"/>
          </w:tcPr>
          <w:p w14:paraId="28E4F707" w14:textId="77777777" w:rsidR="0097404C" w:rsidRDefault="001407CB">
            <w:pPr>
              <w:rPr>
                <w:rFonts w:cs="Calibri"/>
                <w:kern w:val="0"/>
                <w:sz w:val="18"/>
                <w:szCs w:val="18"/>
              </w:rPr>
            </w:pPr>
            <w:r>
              <w:rPr>
                <w:rFonts w:cs="Calibri"/>
                <w:kern w:val="0"/>
                <w:sz w:val="18"/>
                <w:szCs w:val="18"/>
              </w:rPr>
              <w:t>Uniform (0.0004, 0.0011)</w:t>
            </w:r>
          </w:p>
        </w:tc>
        <w:tc>
          <w:tcPr>
            <w:tcW w:w="602" w:type="pct"/>
          </w:tcPr>
          <w:p w14:paraId="72E589B4" w14:textId="77777777" w:rsidR="0097404C" w:rsidRDefault="0097404C">
            <w:pPr>
              <w:jc w:val="left"/>
              <w:rPr>
                <w:rFonts w:cs="Calibri"/>
                <w:kern w:val="0"/>
                <w:sz w:val="18"/>
                <w:szCs w:val="18"/>
              </w:rPr>
            </w:pPr>
          </w:p>
        </w:tc>
      </w:tr>
      <w:tr w:rsidR="0097404C" w14:paraId="76A791EC" w14:textId="77777777">
        <w:trPr>
          <w:jc w:val="center"/>
        </w:trPr>
        <w:tc>
          <w:tcPr>
            <w:tcW w:w="1827" w:type="pct"/>
          </w:tcPr>
          <w:p w14:paraId="4778E785" w14:textId="77777777" w:rsidR="0097404C" w:rsidRDefault="001407CB">
            <w:pPr>
              <w:ind w:firstLineChars="200" w:firstLine="360"/>
              <w:jc w:val="left"/>
              <w:rPr>
                <w:rFonts w:cs="Calibri"/>
                <w:kern w:val="0"/>
                <w:sz w:val="18"/>
                <w:szCs w:val="18"/>
              </w:rPr>
            </w:pPr>
            <w:r>
              <w:rPr>
                <w:rFonts w:cs="Calibri"/>
                <w:kern w:val="0"/>
                <w:sz w:val="18"/>
                <w:szCs w:val="18"/>
              </w:rPr>
              <w:t>60-69 y</w:t>
            </w:r>
          </w:p>
        </w:tc>
        <w:tc>
          <w:tcPr>
            <w:tcW w:w="645" w:type="pct"/>
          </w:tcPr>
          <w:p w14:paraId="0456B243" w14:textId="77777777" w:rsidR="0097404C" w:rsidRDefault="001407CB">
            <w:pPr>
              <w:rPr>
                <w:rFonts w:cs="Calibri"/>
                <w:kern w:val="0"/>
                <w:sz w:val="18"/>
                <w:szCs w:val="18"/>
              </w:rPr>
            </w:pPr>
            <w:r>
              <w:rPr>
                <w:rFonts w:cs="Calibri"/>
                <w:kern w:val="0"/>
                <w:sz w:val="18"/>
                <w:szCs w:val="18"/>
              </w:rPr>
              <w:t>0.00097</w:t>
            </w:r>
          </w:p>
        </w:tc>
        <w:tc>
          <w:tcPr>
            <w:tcW w:w="618" w:type="pct"/>
          </w:tcPr>
          <w:p w14:paraId="0D0158C2" w14:textId="77777777" w:rsidR="0097404C" w:rsidRDefault="001407CB">
            <w:pPr>
              <w:rPr>
                <w:rFonts w:cs="Calibri"/>
                <w:kern w:val="0"/>
                <w:sz w:val="18"/>
                <w:szCs w:val="18"/>
              </w:rPr>
            </w:pPr>
            <w:r>
              <w:rPr>
                <w:rFonts w:cs="Calibri"/>
                <w:kern w:val="0"/>
                <w:sz w:val="18"/>
                <w:szCs w:val="18"/>
              </w:rPr>
              <w:t>±50%</w:t>
            </w:r>
          </w:p>
        </w:tc>
        <w:tc>
          <w:tcPr>
            <w:tcW w:w="1308" w:type="pct"/>
          </w:tcPr>
          <w:p w14:paraId="07B6C899" w14:textId="76FD6AEB" w:rsidR="0097404C" w:rsidRDefault="001407CB">
            <w:pPr>
              <w:rPr>
                <w:rFonts w:cs="Calibri"/>
                <w:kern w:val="0"/>
                <w:sz w:val="18"/>
                <w:szCs w:val="18"/>
              </w:rPr>
            </w:pPr>
            <w:r>
              <w:rPr>
                <w:rFonts w:cs="Calibri"/>
                <w:kern w:val="0"/>
                <w:sz w:val="18"/>
                <w:szCs w:val="18"/>
              </w:rPr>
              <w:t>Uniform</w:t>
            </w:r>
            <w:r w:rsidR="00FC5E34">
              <w:rPr>
                <w:rFonts w:cs="Calibri" w:hint="eastAsia"/>
                <w:kern w:val="0"/>
                <w:sz w:val="18"/>
                <w:szCs w:val="18"/>
              </w:rPr>
              <w:t xml:space="preserve"> </w:t>
            </w:r>
            <w:r>
              <w:rPr>
                <w:rFonts w:cs="Calibri"/>
                <w:kern w:val="0"/>
                <w:sz w:val="18"/>
                <w:szCs w:val="18"/>
              </w:rPr>
              <w:t>(0.00048, 0.00145)</w:t>
            </w:r>
          </w:p>
        </w:tc>
        <w:tc>
          <w:tcPr>
            <w:tcW w:w="602" w:type="pct"/>
          </w:tcPr>
          <w:p w14:paraId="0A3A38F4" w14:textId="77777777" w:rsidR="0097404C" w:rsidRDefault="0097404C">
            <w:pPr>
              <w:jc w:val="left"/>
              <w:rPr>
                <w:rFonts w:cs="Calibri"/>
                <w:kern w:val="0"/>
                <w:sz w:val="18"/>
                <w:szCs w:val="18"/>
              </w:rPr>
            </w:pPr>
          </w:p>
        </w:tc>
      </w:tr>
      <w:tr w:rsidR="0097404C" w14:paraId="1EDE20C8" w14:textId="77777777">
        <w:trPr>
          <w:jc w:val="center"/>
        </w:trPr>
        <w:tc>
          <w:tcPr>
            <w:tcW w:w="1827" w:type="pct"/>
          </w:tcPr>
          <w:p w14:paraId="15960E29" w14:textId="77777777" w:rsidR="0097404C" w:rsidRDefault="001407CB">
            <w:pPr>
              <w:ind w:firstLineChars="200" w:firstLine="360"/>
              <w:jc w:val="left"/>
              <w:rPr>
                <w:rFonts w:cs="Calibri"/>
                <w:kern w:val="0"/>
                <w:sz w:val="18"/>
                <w:szCs w:val="18"/>
              </w:rPr>
            </w:pPr>
            <w:r>
              <w:rPr>
                <w:rFonts w:cs="Calibri"/>
                <w:kern w:val="0"/>
                <w:sz w:val="18"/>
                <w:szCs w:val="18"/>
              </w:rPr>
              <w:t>≥70 y</w:t>
            </w:r>
          </w:p>
        </w:tc>
        <w:tc>
          <w:tcPr>
            <w:tcW w:w="645" w:type="pct"/>
          </w:tcPr>
          <w:p w14:paraId="38AA0573" w14:textId="77777777" w:rsidR="0097404C" w:rsidRDefault="001407CB">
            <w:pPr>
              <w:rPr>
                <w:rFonts w:cs="Calibri"/>
                <w:kern w:val="0"/>
                <w:sz w:val="18"/>
                <w:szCs w:val="18"/>
              </w:rPr>
            </w:pPr>
            <w:r>
              <w:rPr>
                <w:rFonts w:cs="Calibri"/>
                <w:kern w:val="0"/>
                <w:sz w:val="18"/>
                <w:szCs w:val="18"/>
              </w:rPr>
              <w:t>0.00103</w:t>
            </w:r>
          </w:p>
        </w:tc>
        <w:tc>
          <w:tcPr>
            <w:tcW w:w="618" w:type="pct"/>
          </w:tcPr>
          <w:p w14:paraId="6D9FDC59" w14:textId="77777777" w:rsidR="0097404C" w:rsidRDefault="001407CB">
            <w:pPr>
              <w:rPr>
                <w:rFonts w:cs="Calibri"/>
                <w:kern w:val="0"/>
                <w:sz w:val="18"/>
                <w:szCs w:val="18"/>
              </w:rPr>
            </w:pPr>
            <w:r>
              <w:rPr>
                <w:rFonts w:cs="Calibri"/>
                <w:kern w:val="0"/>
                <w:sz w:val="18"/>
                <w:szCs w:val="18"/>
              </w:rPr>
              <w:t>±50%</w:t>
            </w:r>
          </w:p>
        </w:tc>
        <w:tc>
          <w:tcPr>
            <w:tcW w:w="1308" w:type="pct"/>
          </w:tcPr>
          <w:p w14:paraId="28D53ECA" w14:textId="72FBA20B" w:rsidR="0097404C" w:rsidRDefault="001407CB">
            <w:pPr>
              <w:rPr>
                <w:rFonts w:cs="Calibri"/>
                <w:kern w:val="0"/>
                <w:sz w:val="18"/>
                <w:szCs w:val="18"/>
              </w:rPr>
            </w:pPr>
            <w:r>
              <w:rPr>
                <w:rFonts w:cs="Calibri"/>
                <w:kern w:val="0"/>
                <w:sz w:val="18"/>
                <w:szCs w:val="18"/>
              </w:rPr>
              <w:t>Uniform</w:t>
            </w:r>
            <w:r w:rsidR="00FC5E34">
              <w:rPr>
                <w:rFonts w:cs="Calibri" w:hint="eastAsia"/>
                <w:kern w:val="0"/>
                <w:sz w:val="18"/>
                <w:szCs w:val="18"/>
              </w:rPr>
              <w:t xml:space="preserve"> </w:t>
            </w:r>
            <w:r>
              <w:rPr>
                <w:rFonts w:cs="Calibri"/>
                <w:kern w:val="0"/>
                <w:sz w:val="18"/>
                <w:szCs w:val="18"/>
              </w:rPr>
              <w:t>(0.00051, 0.00154)</w:t>
            </w:r>
          </w:p>
        </w:tc>
        <w:tc>
          <w:tcPr>
            <w:tcW w:w="602" w:type="pct"/>
          </w:tcPr>
          <w:p w14:paraId="17D699FC" w14:textId="77777777" w:rsidR="0097404C" w:rsidRDefault="0097404C">
            <w:pPr>
              <w:jc w:val="left"/>
              <w:rPr>
                <w:rFonts w:cs="Calibri"/>
                <w:kern w:val="0"/>
                <w:sz w:val="18"/>
                <w:szCs w:val="18"/>
              </w:rPr>
            </w:pPr>
          </w:p>
        </w:tc>
      </w:tr>
      <w:tr w:rsidR="0097404C" w14:paraId="4DD8FF9E" w14:textId="77777777">
        <w:trPr>
          <w:jc w:val="center"/>
        </w:trPr>
        <w:tc>
          <w:tcPr>
            <w:tcW w:w="1827" w:type="pct"/>
          </w:tcPr>
          <w:p w14:paraId="4A9C5007" w14:textId="77777777" w:rsidR="0097404C" w:rsidRDefault="001407CB">
            <w:pPr>
              <w:ind w:firstLineChars="100" w:firstLine="180"/>
              <w:jc w:val="left"/>
              <w:rPr>
                <w:rFonts w:cs="Calibri"/>
                <w:kern w:val="0"/>
                <w:sz w:val="18"/>
                <w:szCs w:val="18"/>
              </w:rPr>
            </w:pPr>
            <w:r>
              <w:rPr>
                <w:rFonts w:cs="Calibri"/>
                <w:kern w:val="0"/>
                <w:sz w:val="18"/>
                <w:szCs w:val="18"/>
              </w:rPr>
              <w:t>Progressed to a stroke</w:t>
            </w:r>
          </w:p>
        </w:tc>
        <w:tc>
          <w:tcPr>
            <w:tcW w:w="645" w:type="pct"/>
          </w:tcPr>
          <w:p w14:paraId="69B6FF4C" w14:textId="77777777" w:rsidR="0097404C" w:rsidRDefault="0097404C">
            <w:pPr>
              <w:rPr>
                <w:rFonts w:cs="Calibri"/>
                <w:kern w:val="0"/>
                <w:sz w:val="18"/>
                <w:szCs w:val="18"/>
              </w:rPr>
            </w:pPr>
          </w:p>
        </w:tc>
        <w:tc>
          <w:tcPr>
            <w:tcW w:w="618" w:type="pct"/>
          </w:tcPr>
          <w:p w14:paraId="2C6CEFE3" w14:textId="77777777" w:rsidR="0097404C" w:rsidRDefault="0097404C">
            <w:pPr>
              <w:rPr>
                <w:rFonts w:cs="Calibri"/>
                <w:kern w:val="0"/>
                <w:sz w:val="18"/>
                <w:szCs w:val="18"/>
              </w:rPr>
            </w:pPr>
          </w:p>
        </w:tc>
        <w:tc>
          <w:tcPr>
            <w:tcW w:w="1308" w:type="pct"/>
          </w:tcPr>
          <w:p w14:paraId="6A3B92CE" w14:textId="77777777" w:rsidR="0097404C" w:rsidRDefault="0097404C">
            <w:pPr>
              <w:rPr>
                <w:rFonts w:cs="Calibri"/>
                <w:kern w:val="0"/>
                <w:sz w:val="18"/>
                <w:szCs w:val="18"/>
              </w:rPr>
            </w:pPr>
          </w:p>
        </w:tc>
        <w:tc>
          <w:tcPr>
            <w:tcW w:w="602" w:type="pct"/>
          </w:tcPr>
          <w:p w14:paraId="0A7BE3A6" w14:textId="0F964B51" w:rsidR="0097404C" w:rsidRDefault="00865821" w:rsidP="006A6358">
            <w:pPr>
              <w:jc w:val="left"/>
              <w:rPr>
                <w:rFonts w:cs="Calibri"/>
                <w:kern w:val="0"/>
                <w:sz w:val="18"/>
                <w:szCs w:val="18"/>
              </w:rPr>
            </w:pPr>
            <w:r>
              <w:rPr>
                <w:rFonts w:cs="Calibri"/>
                <w:kern w:val="0"/>
                <w:sz w:val="18"/>
                <w:szCs w:val="18"/>
              </w:rPr>
              <w:fldChar w:fldCharType="begin"/>
            </w:r>
            <w:r w:rsidR="007D10D2">
              <w:rPr>
                <w:rFonts w:cs="Calibri"/>
                <w:kern w:val="0"/>
                <w:sz w:val="18"/>
                <w:szCs w:val="18"/>
              </w:rPr>
              <w:instrText xml:space="preserve"> ADDIN NE.Ref.{2B269B7A-397E-4B79-ACCC-2457F74F51E6}</w:instrText>
            </w:r>
            <w:r>
              <w:rPr>
                <w:rFonts w:cs="Calibri"/>
                <w:kern w:val="0"/>
                <w:sz w:val="18"/>
                <w:szCs w:val="18"/>
              </w:rPr>
              <w:fldChar w:fldCharType="separate"/>
            </w:r>
            <w:r w:rsidR="007D10D2">
              <w:rPr>
                <w:rFonts w:eastAsiaTheme="minorEastAsia" w:cs="Calibri"/>
                <w:color w:val="000000"/>
                <w:kern w:val="0"/>
                <w:sz w:val="18"/>
                <w:szCs w:val="18"/>
                <w:vertAlign w:val="superscript"/>
              </w:rPr>
              <w:t>2</w:t>
            </w:r>
            <w:r w:rsidR="007D10D2">
              <w:rPr>
                <w:rFonts w:eastAsiaTheme="minorEastAsia" w:cs="Calibri"/>
                <w:color w:val="000000"/>
                <w:kern w:val="0"/>
                <w:sz w:val="18"/>
                <w:szCs w:val="18"/>
              </w:rPr>
              <w:t xml:space="preserve">; </w:t>
            </w:r>
            <w:r w:rsidR="007D10D2">
              <w:rPr>
                <w:rFonts w:eastAsiaTheme="minorEastAsia" w:cs="Calibri"/>
                <w:color w:val="000000"/>
                <w:kern w:val="0"/>
                <w:sz w:val="18"/>
                <w:szCs w:val="18"/>
                <w:vertAlign w:val="superscript"/>
              </w:rPr>
              <w:t>5</w:t>
            </w:r>
            <w:r w:rsidR="007D10D2">
              <w:rPr>
                <w:rFonts w:eastAsiaTheme="minorEastAsia" w:cs="Calibri"/>
                <w:color w:val="000000"/>
                <w:kern w:val="0"/>
                <w:sz w:val="18"/>
                <w:szCs w:val="18"/>
              </w:rPr>
              <w:t xml:space="preserve">; </w:t>
            </w:r>
            <w:r w:rsidR="007D10D2">
              <w:rPr>
                <w:rFonts w:eastAsiaTheme="minorEastAsia" w:cs="Calibri"/>
                <w:color w:val="000000"/>
                <w:kern w:val="0"/>
                <w:sz w:val="18"/>
                <w:szCs w:val="18"/>
                <w:vertAlign w:val="superscript"/>
              </w:rPr>
              <w:t>6</w:t>
            </w:r>
            <w:r>
              <w:rPr>
                <w:rFonts w:cs="Calibri"/>
                <w:kern w:val="0"/>
                <w:sz w:val="18"/>
                <w:szCs w:val="18"/>
              </w:rPr>
              <w:fldChar w:fldCharType="end"/>
            </w:r>
          </w:p>
        </w:tc>
      </w:tr>
      <w:tr w:rsidR="0097404C" w14:paraId="63E228A7" w14:textId="77777777">
        <w:trPr>
          <w:jc w:val="center"/>
        </w:trPr>
        <w:tc>
          <w:tcPr>
            <w:tcW w:w="1827" w:type="pct"/>
          </w:tcPr>
          <w:p w14:paraId="18D31F9A" w14:textId="77777777" w:rsidR="0097404C" w:rsidRDefault="001407CB">
            <w:pPr>
              <w:ind w:firstLineChars="200" w:firstLine="360"/>
              <w:jc w:val="left"/>
              <w:rPr>
                <w:rFonts w:cs="Calibri"/>
                <w:kern w:val="0"/>
                <w:sz w:val="18"/>
                <w:szCs w:val="18"/>
              </w:rPr>
            </w:pPr>
            <w:r>
              <w:rPr>
                <w:rFonts w:cs="Calibri"/>
                <w:kern w:val="0"/>
                <w:sz w:val="18"/>
                <w:szCs w:val="18"/>
              </w:rPr>
              <w:t>40-49 y</w:t>
            </w:r>
          </w:p>
        </w:tc>
        <w:tc>
          <w:tcPr>
            <w:tcW w:w="645" w:type="pct"/>
          </w:tcPr>
          <w:p w14:paraId="76700A31" w14:textId="77777777" w:rsidR="0097404C" w:rsidRDefault="001407CB">
            <w:pPr>
              <w:rPr>
                <w:rFonts w:cs="Calibri"/>
                <w:kern w:val="0"/>
                <w:sz w:val="18"/>
                <w:szCs w:val="18"/>
              </w:rPr>
            </w:pPr>
            <w:r>
              <w:rPr>
                <w:rFonts w:cs="Calibri"/>
                <w:kern w:val="0"/>
                <w:sz w:val="18"/>
                <w:szCs w:val="18"/>
              </w:rPr>
              <w:t>0.0010</w:t>
            </w:r>
          </w:p>
        </w:tc>
        <w:tc>
          <w:tcPr>
            <w:tcW w:w="618" w:type="pct"/>
          </w:tcPr>
          <w:p w14:paraId="4344034B" w14:textId="77777777" w:rsidR="0097404C" w:rsidRDefault="001407CB">
            <w:pPr>
              <w:rPr>
                <w:rFonts w:cs="Calibri"/>
                <w:kern w:val="0"/>
                <w:sz w:val="18"/>
                <w:szCs w:val="18"/>
              </w:rPr>
            </w:pPr>
            <w:r>
              <w:rPr>
                <w:rFonts w:cs="Calibri"/>
                <w:kern w:val="0"/>
                <w:sz w:val="18"/>
                <w:szCs w:val="18"/>
              </w:rPr>
              <w:t>±50%</w:t>
            </w:r>
          </w:p>
        </w:tc>
        <w:tc>
          <w:tcPr>
            <w:tcW w:w="1308" w:type="pct"/>
          </w:tcPr>
          <w:p w14:paraId="233F3A13" w14:textId="77777777" w:rsidR="0097404C" w:rsidRDefault="001407CB">
            <w:pPr>
              <w:rPr>
                <w:rFonts w:cs="Calibri"/>
                <w:kern w:val="0"/>
                <w:sz w:val="18"/>
                <w:szCs w:val="18"/>
              </w:rPr>
            </w:pPr>
            <w:r>
              <w:rPr>
                <w:rFonts w:cs="Calibri"/>
                <w:kern w:val="0"/>
                <w:sz w:val="18"/>
                <w:szCs w:val="18"/>
              </w:rPr>
              <w:t>Uniform (0.0005, 0.0015)</w:t>
            </w:r>
          </w:p>
        </w:tc>
        <w:tc>
          <w:tcPr>
            <w:tcW w:w="602" w:type="pct"/>
          </w:tcPr>
          <w:p w14:paraId="4BA3BEF9" w14:textId="77777777" w:rsidR="0097404C" w:rsidRDefault="0097404C">
            <w:pPr>
              <w:jc w:val="left"/>
              <w:rPr>
                <w:rFonts w:cs="Calibri"/>
                <w:kern w:val="0"/>
                <w:sz w:val="18"/>
                <w:szCs w:val="18"/>
              </w:rPr>
            </w:pPr>
          </w:p>
        </w:tc>
      </w:tr>
      <w:tr w:rsidR="0097404C" w14:paraId="54AB401D" w14:textId="77777777">
        <w:trPr>
          <w:jc w:val="center"/>
        </w:trPr>
        <w:tc>
          <w:tcPr>
            <w:tcW w:w="1827" w:type="pct"/>
          </w:tcPr>
          <w:p w14:paraId="763E7278" w14:textId="77777777" w:rsidR="0097404C" w:rsidRDefault="001407CB">
            <w:pPr>
              <w:ind w:firstLineChars="200" w:firstLine="360"/>
              <w:jc w:val="left"/>
              <w:rPr>
                <w:rFonts w:cs="Calibri"/>
                <w:kern w:val="0"/>
                <w:sz w:val="18"/>
                <w:szCs w:val="18"/>
              </w:rPr>
            </w:pPr>
            <w:r>
              <w:rPr>
                <w:rFonts w:cs="Calibri"/>
                <w:kern w:val="0"/>
                <w:sz w:val="18"/>
                <w:szCs w:val="18"/>
              </w:rPr>
              <w:t>50-59 y</w:t>
            </w:r>
          </w:p>
        </w:tc>
        <w:tc>
          <w:tcPr>
            <w:tcW w:w="645" w:type="pct"/>
          </w:tcPr>
          <w:p w14:paraId="54BA63B2" w14:textId="77777777" w:rsidR="0097404C" w:rsidRDefault="001407CB">
            <w:pPr>
              <w:rPr>
                <w:rFonts w:cs="Calibri"/>
                <w:kern w:val="0"/>
                <w:sz w:val="18"/>
                <w:szCs w:val="18"/>
              </w:rPr>
            </w:pPr>
            <w:r>
              <w:rPr>
                <w:rFonts w:cs="Calibri"/>
                <w:kern w:val="0"/>
                <w:sz w:val="18"/>
                <w:szCs w:val="18"/>
              </w:rPr>
              <w:t>0.0029</w:t>
            </w:r>
          </w:p>
        </w:tc>
        <w:tc>
          <w:tcPr>
            <w:tcW w:w="618" w:type="pct"/>
          </w:tcPr>
          <w:p w14:paraId="0D8F987B" w14:textId="77777777" w:rsidR="0097404C" w:rsidRDefault="001407CB">
            <w:pPr>
              <w:rPr>
                <w:rFonts w:cs="Calibri"/>
                <w:kern w:val="0"/>
                <w:sz w:val="18"/>
                <w:szCs w:val="18"/>
              </w:rPr>
            </w:pPr>
            <w:r>
              <w:rPr>
                <w:rFonts w:cs="Calibri"/>
                <w:kern w:val="0"/>
                <w:sz w:val="18"/>
                <w:szCs w:val="18"/>
              </w:rPr>
              <w:t>±50%</w:t>
            </w:r>
          </w:p>
        </w:tc>
        <w:tc>
          <w:tcPr>
            <w:tcW w:w="1308" w:type="pct"/>
          </w:tcPr>
          <w:p w14:paraId="58D960FA" w14:textId="77777777" w:rsidR="0097404C" w:rsidRDefault="001407CB">
            <w:pPr>
              <w:rPr>
                <w:rFonts w:cs="Calibri"/>
                <w:kern w:val="0"/>
                <w:sz w:val="18"/>
                <w:szCs w:val="18"/>
              </w:rPr>
            </w:pPr>
            <w:r>
              <w:rPr>
                <w:rFonts w:cs="Calibri"/>
                <w:kern w:val="0"/>
                <w:sz w:val="18"/>
                <w:szCs w:val="18"/>
              </w:rPr>
              <w:t>Uniform (0.0014, 0.0043)</w:t>
            </w:r>
          </w:p>
        </w:tc>
        <w:tc>
          <w:tcPr>
            <w:tcW w:w="602" w:type="pct"/>
          </w:tcPr>
          <w:p w14:paraId="266A3CCD" w14:textId="77777777" w:rsidR="0097404C" w:rsidRDefault="0097404C">
            <w:pPr>
              <w:jc w:val="left"/>
              <w:rPr>
                <w:rFonts w:cs="Calibri"/>
                <w:kern w:val="0"/>
                <w:sz w:val="18"/>
                <w:szCs w:val="18"/>
              </w:rPr>
            </w:pPr>
          </w:p>
        </w:tc>
      </w:tr>
      <w:tr w:rsidR="0097404C" w14:paraId="2B15BFD0" w14:textId="77777777">
        <w:trPr>
          <w:jc w:val="center"/>
        </w:trPr>
        <w:tc>
          <w:tcPr>
            <w:tcW w:w="1827" w:type="pct"/>
          </w:tcPr>
          <w:p w14:paraId="48C788DA" w14:textId="77777777" w:rsidR="0097404C" w:rsidRDefault="001407CB">
            <w:pPr>
              <w:ind w:firstLineChars="200" w:firstLine="360"/>
              <w:jc w:val="left"/>
              <w:rPr>
                <w:rFonts w:cs="Calibri"/>
                <w:kern w:val="0"/>
                <w:sz w:val="18"/>
                <w:szCs w:val="18"/>
              </w:rPr>
            </w:pPr>
            <w:r>
              <w:rPr>
                <w:rFonts w:cs="Calibri"/>
                <w:kern w:val="0"/>
                <w:sz w:val="18"/>
                <w:szCs w:val="18"/>
              </w:rPr>
              <w:t>60-69 y</w:t>
            </w:r>
          </w:p>
        </w:tc>
        <w:tc>
          <w:tcPr>
            <w:tcW w:w="645" w:type="pct"/>
          </w:tcPr>
          <w:p w14:paraId="29D9F7C0" w14:textId="77777777" w:rsidR="0097404C" w:rsidRDefault="001407CB">
            <w:pPr>
              <w:rPr>
                <w:rFonts w:cs="Calibri"/>
                <w:kern w:val="0"/>
                <w:sz w:val="18"/>
                <w:szCs w:val="18"/>
              </w:rPr>
            </w:pPr>
            <w:r>
              <w:rPr>
                <w:rFonts w:cs="Calibri"/>
                <w:kern w:val="0"/>
                <w:sz w:val="18"/>
                <w:szCs w:val="18"/>
              </w:rPr>
              <w:t>0.0075</w:t>
            </w:r>
          </w:p>
        </w:tc>
        <w:tc>
          <w:tcPr>
            <w:tcW w:w="618" w:type="pct"/>
          </w:tcPr>
          <w:p w14:paraId="2A025173" w14:textId="77777777" w:rsidR="0097404C" w:rsidRDefault="001407CB">
            <w:pPr>
              <w:rPr>
                <w:rFonts w:cs="Calibri"/>
                <w:kern w:val="0"/>
                <w:sz w:val="18"/>
                <w:szCs w:val="18"/>
              </w:rPr>
            </w:pPr>
            <w:r>
              <w:rPr>
                <w:rFonts w:cs="Calibri"/>
                <w:kern w:val="0"/>
                <w:sz w:val="18"/>
                <w:szCs w:val="18"/>
              </w:rPr>
              <w:t>±50%</w:t>
            </w:r>
          </w:p>
        </w:tc>
        <w:tc>
          <w:tcPr>
            <w:tcW w:w="1308" w:type="pct"/>
          </w:tcPr>
          <w:p w14:paraId="35FB744E" w14:textId="77777777" w:rsidR="0097404C" w:rsidRDefault="001407CB">
            <w:pPr>
              <w:rPr>
                <w:rFonts w:cs="Calibri"/>
                <w:kern w:val="0"/>
                <w:sz w:val="18"/>
                <w:szCs w:val="18"/>
              </w:rPr>
            </w:pPr>
            <w:r>
              <w:rPr>
                <w:rFonts w:cs="Calibri"/>
                <w:kern w:val="0"/>
                <w:sz w:val="18"/>
                <w:szCs w:val="18"/>
              </w:rPr>
              <w:t>Uniform (0.0038, 0.0113)</w:t>
            </w:r>
          </w:p>
        </w:tc>
        <w:tc>
          <w:tcPr>
            <w:tcW w:w="602" w:type="pct"/>
          </w:tcPr>
          <w:p w14:paraId="0AA9B1C6" w14:textId="77777777" w:rsidR="0097404C" w:rsidRDefault="0097404C">
            <w:pPr>
              <w:jc w:val="left"/>
              <w:rPr>
                <w:rFonts w:cs="Calibri"/>
                <w:kern w:val="0"/>
                <w:sz w:val="18"/>
                <w:szCs w:val="18"/>
              </w:rPr>
            </w:pPr>
          </w:p>
        </w:tc>
      </w:tr>
      <w:tr w:rsidR="0097404C" w14:paraId="75118625" w14:textId="77777777">
        <w:trPr>
          <w:jc w:val="center"/>
        </w:trPr>
        <w:tc>
          <w:tcPr>
            <w:tcW w:w="1827" w:type="pct"/>
          </w:tcPr>
          <w:p w14:paraId="7C6C61F4" w14:textId="77777777" w:rsidR="0097404C" w:rsidRDefault="001407CB">
            <w:pPr>
              <w:ind w:firstLineChars="200" w:firstLine="360"/>
              <w:jc w:val="left"/>
              <w:rPr>
                <w:rFonts w:cs="Calibri"/>
                <w:kern w:val="0"/>
                <w:sz w:val="18"/>
                <w:szCs w:val="18"/>
              </w:rPr>
            </w:pPr>
            <w:r>
              <w:rPr>
                <w:rFonts w:cs="Calibri"/>
                <w:kern w:val="0"/>
                <w:sz w:val="18"/>
                <w:szCs w:val="18"/>
              </w:rPr>
              <w:t>≥70 y</w:t>
            </w:r>
          </w:p>
        </w:tc>
        <w:tc>
          <w:tcPr>
            <w:tcW w:w="645" w:type="pct"/>
          </w:tcPr>
          <w:p w14:paraId="64F6D436" w14:textId="77777777" w:rsidR="0097404C" w:rsidRDefault="001407CB">
            <w:pPr>
              <w:rPr>
                <w:rFonts w:cs="Calibri"/>
                <w:kern w:val="0"/>
                <w:sz w:val="18"/>
                <w:szCs w:val="18"/>
              </w:rPr>
            </w:pPr>
            <w:r>
              <w:rPr>
                <w:rFonts w:cs="Calibri"/>
                <w:kern w:val="0"/>
                <w:sz w:val="18"/>
                <w:szCs w:val="18"/>
              </w:rPr>
              <w:t>0.0149</w:t>
            </w:r>
          </w:p>
        </w:tc>
        <w:tc>
          <w:tcPr>
            <w:tcW w:w="618" w:type="pct"/>
          </w:tcPr>
          <w:p w14:paraId="6C37FE25" w14:textId="77777777" w:rsidR="0097404C" w:rsidRDefault="001407CB">
            <w:pPr>
              <w:rPr>
                <w:rFonts w:cs="Calibri"/>
                <w:kern w:val="0"/>
                <w:sz w:val="18"/>
                <w:szCs w:val="18"/>
              </w:rPr>
            </w:pPr>
            <w:r>
              <w:rPr>
                <w:rFonts w:cs="Calibri"/>
                <w:kern w:val="0"/>
                <w:sz w:val="18"/>
                <w:szCs w:val="18"/>
              </w:rPr>
              <w:t>±50%</w:t>
            </w:r>
          </w:p>
        </w:tc>
        <w:tc>
          <w:tcPr>
            <w:tcW w:w="1308" w:type="pct"/>
          </w:tcPr>
          <w:p w14:paraId="3B1DCC2D" w14:textId="77777777" w:rsidR="0097404C" w:rsidRDefault="001407CB">
            <w:pPr>
              <w:rPr>
                <w:rFonts w:cs="Calibri"/>
                <w:kern w:val="0"/>
                <w:sz w:val="18"/>
                <w:szCs w:val="18"/>
              </w:rPr>
            </w:pPr>
            <w:r>
              <w:rPr>
                <w:rFonts w:cs="Calibri"/>
                <w:kern w:val="0"/>
                <w:sz w:val="18"/>
                <w:szCs w:val="18"/>
              </w:rPr>
              <w:t>Uniform (0.0074, 0.0223)</w:t>
            </w:r>
          </w:p>
        </w:tc>
        <w:tc>
          <w:tcPr>
            <w:tcW w:w="602" w:type="pct"/>
          </w:tcPr>
          <w:p w14:paraId="012EA235" w14:textId="77777777" w:rsidR="0097404C" w:rsidRDefault="0097404C">
            <w:pPr>
              <w:jc w:val="left"/>
              <w:rPr>
                <w:rFonts w:cs="Calibri"/>
                <w:kern w:val="0"/>
                <w:sz w:val="18"/>
                <w:szCs w:val="18"/>
              </w:rPr>
            </w:pPr>
          </w:p>
        </w:tc>
      </w:tr>
      <w:tr w:rsidR="0097404C" w14:paraId="49100DFE" w14:textId="77777777">
        <w:trPr>
          <w:jc w:val="center"/>
        </w:trPr>
        <w:tc>
          <w:tcPr>
            <w:tcW w:w="1827" w:type="pct"/>
          </w:tcPr>
          <w:p w14:paraId="3C5430CE" w14:textId="77777777" w:rsidR="0097404C" w:rsidRDefault="001407CB">
            <w:pPr>
              <w:ind w:firstLineChars="100" w:firstLine="180"/>
              <w:jc w:val="left"/>
              <w:rPr>
                <w:rFonts w:cs="Calibri"/>
                <w:kern w:val="0"/>
                <w:sz w:val="18"/>
                <w:szCs w:val="18"/>
              </w:rPr>
            </w:pPr>
            <w:r>
              <w:rPr>
                <w:rFonts w:cs="Calibri"/>
                <w:kern w:val="0"/>
                <w:sz w:val="18"/>
                <w:szCs w:val="18"/>
              </w:rPr>
              <w:t>Progress to death</w:t>
            </w:r>
          </w:p>
        </w:tc>
        <w:tc>
          <w:tcPr>
            <w:tcW w:w="645" w:type="pct"/>
          </w:tcPr>
          <w:p w14:paraId="04E11B7E" w14:textId="77777777" w:rsidR="0097404C" w:rsidRDefault="0097404C">
            <w:pPr>
              <w:rPr>
                <w:rFonts w:cs="Calibri"/>
                <w:kern w:val="0"/>
                <w:sz w:val="18"/>
                <w:szCs w:val="18"/>
              </w:rPr>
            </w:pPr>
          </w:p>
        </w:tc>
        <w:tc>
          <w:tcPr>
            <w:tcW w:w="618" w:type="pct"/>
          </w:tcPr>
          <w:p w14:paraId="4AE85D48" w14:textId="77777777" w:rsidR="0097404C" w:rsidRDefault="0097404C">
            <w:pPr>
              <w:rPr>
                <w:rFonts w:cs="Calibri"/>
                <w:kern w:val="0"/>
                <w:sz w:val="18"/>
                <w:szCs w:val="18"/>
              </w:rPr>
            </w:pPr>
          </w:p>
        </w:tc>
        <w:tc>
          <w:tcPr>
            <w:tcW w:w="1308" w:type="pct"/>
          </w:tcPr>
          <w:p w14:paraId="4F4F68F3" w14:textId="77777777" w:rsidR="0097404C" w:rsidRDefault="0097404C">
            <w:pPr>
              <w:rPr>
                <w:rFonts w:cs="Calibri"/>
                <w:kern w:val="0"/>
                <w:sz w:val="18"/>
                <w:szCs w:val="18"/>
              </w:rPr>
            </w:pPr>
          </w:p>
        </w:tc>
        <w:tc>
          <w:tcPr>
            <w:tcW w:w="602" w:type="pct"/>
          </w:tcPr>
          <w:p w14:paraId="347A0B4B" w14:textId="77777777" w:rsidR="0097404C" w:rsidRDefault="0097404C">
            <w:pPr>
              <w:jc w:val="left"/>
              <w:rPr>
                <w:rFonts w:cs="Calibri"/>
                <w:kern w:val="0"/>
                <w:sz w:val="18"/>
                <w:szCs w:val="18"/>
              </w:rPr>
            </w:pPr>
          </w:p>
        </w:tc>
      </w:tr>
      <w:tr w:rsidR="0097404C" w14:paraId="7503FFB6" w14:textId="77777777">
        <w:trPr>
          <w:jc w:val="center"/>
        </w:trPr>
        <w:tc>
          <w:tcPr>
            <w:tcW w:w="1827" w:type="pct"/>
          </w:tcPr>
          <w:p w14:paraId="07F5A9A3" w14:textId="77777777" w:rsidR="0097404C" w:rsidRDefault="001407CB">
            <w:pPr>
              <w:ind w:firstLineChars="200" w:firstLine="360"/>
              <w:jc w:val="left"/>
              <w:rPr>
                <w:rFonts w:cs="Calibri"/>
                <w:kern w:val="0"/>
                <w:sz w:val="18"/>
                <w:szCs w:val="18"/>
              </w:rPr>
            </w:pPr>
            <w:r>
              <w:rPr>
                <w:rFonts w:cs="Calibri"/>
                <w:kern w:val="0"/>
                <w:sz w:val="18"/>
                <w:szCs w:val="18"/>
              </w:rPr>
              <w:t>40-44 y</w:t>
            </w:r>
          </w:p>
        </w:tc>
        <w:tc>
          <w:tcPr>
            <w:tcW w:w="645" w:type="pct"/>
          </w:tcPr>
          <w:p w14:paraId="767975F4" w14:textId="77777777" w:rsidR="0097404C" w:rsidRDefault="001407CB">
            <w:pPr>
              <w:rPr>
                <w:rFonts w:cs="Calibri"/>
                <w:kern w:val="0"/>
                <w:sz w:val="18"/>
                <w:szCs w:val="18"/>
              </w:rPr>
            </w:pPr>
            <w:r>
              <w:rPr>
                <w:rFonts w:cs="Calibri"/>
                <w:kern w:val="0"/>
                <w:sz w:val="18"/>
                <w:szCs w:val="18"/>
              </w:rPr>
              <w:t xml:space="preserve">0.0016 </w:t>
            </w:r>
          </w:p>
        </w:tc>
        <w:tc>
          <w:tcPr>
            <w:tcW w:w="618" w:type="pct"/>
          </w:tcPr>
          <w:p w14:paraId="2CAF0422" w14:textId="77777777" w:rsidR="0097404C" w:rsidRDefault="0097404C">
            <w:pPr>
              <w:rPr>
                <w:rFonts w:cs="Calibri"/>
                <w:kern w:val="0"/>
                <w:sz w:val="18"/>
                <w:szCs w:val="18"/>
              </w:rPr>
            </w:pPr>
          </w:p>
        </w:tc>
        <w:tc>
          <w:tcPr>
            <w:tcW w:w="1308" w:type="pct"/>
          </w:tcPr>
          <w:p w14:paraId="513E54CE" w14:textId="77777777" w:rsidR="0097404C" w:rsidRDefault="0097404C">
            <w:pPr>
              <w:rPr>
                <w:rFonts w:cs="Calibri"/>
                <w:kern w:val="0"/>
                <w:sz w:val="18"/>
                <w:szCs w:val="18"/>
              </w:rPr>
            </w:pPr>
          </w:p>
        </w:tc>
        <w:tc>
          <w:tcPr>
            <w:tcW w:w="602" w:type="pct"/>
          </w:tcPr>
          <w:p w14:paraId="5F48557A" w14:textId="4BDD1F21" w:rsidR="0097404C" w:rsidRDefault="00865821" w:rsidP="006A6358">
            <w:pPr>
              <w:jc w:val="left"/>
              <w:rPr>
                <w:rFonts w:cs="Calibri"/>
                <w:kern w:val="0"/>
                <w:sz w:val="18"/>
                <w:szCs w:val="18"/>
              </w:rPr>
            </w:pPr>
            <w:r>
              <w:rPr>
                <w:rFonts w:cs="Calibri"/>
                <w:kern w:val="0"/>
                <w:sz w:val="18"/>
                <w:szCs w:val="18"/>
              </w:rPr>
              <w:fldChar w:fldCharType="begin"/>
            </w:r>
            <w:r w:rsidR="007D10D2">
              <w:rPr>
                <w:rFonts w:cs="Calibri"/>
                <w:kern w:val="0"/>
                <w:sz w:val="18"/>
                <w:szCs w:val="18"/>
              </w:rPr>
              <w:instrText xml:space="preserve"> ADDIN NE.Ref.{88E43DAF-8646-49A0-876E-C9C56FBC50B0}</w:instrText>
            </w:r>
            <w:r>
              <w:rPr>
                <w:rFonts w:cs="Calibri"/>
                <w:kern w:val="0"/>
                <w:sz w:val="18"/>
                <w:szCs w:val="18"/>
              </w:rPr>
              <w:fldChar w:fldCharType="separate"/>
            </w:r>
            <w:r w:rsidR="007D10D2">
              <w:rPr>
                <w:rFonts w:eastAsiaTheme="minorEastAsia" w:cs="Calibri"/>
                <w:color w:val="000000"/>
                <w:kern w:val="0"/>
                <w:sz w:val="18"/>
                <w:szCs w:val="18"/>
                <w:vertAlign w:val="superscript"/>
              </w:rPr>
              <w:t>6</w:t>
            </w:r>
            <w:r>
              <w:rPr>
                <w:rFonts w:cs="Calibri"/>
                <w:kern w:val="0"/>
                <w:sz w:val="18"/>
                <w:szCs w:val="18"/>
              </w:rPr>
              <w:fldChar w:fldCharType="end"/>
            </w:r>
          </w:p>
        </w:tc>
      </w:tr>
      <w:tr w:rsidR="0097404C" w14:paraId="0E5B2026" w14:textId="77777777">
        <w:trPr>
          <w:jc w:val="center"/>
        </w:trPr>
        <w:tc>
          <w:tcPr>
            <w:tcW w:w="1827" w:type="pct"/>
          </w:tcPr>
          <w:p w14:paraId="3575D384" w14:textId="77777777" w:rsidR="0097404C" w:rsidRDefault="001407CB">
            <w:pPr>
              <w:ind w:firstLineChars="200" w:firstLine="360"/>
              <w:jc w:val="left"/>
              <w:rPr>
                <w:rFonts w:cs="Calibri"/>
                <w:kern w:val="0"/>
                <w:sz w:val="18"/>
                <w:szCs w:val="18"/>
              </w:rPr>
            </w:pPr>
            <w:r>
              <w:rPr>
                <w:rFonts w:cs="Calibri"/>
                <w:kern w:val="0"/>
                <w:sz w:val="18"/>
                <w:szCs w:val="18"/>
              </w:rPr>
              <w:t>45-49 y</w:t>
            </w:r>
          </w:p>
        </w:tc>
        <w:tc>
          <w:tcPr>
            <w:tcW w:w="645" w:type="pct"/>
          </w:tcPr>
          <w:p w14:paraId="04404619" w14:textId="77777777" w:rsidR="0097404C" w:rsidRDefault="001407CB">
            <w:pPr>
              <w:rPr>
                <w:rFonts w:cs="Calibri"/>
                <w:kern w:val="0"/>
                <w:sz w:val="18"/>
                <w:szCs w:val="18"/>
              </w:rPr>
            </w:pPr>
            <w:r>
              <w:rPr>
                <w:rFonts w:cs="Calibri"/>
                <w:kern w:val="0"/>
                <w:sz w:val="18"/>
                <w:szCs w:val="18"/>
              </w:rPr>
              <w:t xml:space="preserve">0.0021 </w:t>
            </w:r>
          </w:p>
        </w:tc>
        <w:tc>
          <w:tcPr>
            <w:tcW w:w="618" w:type="pct"/>
          </w:tcPr>
          <w:p w14:paraId="30CDEA13" w14:textId="77777777" w:rsidR="0097404C" w:rsidRDefault="0097404C">
            <w:pPr>
              <w:rPr>
                <w:rFonts w:cs="Calibri"/>
                <w:kern w:val="0"/>
                <w:sz w:val="18"/>
                <w:szCs w:val="18"/>
              </w:rPr>
            </w:pPr>
          </w:p>
        </w:tc>
        <w:tc>
          <w:tcPr>
            <w:tcW w:w="1308" w:type="pct"/>
          </w:tcPr>
          <w:p w14:paraId="6699AF32" w14:textId="77777777" w:rsidR="0097404C" w:rsidRDefault="0097404C">
            <w:pPr>
              <w:rPr>
                <w:rFonts w:cs="Calibri"/>
                <w:kern w:val="0"/>
                <w:sz w:val="18"/>
                <w:szCs w:val="18"/>
              </w:rPr>
            </w:pPr>
          </w:p>
        </w:tc>
        <w:tc>
          <w:tcPr>
            <w:tcW w:w="602" w:type="pct"/>
          </w:tcPr>
          <w:p w14:paraId="30E2F844" w14:textId="77777777" w:rsidR="0097404C" w:rsidRDefault="0097404C">
            <w:pPr>
              <w:jc w:val="left"/>
              <w:rPr>
                <w:rFonts w:cs="Calibri"/>
                <w:kern w:val="0"/>
                <w:sz w:val="18"/>
                <w:szCs w:val="18"/>
              </w:rPr>
            </w:pPr>
          </w:p>
        </w:tc>
      </w:tr>
      <w:tr w:rsidR="0097404C" w14:paraId="726952E0" w14:textId="77777777">
        <w:trPr>
          <w:jc w:val="center"/>
        </w:trPr>
        <w:tc>
          <w:tcPr>
            <w:tcW w:w="1827" w:type="pct"/>
          </w:tcPr>
          <w:p w14:paraId="58ED044E" w14:textId="77777777" w:rsidR="0097404C" w:rsidRDefault="001407CB">
            <w:pPr>
              <w:ind w:firstLineChars="200" w:firstLine="360"/>
              <w:jc w:val="left"/>
              <w:rPr>
                <w:rFonts w:cs="Calibri"/>
                <w:kern w:val="0"/>
                <w:sz w:val="18"/>
                <w:szCs w:val="18"/>
              </w:rPr>
            </w:pPr>
            <w:r>
              <w:rPr>
                <w:rFonts w:cs="Calibri"/>
                <w:kern w:val="0"/>
                <w:sz w:val="18"/>
                <w:szCs w:val="18"/>
              </w:rPr>
              <w:t>50-54 y</w:t>
            </w:r>
          </w:p>
        </w:tc>
        <w:tc>
          <w:tcPr>
            <w:tcW w:w="645" w:type="pct"/>
          </w:tcPr>
          <w:p w14:paraId="17CB0E83" w14:textId="77777777" w:rsidR="0097404C" w:rsidRDefault="001407CB">
            <w:pPr>
              <w:rPr>
                <w:rFonts w:cs="Calibri"/>
                <w:kern w:val="0"/>
                <w:sz w:val="18"/>
                <w:szCs w:val="18"/>
              </w:rPr>
            </w:pPr>
            <w:r>
              <w:rPr>
                <w:rFonts w:cs="Calibri"/>
                <w:kern w:val="0"/>
                <w:sz w:val="18"/>
                <w:szCs w:val="18"/>
              </w:rPr>
              <w:t xml:space="preserve">0.0033 </w:t>
            </w:r>
          </w:p>
        </w:tc>
        <w:tc>
          <w:tcPr>
            <w:tcW w:w="618" w:type="pct"/>
          </w:tcPr>
          <w:p w14:paraId="63F879D3" w14:textId="77777777" w:rsidR="0097404C" w:rsidRDefault="0097404C">
            <w:pPr>
              <w:rPr>
                <w:rFonts w:cs="Calibri"/>
                <w:kern w:val="0"/>
                <w:sz w:val="18"/>
                <w:szCs w:val="18"/>
              </w:rPr>
            </w:pPr>
          </w:p>
        </w:tc>
        <w:tc>
          <w:tcPr>
            <w:tcW w:w="1308" w:type="pct"/>
          </w:tcPr>
          <w:p w14:paraId="4E66835F" w14:textId="77777777" w:rsidR="0097404C" w:rsidRDefault="0097404C">
            <w:pPr>
              <w:rPr>
                <w:rFonts w:cs="Calibri"/>
                <w:kern w:val="0"/>
                <w:sz w:val="18"/>
                <w:szCs w:val="18"/>
              </w:rPr>
            </w:pPr>
          </w:p>
        </w:tc>
        <w:tc>
          <w:tcPr>
            <w:tcW w:w="602" w:type="pct"/>
          </w:tcPr>
          <w:p w14:paraId="4DCAA6AE" w14:textId="77777777" w:rsidR="0097404C" w:rsidRDefault="0097404C">
            <w:pPr>
              <w:jc w:val="left"/>
              <w:rPr>
                <w:rFonts w:cs="Calibri"/>
                <w:kern w:val="0"/>
                <w:sz w:val="18"/>
                <w:szCs w:val="18"/>
              </w:rPr>
            </w:pPr>
          </w:p>
        </w:tc>
      </w:tr>
      <w:tr w:rsidR="0097404C" w14:paraId="459C0DA2" w14:textId="77777777">
        <w:trPr>
          <w:jc w:val="center"/>
        </w:trPr>
        <w:tc>
          <w:tcPr>
            <w:tcW w:w="1827" w:type="pct"/>
          </w:tcPr>
          <w:p w14:paraId="4D9D4A45" w14:textId="77777777" w:rsidR="0097404C" w:rsidRDefault="001407CB">
            <w:pPr>
              <w:ind w:firstLineChars="200" w:firstLine="360"/>
              <w:jc w:val="left"/>
              <w:rPr>
                <w:rFonts w:cs="Calibri"/>
                <w:kern w:val="0"/>
                <w:sz w:val="18"/>
                <w:szCs w:val="18"/>
              </w:rPr>
            </w:pPr>
            <w:r>
              <w:rPr>
                <w:rFonts w:cs="Calibri"/>
                <w:kern w:val="0"/>
                <w:sz w:val="18"/>
                <w:szCs w:val="18"/>
              </w:rPr>
              <w:t>55-59 y</w:t>
            </w:r>
          </w:p>
        </w:tc>
        <w:tc>
          <w:tcPr>
            <w:tcW w:w="645" w:type="pct"/>
          </w:tcPr>
          <w:p w14:paraId="26370C50" w14:textId="77777777" w:rsidR="0097404C" w:rsidRDefault="001407CB">
            <w:pPr>
              <w:rPr>
                <w:rFonts w:cs="Calibri"/>
                <w:kern w:val="0"/>
                <w:sz w:val="18"/>
                <w:szCs w:val="18"/>
              </w:rPr>
            </w:pPr>
            <w:r>
              <w:rPr>
                <w:rFonts w:cs="Calibri"/>
                <w:kern w:val="0"/>
                <w:sz w:val="18"/>
                <w:szCs w:val="18"/>
              </w:rPr>
              <w:t xml:space="preserve">0.0051 </w:t>
            </w:r>
          </w:p>
        </w:tc>
        <w:tc>
          <w:tcPr>
            <w:tcW w:w="618" w:type="pct"/>
          </w:tcPr>
          <w:p w14:paraId="28E02B56" w14:textId="77777777" w:rsidR="0097404C" w:rsidRDefault="0097404C">
            <w:pPr>
              <w:rPr>
                <w:rFonts w:cs="Calibri"/>
                <w:kern w:val="0"/>
                <w:sz w:val="18"/>
                <w:szCs w:val="18"/>
              </w:rPr>
            </w:pPr>
          </w:p>
        </w:tc>
        <w:tc>
          <w:tcPr>
            <w:tcW w:w="1308" w:type="pct"/>
          </w:tcPr>
          <w:p w14:paraId="3AEB46A7" w14:textId="77777777" w:rsidR="0097404C" w:rsidRDefault="0097404C">
            <w:pPr>
              <w:rPr>
                <w:rFonts w:cs="Calibri"/>
                <w:kern w:val="0"/>
                <w:sz w:val="18"/>
                <w:szCs w:val="18"/>
              </w:rPr>
            </w:pPr>
          </w:p>
        </w:tc>
        <w:tc>
          <w:tcPr>
            <w:tcW w:w="602" w:type="pct"/>
          </w:tcPr>
          <w:p w14:paraId="6F024849" w14:textId="77777777" w:rsidR="0097404C" w:rsidRDefault="0097404C">
            <w:pPr>
              <w:jc w:val="left"/>
              <w:rPr>
                <w:rFonts w:cs="Calibri"/>
                <w:kern w:val="0"/>
                <w:sz w:val="18"/>
                <w:szCs w:val="18"/>
              </w:rPr>
            </w:pPr>
          </w:p>
        </w:tc>
      </w:tr>
      <w:tr w:rsidR="0097404C" w14:paraId="30ABEE5C" w14:textId="77777777">
        <w:trPr>
          <w:jc w:val="center"/>
        </w:trPr>
        <w:tc>
          <w:tcPr>
            <w:tcW w:w="1827" w:type="pct"/>
          </w:tcPr>
          <w:p w14:paraId="0EC3D619" w14:textId="77777777" w:rsidR="0097404C" w:rsidRDefault="001407CB">
            <w:pPr>
              <w:ind w:firstLineChars="200" w:firstLine="360"/>
              <w:jc w:val="left"/>
              <w:rPr>
                <w:rFonts w:cs="Calibri"/>
                <w:kern w:val="0"/>
                <w:sz w:val="18"/>
                <w:szCs w:val="18"/>
              </w:rPr>
            </w:pPr>
            <w:r>
              <w:rPr>
                <w:rFonts w:cs="Calibri"/>
                <w:kern w:val="0"/>
                <w:sz w:val="18"/>
                <w:szCs w:val="18"/>
              </w:rPr>
              <w:t>60-64 y</w:t>
            </w:r>
          </w:p>
        </w:tc>
        <w:tc>
          <w:tcPr>
            <w:tcW w:w="645" w:type="pct"/>
          </w:tcPr>
          <w:p w14:paraId="09F9332F" w14:textId="77777777" w:rsidR="0097404C" w:rsidRDefault="001407CB">
            <w:pPr>
              <w:rPr>
                <w:rFonts w:cs="Calibri"/>
                <w:kern w:val="0"/>
                <w:sz w:val="18"/>
                <w:szCs w:val="18"/>
              </w:rPr>
            </w:pPr>
            <w:r>
              <w:rPr>
                <w:rFonts w:cs="Calibri"/>
                <w:kern w:val="0"/>
                <w:sz w:val="18"/>
                <w:szCs w:val="18"/>
              </w:rPr>
              <w:t xml:space="preserve">0.0081 </w:t>
            </w:r>
          </w:p>
        </w:tc>
        <w:tc>
          <w:tcPr>
            <w:tcW w:w="618" w:type="pct"/>
          </w:tcPr>
          <w:p w14:paraId="382D4B18" w14:textId="77777777" w:rsidR="0097404C" w:rsidRDefault="0097404C">
            <w:pPr>
              <w:rPr>
                <w:rFonts w:cs="Calibri"/>
                <w:kern w:val="0"/>
                <w:sz w:val="18"/>
                <w:szCs w:val="18"/>
              </w:rPr>
            </w:pPr>
          </w:p>
        </w:tc>
        <w:tc>
          <w:tcPr>
            <w:tcW w:w="1308" w:type="pct"/>
          </w:tcPr>
          <w:p w14:paraId="3CA6BA53" w14:textId="77777777" w:rsidR="0097404C" w:rsidRDefault="0097404C">
            <w:pPr>
              <w:rPr>
                <w:rFonts w:cs="Calibri"/>
                <w:kern w:val="0"/>
                <w:sz w:val="18"/>
                <w:szCs w:val="18"/>
              </w:rPr>
            </w:pPr>
          </w:p>
        </w:tc>
        <w:tc>
          <w:tcPr>
            <w:tcW w:w="602" w:type="pct"/>
          </w:tcPr>
          <w:p w14:paraId="6346DD7D" w14:textId="77777777" w:rsidR="0097404C" w:rsidRDefault="0097404C">
            <w:pPr>
              <w:jc w:val="left"/>
              <w:rPr>
                <w:rFonts w:cs="Calibri"/>
                <w:kern w:val="0"/>
                <w:sz w:val="18"/>
                <w:szCs w:val="18"/>
              </w:rPr>
            </w:pPr>
          </w:p>
        </w:tc>
      </w:tr>
      <w:tr w:rsidR="0097404C" w14:paraId="66DD34B4" w14:textId="77777777">
        <w:trPr>
          <w:jc w:val="center"/>
        </w:trPr>
        <w:tc>
          <w:tcPr>
            <w:tcW w:w="1827" w:type="pct"/>
          </w:tcPr>
          <w:p w14:paraId="4EE4131E" w14:textId="77777777" w:rsidR="0097404C" w:rsidRDefault="001407CB">
            <w:pPr>
              <w:ind w:firstLineChars="200" w:firstLine="360"/>
              <w:jc w:val="left"/>
              <w:rPr>
                <w:rFonts w:cs="Calibri"/>
                <w:kern w:val="0"/>
                <w:sz w:val="18"/>
                <w:szCs w:val="18"/>
              </w:rPr>
            </w:pPr>
            <w:r>
              <w:rPr>
                <w:rFonts w:cs="Calibri"/>
                <w:kern w:val="0"/>
                <w:sz w:val="18"/>
                <w:szCs w:val="18"/>
              </w:rPr>
              <w:t>65-69 y</w:t>
            </w:r>
          </w:p>
        </w:tc>
        <w:tc>
          <w:tcPr>
            <w:tcW w:w="645" w:type="pct"/>
          </w:tcPr>
          <w:p w14:paraId="1EBE3B9E" w14:textId="77777777" w:rsidR="0097404C" w:rsidRDefault="001407CB">
            <w:pPr>
              <w:rPr>
                <w:rFonts w:cs="Calibri"/>
                <w:kern w:val="0"/>
                <w:sz w:val="18"/>
                <w:szCs w:val="18"/>
              </w:rPr>
            </w:pPr>
            <w:r>
              <w:rPr>
                <w:rFonts w:cs="Calibri"/>
                <w:kern w:val="0"/>
                <w:sz w:val="18"/>
                <w:szCs w:val="18"/>
              </w:rPr>
              <w:t xml:space="preserve">0.0127 </w:t>
            </w:r>
          </w:p>
        </w:tc>
        <w:tc>
          <w:tcPr>
            <w:tcW w:w="618" w:type="pct"/>
          </w:tcPr>
          <w:p w14:paraId="0301EE73" w14:textId="77777777" w:rsidR="0097404C" w:rsidRDefault="0097404C">
            <w:pPr>
              <w:rPr>
                <w:rFonts w:cs="Calibri"/>
                <w:kern w:val="0"/>
                <w:sz w:val="18"/>
                <w:szCs w:val="18"/>
              </w:rPr>
            </w:pPr>
          </w:p>
        </w:tc>
        <w:tc>
          <w:tcPr>
            <w:tcW w:w="1308" w:type="pct"/>
          </w:tcPr>
          <w:p w14:paraId="7C256147" w14:textId="77777777" w:rsidR="0097404C" w:rsidRDefault="0097404C">
            <w:pPr>
              <w:rPr>
                <w:rFonts w:cs="Calibri"/>
                <w:kern w:val="0"/>
                <w:sz w:val="18"/>
                <w:szCs w:val="18"/>
              </w:rPr>
            </w:pPr>
          </w:p>
        </w:tc>
        <w:tc>
          <w:tcPr>
            <w:tcW w:w="602" w:type="pct"/>
          </w:tcPr>
          <w:p w14:paraId="4111E724" w14:textId="77777777" w:rsidR="0097404C" w:rsidRDefault="0097404C">
            <w:pPr>
              <w:jc w:val="left"/>
              <w:rPr>
                <w:rFonts w:cs="Calibri"/>
                <w:kern w:val="0"/>
                <w:sz w:val="18"/>
                <w:szCs w:val="18"/>
              </w:rPr>
            </w:pPr>
          </w:p>
        </w:tc>
      </w:tr>
      <w:tr w:rsidR="0097404C" w14:paraId="303E2670" w14:textId="77777777">
        <w:trPr>
          <w:jc w:val="center"/>
        </w:trPr>
        <w:tc>
          <w:tcPr>
            <w:tcW w:w="1827" w:type="pct"/>
          </w:tcPr>
          <w:p w14:paraId="4F3BDB6B" w14:textId="77777777" w:rsidR="0097404C" w:rsidRDefault="001407CB">
            <w:pPr>
              <w:ind w:firstLineChars="200" w:firstLine="360"/>
              <w:jc w:val="left"/>
              <w:rPr>
                <w:rFonts w:cs="Calibri"/>
                <w:kern w:val="0"/>
                <w:sz w:val="18"/>
                <w:szCs w:val="18"/>
              </w:rPr>
            </w:pPr>
            <w:r>
              <w:rPr>
                <w:rFonts w:cs="Calibri"/>
                <w:kern w:val="0"/>
                <w:sz w:val="18"/>
                <w:szCs w:val="18"/>
              </w:rPr>
              <w:t>70-74 y</w:t>
            </w:r>
          </w:p>
        </w:tc>
        <w:tc>
          <w:tcPr>
            <w:tcW w:w="645" w:type="pct"/>
          </w:tcPr>
          <w:p w14:paraId="465D85A4" w14:textId="77777777" w:rsidR="0097404C" w:rsidRDefault="001407CB">
            <w:pPr>
              <w:rPr>
                <w:rFonts w:cs="Calibri"/>
                <w:kern w:val="0"/>
                <w:sz w:val="18"/>
                <w:szCs w:val="18"/>
              </w:rPr>
            </w:pPr>
            <w:r>
              <w:rPr>
                <w:rFonts w:cs="Calibri"/>
                <w:kern w:val="0"/>
                <w:sz w:val="18"/>
                <w:szCs w:val="18"/>
              </w:rPr>
              <w:t xml:space="preserve">0.0224 </w:t>
            </w:r>
          </w:p>
        </w:tc>
        <w:tc>
          <w:tcPr>
            <w:tcW w:w="618" w:type="pct"/>
          </w:tcPr>
          <w:p w14:paraId="0CDCC264" w14:textId="77777777" w:rsidR="0097404C" w:rsidRDefault="0097404C">
            <w:pPr>
              <w:rPr>
                <w:rFonts w:cs="Calibri"/>
                <w:kern w:val="0"/>
                <w:sz w:val="18"/>
                <w:szCs w:val="18"/>
              </w:rPr>
            </w:pPr>
          </w:p>
        </w:tc>
        <w:tc>
          <w:tcPr>
            <w:tcW w:w="1308" w:type="pct"/>
          </w:tcPr>
          <w:p w14:paraId="0C1A39B1" w14:textId="77777777" w:rsidR="0097404C" w:rsidRDefault="0097404C">
            <w:pPr>
              <w:rPr>
                <w:rFonts w:cs="Calibri"/>
                <w:kern w:val="0"/>
                <w:sz w:val="18"/>
                <w:szCs w:val="18"/>
              </w:rPr>
            </w:pPr>
          </w:p>
        </w:tc>
        <w:tc>
          <w:tcPr>
            <w:tcW w:w="602" w:type="pct"/>
          </w:tcPr>
          <w:p w14:paraId="6523FA17" w14:textId="77777777" w:rsidR="0097404C" w:rsidRDefault="0097404C">
            <w:pPr>
              <w:jc w:val="left"/>
              <w:rPr>
                <w:rFonts w:cs="Calibri"/>
                <w:kern w:val="0"/>
                <w:sz w:val="18"/>
                <w:szCs w:val="18"/>
              </w:rPr>
            </w:pPr>
          </w:p>
        </w:tc>
      </w:tr>
      <w:tr w:rsidR="0097404C" w14:paraId="21E0DFC6" w14:textId="77777777">
        <w:trPr>
          <w:jc w:val="center"/>
        </w:trPr>
        <w:tc>
          <w:tcPr>
            <w:tcW w:w="1827" w:type="pct"/>
          </w:tcPr>
          <w:p w14:paraId="5B55679C" w14:textId="77777777" w:rsidR="0097404C" w:rsidRDefault="001407CB">
            <w:pPr>
              <w:ind w:firstLineChars="200" w:firstLine="360"/>
              <w:jc w:val="left"/>
              <w:rPr>
                <w:rFonts w:cs="Calibri"/>
                <w:kern w:val="0"/>
                <w:sz w:val="18"/>
                <w:szCs w:val="18"/>
              </w:rPr>
            </w:pPr>
            <w:r>
              <w:rPr>
                <w:rFonts w:cs="Calibri"/>
                <w:kern w:val="0"/>
                <w:sz w:val="18"/>
                <w:szCs w:val="18"/>
              </w:rPr>
              <w:t>75-79 y</w:t>
            </w:r>
          </w:p>
        </w:tc>
        <w:tc>
          <w:tcPr>
            <w:tcW w:w="645" w:type="pct"/>
          </w:tcPr>
          <w:p w14:paraId="7674AC1A" w14:textId="77777777" w:rsidR="0097404C" w:rsidRDefault="001407CB">
            <w:pPr>
              <w:rPr>
                <w:rFonts w:cs="Calibri"/>
                <w:color w:val="000000"/>
                <w:kern w:val="0"/>
                <w:sz w:val="18"/>
                <w:szCs w:val="18"/>
              </w:rPr>
            </w:pPr>
            <w:r>
              <w:rPr>
                <w:rFonts w:cs="Calibri"/>
                <w:kern w:val="0"/>
                <w:sz w:val="18"/>
                <w:szCs w:val="18"/>
              </w:rPr>
              <w:t xml:space="preserve">0.0369 </w:t>
            </w:r>
          </w:p>
        </w:tc>
        <w:tc>
          <w:tcPr>
            <w:tcW w:w="618" w:type="pct"/>
          </w:tcPr>
          <w:p w14:paraId="74FB58E1" w14:textId="77777777" w:rsidR="0097404C" w:rsidRDefault="0097404C">
            <w:pPr>
              <w:rPr>
                <w:rFonts w:cs="Calibri"/>
                <w:kern w:val="0"/>
                <w:sz w:val="18"/>
                <w:szCs w:val="18"/>
              </w:rPr>
            </w:pPr>
          </w:p>
        </w:tc>
        <w:tc>
          <w:tcPr>
            <w:tcW w:w="1308" w:type="pct"/>
          </w:tcPr>
          <w:p w14:paraId="698D9E41" w14:textId="77777777" w:rsidR="0097404C" w:rsidRDefault="0097404C">
            <w:pPr>
              <w:rPr>
                <w:rFonts w:cs="Calibri"/>
                <w:kern w:val="0"/>
                <w:sz w:val="18"/>
                <w:szCs w:val="18"/>
              </w:rPr>
            </w:pPr>
          </w:p>
        </w:tc>
        <w:tc>
          <w:tcPr>
            <w:tcW w:w="602" w:type="pct"/>
          </w:tcPr>
          <w:p w14:paraId="78FD20D1" w14:textId="77777777" w:rsidR="0097404C" w:rsidRDefault="0097404C">
            <w:pPr>
              <w:jc w:val="left"/>
              <w:rPr>
                <w:rFonts w:cs="Calibri"/>
                <w:kern w:val="0"/>
                <w:sz w:val="18"/>
                <w:szCs w:val="18"/>
              </w:rPr>
            </w:pPr>
          </w:p>
        </w:tc>
      </w:tr>
      <w:tr w:rsidR="0097404C" w14:paraId="1C9B1D71" w14:textId="77777777">
        <w:trPr>
          <w:jc w:val="center"/>
        </w:trPr>
        <w:tc>
          <w:tcPr>
            <w:tcW w:w="1827" w:type="pct"/>
          </w:tcPr>
          <w:p w14:paraId="4AF56D7F" w14:textId="77777777" w:rsidR="0097404C" w:rsidRDefault="001407CB">
            <w:pPr>
              <w:ind w:firstLineChars="200" w:firstLine="360"/>
              <w:jc w:val="left"/>
              <w:rPr>
                <w:rFonts w:cs="Calibri"/>
                <w:kern w:val="0"/>
                <w:sz w:val="18"/>
                <w:szCs w:val="18"/>
              </w:rPr>
            </w:pPr>
            <w:r>
              <w:rPr>
                <w:rFonts w:cs="Calibri"/>
                <w:kern w:val="0"/>
                <w:sz w:val="18"/>
                <w:szCs w:val="18"/>
              </w:rPr>
              <w:t>80-84 y</w:t>
            </w:r>
          </w:p>
        </w:tc>
        <w:tc>
          <w:tcPr>
            <w:tcW w:w="645" w:type="pct"/>
          </w:tcPr>
          <w:p w14:paraId="44766E50" w14:textId="77777777" w:rsidR="0097404C" w:rsidRDefault="001407CB">
            <w:pPr>
              <w:rPr>
                <w:rFonts w:cs="Calibri"/>
                <w:color w:val="000000"/>
                <w:kern w:val="0"/>
                <w:sz w:val="18"/>
                <w:szCs w:val="18"/>
              </w:rPr>
            </w:pPr>
            <w:r>
              <w:rPr>
                <w:rFonts w:cs="Calibri"/>
                <w:kern w:val="0"/>
                <w:sz w:val="18"/>
                <w:szCs w:val="18"/>
              </w:rPr>
              <w:t xml:space="preserve">0.0666 </w:t>
            </w:r>
          </w:p>
        </w:tc>
        <w:tc>
          <w:tcPr>
            <w:tcW w:w="618" w:type="pct"/>
          </w:tcPr>
          <w:p w14:paraId="0E72D05A" w14:textId="77777777" w:rsidR="0097404C" w:rsidRDefault="0097404C">
            <w:pPr>
              <w:rPr>
                <w:rFonts w:cs="Calibri"/>
                <w:kern w:val="0"/>
                <w:sz w:val="18"/>
                <w:szCs w:val="18"/>
              </w:rPr>
            </w:pPr>
          </w:p>
        </w:tc>
        <w:tc>
          <w:tcPr>
            <w:tcW w:w="1308" w:type="pct"/>
          </w:tcPr>
          <w:p w14:paraId="65AFC5A4" w14:textId="77777777" w:rsidR="0097404C" w:rsidRDefault="0097404C">
            <w:pPr>
              <w:rPr>
                <w:rFonts w:cs="Calibri"/>
                <w:kern w:val="0"/>
                <w:sz w:val="18"/>
                <w:szCs w:val="18"/>
              </w:rPr>
            </w:pPr>
          </w:p>
        </w:tc>
        <w:tc>
          <w:tcPr>
            <w:tcW w:w="602" w:type="pct"/>
          </w:tcPr>
          <w:p w14:paraId="233E0038" w14:textId="77777777" w:rsidR="0097404C" w:rsidRDefault="0097404C">
            <w:pPr>
              <w:jc w:val="left"/>
              <w:rPr>
                <w:rFonts w:cs="Calibri"/>
                <w:kern w:val="0"/>
                <w:sz w:val="18"/>
                <w:szCs w:val="18"/>
              </w:rPr>
            </w:pPr>
          </w:p>
        </w:tc>
      </w:tr>
      <w:tr w:rsidR="0097404C" w14:paraId="2FC7BCB2" w14:textId="77777777">
        <w:trPr>
          <w:jc w:val="center"/>
        </w:trPr>
        <w:tc>
          <w:tcPr>
            <w:tcW w:w="1827" w:type="pct"/>
          </w:tcPr>
          <w:p w14:paraId="05C53B44" w14:textId="77777777" w:rsidR="0097404C" w:rsidRDefault="001407CB">
            <w:pPr>
              <w:ind w:firstLineChars="200" w:firstLine="360"/>
              <w:jc w:val="left"/>
              <w:rPr>
                <w:rFonts w:cs="Calibri"/>
                <w:kern w:val="0"/>
                <w:sz w:val="18"/>
                <w:szCs w:val="18"/>
              </w:rPr>
            </w:pPr>
            <w:r>
              <w:rPr>
                <w:rFonts w:cs="Calibri"/>
                <w:kern w:val="0"/>
                <w:sz w:val="18"/>
                <w:szCs w:val="18"/>
              </w:rPr>
              <w:t>85-89 y</w:t>
            </w:r>
          </w:p>
        </w:tc>
        <w:tc>
          <w:tcPr>
            <w:tcW w:w="645" w:type="pct"/>
          </w:tcPr>
          <w:p w14:paraId="7A7F508E" w14:textId="77777777" w:rsidR="0097404C" w:rsidRDefault="001407CB">
            <w:pPr>
              <w:rPr>
                <w:rFonts w:cs="Calibri"/>
                <w:color w:val="000000"/>
                <w:kern w:val="0"/>
                <w:sz w:val="18"/>
                <w:szCs w:val="18"/>
              </w:rPr>
            </w:pPr>
            <w:r>
              <w:rPr>
                <w:rFonts w:cs="Calibri"/>
                <w:kern w:val="0"/>
                <w:sz w:val="18"/>
                <w:szCs w:val="18"/>
              </w:rPr>
              <w:t xml:space="preserve">0.1162 </w:t>
            </w:r>
          </w:p>
        </w:tc>
        <w:tc>
          <w:tcPr>
            <w:tcW w:w="618" w:type="pct"/>
          </w:tcPr>
          <w:p w14:paraId="014241EA" w14:textId="77777777" w:rsidR="0097404C" w:rsidRDefault="0097404C">
            <w:pPr>
              <w:rPr>
                <w:rFonts w:cs="Calibri"/>
                <w:kern w:val="0"/>
                <w:sz w:val="18"/>
                <w:szCs w:val="18"/>
              </w:rPr>
            </w:pPr>
          </w:p>
        </w:tc>
        <w:tc>
          <w:tcPr>
            <w:tcW w:w="1308" w:type="pct"/>
          </w:tcPr>
          <w:p w14:paraId="65E757E4" w14:textId="77777777" w:rsidR="0097404C" w:rsidRDefault="0097404C">
            <w:pPr>
              <w:rPr>
                <w:rFonts w:cs="Calibri"/>
                <w:kern w:val="0"/>
                <w:sz w:val="18"/>
                <w:szCs w:val="18"/>
              </w:rPr>
            </w:pPr>
          </w:p>
        </w:tc>
        <w:tc>
          <w:tcPr>
            <w:tcW w:w="602" w:type="pct"/>
          </w:tcPr>
          <w:p w14:paraId="7723B445" w14:textId="77777777" w:rsidR="0097404C" w:rsidRDefault="0097404C">
            <w:pPr>
              <w:jc w:val="left"/>
              <w:rPr>
                <w:rFonts w:cs="Calibri"/>
                <w:kern w:val="0"/>
                <w:sz w:val="18"/>
                <w:szCs w:val="18"/>
              </w:rPr>
            </w:pPr>
          </w:p>
        </w:tc>
      </w:tr>
      <w:tr w:rsidR="0097404C" w14:paraId="18AC363B" w14:textId="77777777">
        <w:trPr>
          <w:trHeight w:val="292"/>
          <w:jc w:val="center"/>
        </w:trPr>
        <w:tc>
          <w:tcPr>
            <w:tcW w:w="1827" w:type="pct"/>
          </w:tcPr>
          <w:p w14:paraId="1C9EB56F" w14:textId="77777777" w:rsidR="0097404C" w:rsidRDefault="001407CB">
            <w:pPr>
              <w:jc w:val="left"/>
              <w:rPr>
                <w:rFonts w:cs="Calibri"/>
                <w:kern w:val="0"/>
                <w:sz w:val="18"/>
                <w:szCs w:val="18"/>
              </w:rPr>
            </w:pPr>
            <w:proofErr w:type="spellStart"/>
            <w:r>
              <w:rPr>
                <w:rFonts w:cs="Calibri"/>
                <w:kern w:val="0"/>
                <w:sz w:val="18"/>
                <w:szCs w:val="18"/>
              </w:rPr>
              <w:t>Hhcy</w:t>
            </w:r>
            <w:proofErr w:type="spellEnd"/>
          </w:p>
        </w:tc>
        <w:tc>
          <w:tcPr>
            <w:tcW w:w="645" w:type="pct"/>
          </w:tcPr>
          <w:p w14:paraId="0FA322B8" w14:textId="77777777" w:rsidR="0097404C" w:rsidRDefault="0097404C">
            <w:pPr>
              <w:rPr>
                <w:rFonts w:cs="Calibri"/>
                <w:kern w:val="0"/>
                <w:sz w:val="18"/>
                <w:szCs w:val="18"/>
              </w:rPr>
            </w:pPr>
          </w:p>
        </w:tc>
        <w:tc>
          <w:tcPr>
            <w:tcW w:w="618" w:type="pct"/>
          </w:tcPr>
          <w:p w14:paraId="00779396" w14:textId="77777777" w:rsidR="0097404C" w:rsidRDefault="0097404C">
            <w:pPr>
              <w:rPr>
                <w:rFonts w:cs="Calibri"/>
                <w:kern w:val="0"/>
                <w:sz w:val="18"/>
                <w:szCs w:val="18"/>
              </w:rPr>
            </w:pPr>
          </w:p>
        </w:tc>
        <w:tc>
          <w:tcPr>
            <w:tcW w:w="1308" w:type="pct"/>
          </w:tcPr>
          <w:p w14:paraId="06659173" w14:textId="77777777" w:rsidR="0097404C" w:rsidRDefault="0097404C">
            <w:pPr>
              <w:rPr>
                <w:rFonts w:cs="Calibri"/>
                <w:kern w:val="0"/>
                <w:sz w:val="18"/>
                <w:szCs w:val="18"/>
              </w:rPr>
            </w:pPr>
          </w:p>
        </w:tc>
        <w:tc>
          <w:tcPr>
            <w:tcW w:w="602" w:type="pct"/>
          </w:tcPr>
          <w:p w14:paraId="0189A5D9" w14:textId="77777777" w:rsidR="0097404C" w:rsidRDefault="0097404C">
            <w:pPr>
              <w:jc w:val="left"/>
              <w:rPr>
                <w:rFonts w:cs="Calibri"/>
                <w:kern w:val="0"/>
                <w:sz w:val="18"/>
                <w:szCs w:val="18"/>
              </w:rPr>
            </w:pPr>
          </w:p>
        </w:tc>
      </w:tr>
      <w:tr w:rsidR="0097404C" w14:paraId="0906D525" w14:textId="77777777">
        <w:trPr>
          <w:jc w:val="center"/>
        </w:trPr>
        <w:tc>
          <w:tcPr>
            <w:tcW w:w="1827" w:type="pct"/>
          </w:tcPr>
          <w:p w14:paraId="21A93913" w14:textId="77777777" w:rsidR="0097404C" w:rsidRDefault="001407CB">
            <w:pPr>
              <w:ind w:firstLineChars="100" w:firstLine="180"/>
              <w:jc w:val="left"/>
              <w:rPr>
                <w:rFonts w:cs="Calibri"/>
                <w:kern w:val="0"/>
                <w:sz w:val="18"/>
                <w:szCs w:val="18"/>
              </w:rPr>
            </w:pPr>
            <w:r>
              <w:rPr>
                <w:rFonts w:cs="Calibri"/>
                <w:kern w:val="0"/>
                <w:sz w:val="18"/>
                <w:szCs w:val="18"/>
              </w:rPr>
              <w:t>Progress to TIA</w:t>
            </w:r>
          </w:p>
        </w:tc>
        <w:tc>
          <w:tcPr>
            <w:tcW w:w="645" w:type="pct"/>
          </w:tcPr>
          <w:p w14:paraId="73FF4DED" w14:textId="77777777" w:rsidR="0097404C" w:rsidRDefault="0097404C">
            <w:pPr>
              <w:rPr>
                <w:rFonts w:cs="Calibri"/>
                <w:kern w:val="0"/>
                <w:sz w:val="18"/>
                <w:szCs w:val="18"/>
              </w:rPr>
            </w:pPr>
          </w:p>
        </w:tc>
        <w:tc>
          <w:tcPr>
            <w:tcW w:w="618" w:type="pct"/>
          </w:tcPr>
          <w:p w14:paraId="245D7240" w14:textId="77777777" w:rsidR="0097404C" w:rsidRDefault="0097404C">
            <w:pPr>
              <w:rPr>
                <w:rFonts w:cs="Calibri"/>
                <w:kern w:val="0"/>
                <w:sz w:val="18"/>
                <w:szCs w:val="18"/>
              </w:rPr>
            </w:pPr>
          </w:p>
        </w:tc>
        <w:tc>
          <w:tcPr>
            <w:tcW w:w="1308" w:type="pct"/>
          </w:tcPr>
          <w:p w14:paraId="2FF4C7C2" w14:textId="77777777" w:rsidR="0097404C" w:rsidRDefault="0097404C">
            <w:pPr>
              <w:rPr>
                <w:rFonts w:cs="Calibri"/>
                <w:kern w:val="0"/>
                <w:sz w:val="18"/>
                <w:szCs w:val="18"/>
              </w:rPr>
            </w:pPr>
          </w:p>
        </w:tc>
        <w:tc>
          <w:tcPr>
            <w:tcW w:w="602" w:type="pct"/>
          </w:tcPr>
          <w:p w14:paraId="5CA03464" w14:textId="09116C7D" w:rsidR="0097404C" w:rsidRDefault="00865821">
            <w:pPr>
              <w:jc w:val="left"/>
              <w:rPr>
                <w:rFonts w:cs="Calibri"/>
                <w:kern w:val="0"/>
                <w:sz w:val="18"/>
                <w:szCs w:val="18"/>
              </w:rPr>
            </w:pPr>
            <w:r>
              <w:rPr>
                <w:rFonts w:cs="Calibri"/>
                <w:kern w:val="0"/>
                <w:sz w:val="18"/>
                <w:szCs w:val="18"/>
              </w:rPr>
              <w:fldChar w:fldCharType="begin"/>
            </w:r>
            <w:r w:rsidR="007D10D2">
              <w:rPr>
                <w:rFonts w:cs="Calibri"/>
                <w:kern w:val="0"/>
                <w:sz w:val="18"/>
                <w:szCs w:val="18"/>
              </w:rPr>
              <w:instrText xml:space="preserve"> ADDIN NE.Ref.{CB88AF3C-CF4B-46C2-8767-2617A2DAD1F1}</w:instrText>
            </w:r>
            <w:r>
              <w:rPr>
                <w:rFonts w:cs="Calibri"/>
                <w:kern w:val="0"/>
                <w:sz w:val="18"/>
                <w:szCs w:val="18"/>
              </w:rPr>
              <w:fldChar w:fldCharType="separate"/>
            </w:r>
            <w:r w:rsidR="007D10D2">
              <w:rPr>
                <w:rFonts w:eastAsiaTheme="minorEastAsia" w:cs="Calibri"/>
                <w:color w:val="000000"/>
                <w:kern w:val="0"/>
                <w:sz w:val="18"/>
                <w:szCs w:val="18"/>
                <w:vertAlign w:val="superscript"/>
              </w:rPr>
              <w:t>2-4</w:t>
            </w:r>
            <w:r>
              <w:rPr>
                <w:rFonts w:cs="Calibri"/>
                <w:kern w:val="0"/>
                <w:sz w:val="18"/>
                <w:szCs w:val="18"/>
              </w:rPr>
              <w:fldChar w:fldCharType="end"/>
            </w:r>
          </w:p>
        </w:tc>
      </w:tr>
      <w:tr w:rsidR="0097404C" w14:paraId="16435E0D" w14:textId="77777777">
        <w:trPr>
          <w:jc w:val="center"/>
        </w:trPr>
        <w:tc>
          <w:tcPr>
            <w:tcW w:w="1827" w:type="pct"/>
          </w:tcPr>
          <w:p w14:paraId="662BA6BC" w14:textId="77777777" w:rsidR="0097404C" w:rsidRDefault="001407CB">
            <w:pPr>
              <w:ind w:firstLineChars="200" w:firstLine="360"/>
              <w:jc w:val="left"/>
              <w:rPr>
                <w:rFonts w:cs="Calibri"/>
                <w:kern w:val="0"/>
                <w:sz w:val="18"/>
                <w:szCs w:val="18"/>
              </w:rPr>
            </w:pPr>
            <w:r>
              <w:rPr>
                <w:rFonts w:cs="Calibri"/>
                <w:kern w:val="0"/>
                <w:sz w:val="18"/>
                <w:szCs w:val="18"/>
              </w:rPr>
              <w:t>40-49 y</w:t>
            </w:r>
          </w:p>
        </w:tc>
        <w:tc>
          <w:tcPr>
            <w:tcW w:w="645" w:type="pct"/>
          </w:tcPr>
          <w:p w14:paraId="33A86046" w14:textId="77777777" w:rsidR="0097404C" w:rsidRDefault="001407CB">
            <w:pPr>
              <w:rPr>
                <w:rFonts w:cs="Calibri"/>
                <w:kern w:val="0"/>
                <w:sz w:val="18"/>
                <w:szCs w:val="18"/>
              </w:rPr>
            </w:pPr>
            <w:r>
              <w:rPr>
                <w:rFonts w:cs="Calibri"/>
                <w:kern w:val="0"/>
                <w:sz w:val="18"/>
                <w:szCs w:val="18"/>
              </w:rPr>
              <w:t>0.0003</w:t>
            </w:r>
          </w:p>
        </w:tc>
        <w:tc>
          <w:tcPr>
            <w:tcW w:w="618" w:type="pct"/>
          </w:tcPr>
          <w:p w14:paraId="5D823F6F" w14:textId="77777777" w:rsidR="0097404C" w:rsidRDefault="001407CB">
            <w:pPr>
              <w:rPr>
                <w:rFonts w:cs="Calibri"/>
                <w:kern w:val="0"/>
                <w:sz w:val="18"/>
                <w:szCs w:val="18"/>
              </w:rPr>
            </w:pPr>
            <w:r>
              <w:rPr>
                <w:rFonts w:cs="Calibri"/>
                <w:kern w:val="0"/>
                <w:sz w:val="18"/>
                <w:szCs w:val="18"/>
              </w:rPr>
              <w:t>±50%</w:t>
            </w:r>
          </w:p>
        </w:tc>
        <w:tc>
          <w:tcPr>
            <w:tcW w:w="1308" w:type="pct"/>
          </w:tcPr>
          <w:p w14:paraId="68C875A4" w14:textId="77777777" w:rsidR="0097404C" w:rsidRDefault="001407CB">
            <w:pPr>
              <w:rPr>
                <w:rFonts w:cs="Calibri"/>
                <w:kern w:val="0"/>
                <w:sz w:val="18"/>
                <w:szCs w:val="18"/>
              </w:rPr>
            </w:pPr>
            <w:r>
              <w:rPr>
                <w:rFonts w:cs="Calibri"/>
                <w:kern w:val="0"/>
                <w:sz w:val="18"/>
                <w:szCs w:val="18"/>
              </w:rPr>
              <w:t>Uniform (0.0002, 0.0005)</w:t>
            </w:r>
          </w:p>
        </w:tc>
        <w:tc>
          <w:tcPr>
            <w:tcW w:w="602" w:type="pct"/>
          </w:tcPr>
          <w:p w14:paraId="6D55F921" w14:textId="77777777" w:rsidR="0097404C" w:rsidRDefault="0097404C">
            <w:pPr>
              <w:jc w:val="left"/>
              <w:rPr>
                <w:rFonts w:cs="Calibri"/>
                <w:kern w:val="0"/>
                <w:sz w:val="18"/>
                <w:szCs w:val="18"/>
              </w:rPr>
            </w:pPr>
          </w:p>
        </w:tc>
      </w:tr>
      <w:tr w:rsidR="0097404C" w14:paraId="537E05FC" w14:textId="77777777">
        <w:trPr>
          <w:jc w:val="center"/>
        </w:trPr>
        <w:tc>
          <w:tcPr>
            <w:tcW w:w="1827" w:type="pct"/>
          </w:tcPr>
          <w:p w14:paraId="317BE454" w14:textId="77777777" w:rsidR="0097404C" w:rsidRDefault="001407CB">
            <w:pPr>
              <w:ind w:firstLineChars="200" w:firstLine="360"/>
              <w:jc w:val="left"/>
              <w:rPr>
                <w:rFonts w:cs="Calibri"/>
                <w:kern w:val="0"/>
                <w:sz w:val="18"/>
                <w:szCs w:val="18"/>
              </w:rPr>
            </w:pPr>
            <w:r>
              <w:rPr>
                <w:rFonts w:cs="Calibri"/>
                <w:kern w:val="0"/>
                <w:sz w:val="18"/>
                <w:szCs w:val="18"/>
              </w:rPr>
              <w:t>50-59 y</w:t>
            </w:r>
          </w:p>
        </w:tc>
        <w:tc>
          <w:tcPr>
            <w:tcW w:w="645" w:type="pct"/>
          </w:tcPr>
          <w:p w14:paraId="78F3288E" w14:textId="77777777" w:rsidR="0097404C" w:rsidRDefault="001407CB">
            <w:pPr>
              <w:rPr>
                <w:rFonts w:cs="Calibri"/>
                <w:kern w:val="0"/>
                <w:sz w:val="18"/>
                <w:szCs w:val="18"/>
              </w:rPr>
            </w:pPr>
            <w:r>
              <w:rPr>
                <w:rFonts w:cs="Calibri"/>
                <w:kern w:val="0"/>
                <w:sz w:val="18"/>
                <w:szCs w:val="18"/>
              </w:rPr>
              <w:t>0.0009</w:t>
            </w:r>
          </w:p>
        </w:tc>
        <w:tc>
          <w:tcPr>
            <w:tcW w:w="618" w:type="pct"/>
          </w:tcPr>
          <w:p w14:paraId="2367B8B6" w14:textId="77777777" w:rsidR="0097404C" w:rsidRDefault="001407CB">
            <w:pPr>
              <w:rPr>
                <w:rFonts w:cs="Calibri"/>
                <w:kern w:val="0"/>
                <w:sz w:val="18"/>
                <w:szCs w:val="18"/>
              </w:rPr>
            </w:pPr>
            <w:r>
              <w:rPr>
                <w:rFonts w:cs="Calibri"/>
                <w:kern w:val="0"/>
                <w:sz w:val="18"/>
                <w:szCs w:val="18"/>
              </w:rPr>
              <w:t>±50%</w:t>
            </w:r>
          </w:p>
        </w:tc>
        <w:tc>
          <w:tcPr>
            <w:tcW w:w="1308" w:type="pct"/>
          </w:tcPr>
          <w:p w14:paraId="5D25F1F6" w14:textId="77777777" w:rsidR="0097404C" w:rsidRDefault="001407CB">
            <w:pPr>
              <w:rPr>
                <w:rFonts w:cs="Calibri"/>
                <w:kern w:val="0"/>
                <w:sz w:val="18"/>
                <w:szCs w:val="18"/>
              </w:rPr>
            </w:pPr>
            <w:r>
              <w:rPr>
                <w:rFonts w:cs="Calibri"/>
                <w:kern w:val="0"/>
                <w:sz w:val="18"/>
                <w:szCs w:val="18"/>
              </w:rPr>
              <w:t>Uniform (0.0005, 0.0014)</w:t>
            </w:r>
          </w:p>
        </w:tc>
        <w:tc>
          <w:tcPr>
            <w:tcW w:w="602" w:type="pct"/>
          </w:tcPr>
          <w:p w14:paraId="13C04E06" w14:textId="77777777" w:rsidR="0097404C" w:rsidRDefault="0097404C">
            <w:pPr>
              <w:jc w:val="left"/>
              <w:rPr>
                <w:rFonts w:cs="Calibri"/>
                <w:kern w:val="0"/>
                <w:sz w:val="18"/>
                <w:szCs w:val="18"/>
              </w:rPr>
            </w:pPr>
          </w:p>
        </w:tc>
      </w:tr>
      <w:tr w:rsidR="0097404C" w14:paraId="4E479DAE" w14:textId="77777777">
        <w:trPr>
          <w:jc w:val="center"/>
        </w:trPr>
        <w:tc>
          <w:tcPr>
            <w:tcW w:w="1827" w:type="pct"/>
          </w:tcPr>
          <w:p w14:paraId="24B86B2A" w14:textId="77777777" w:rsidR="0097404C" w:rsidRDefault="001407CB">
            <w:pPr>
              <w:ind w:firstLineChars="200" w:firstLine="360"/>
              <w:jc w:val="left"/>
              <w:rPr>
                <w:rFonts w:cs="Calibri"/>
                <w:kern w:val="0"/>
                <w:sz w:val="18"/>
                <w:szCs w:val="18"/>
              </w:rPr>
            </w:pPr>
            <w:r>
              <w:rPr>
                <w:rFonts w:cs="Calibri"/>
                <w:kern w:val="0"/>
                <w:sz w:val="18"/>
                <w:szCs w:val="18"/>
              </w:rPr>
              <w:t>60-69 y</w:t>
            </w:r>
          </w:p>
        </w:tc>
        <w:tc>
          <w:tcPr>
            <w:tcW w:w="645" w:type="pct"/>
          </w:tcPr>
          <w:p w14:paraId="51F40332" w14:textId="77777777" w:rsidR="0097404C" w:rsidRDefault="001407CB">
            <w:pPr>
              <w:rPr>
                <w:rFonts w:cs="Calibri"/>
                <w:kern w:val="0"/>
                <w:sz w:val="18"/>
                <w:szCs w:val="18"/>
              </w:rPr>
            </w:pPr>
            <w:r>
              <w:rPr>
                <w:rFonts w:cs="Calibri"/>
                <w:kern w:val="0"/>
                <w:sz w:val="18"/>
                <w:szCs w:val="18"/>
              </w:rPr>
              <w:t>0.0016</w:t>
            </w:r>
          </w:p>
        </w:tc>
        <w:tc>
          <w:tcPr>
            <w:tcW w:w="618" w:type="pct"/>
          </w:tcPr>
          <w:p w14:paraId="192B864F" w14:textId="77777777" w:rsidR="0097404C" w:rsidRDefault="001407CB">
            <w:pPr>
              <w:rPr>
                <w:rFonts w:cs="Calibri"/>
                <w:kern w:val="0"/>
                <w:sz w:val="18"/>
                <w:szCs w:val="18"/>
              </w:rPr>
            </w:pPr>
            <w:r>
              <w:rPr>
                <w:rFonts w:cs="Calibri"/>
                <w:kern w:val="0"/>
                <w:sz w:val="18"/>
                <w:szCs w:val="18"/>
              </w:rPr>
              <w:t>±50%</w:t>
            </w:r>
          </w:p>
        </w:tc>
        <w:tc>
          <w:tcPr>
            <w:tcW w:w="1308" w:type="pct"/>
          </w:tcPr>
          <w:p w14:paraId="35CC42D1" w14:textId="77777777" w:rsidR="0097404C" w:rsidRDefault="001407CB">
            <w:pPr>
              <w:rPr>
                <w:rFonts w:cs="Calibri"/>
                <w:kern w:val="0"/>
                <w:sz w:val="18"/>
                <w:szCs w:val="18"/>
              </w:rPr>
            </w:pPr>
            <w:r>
              <w:rPr>
                <w:rFonts w:cs="Calibri"/>
                <w:kern w:val="0"/>
                <w:sz w:val="18"/>
                <w:szCs w:val="18"/>
              </w:rPr>
              <w:t>Uniform (0.0008, 0.0024)</w:t>
            </w:r>
          </w:p>
        </w:tc>
        <w:tc>
          <w:tcPr>
            <w:tcW w:w="602" w:type="pct"/>
          </w:tcPr>
          <w:p w14:paraId="782C15A7" w14:textId="77777777" w:rsidR="0097404C" w:rsidRDefault="0097404C">
            <w:pPr>
              <w:jc w:val="left"/>
              <w:rPr>
                <w:rFonts w:cs="Calibri"/>
                <w:kern w:val="0"/>
                <w:sz w:val="18"/>
                <w:szCs w:val="18"/>
              </w:rPr>
            </w:pPr>
          </w:p>
        </w:tc>
      </w:tr>
      <w:tr w:rsidR="0097404C" w14:paraId="5972CAEC" w14:textId="77777777">
        <w:trPr>
          <w:jc w:val="center"/>
        </w:trPr>
        <w:tc>
          <w:tcPr>
            <w:tcW w:w="1827" w:type="pct"/>
          </w:tcPr>
          <w:p w14:paraId="2C78F959" w14:textId="77777777" w:rsidR="0097404C" w:rsidRDefault="001407CB">
            <w:pPr>
              <w:ind w:firstLineChars="200" w:firstLine="360"/>
              <w:jc w:val="left"/>
              <w:rPr>
                <w:rFonts w:cs="Calibri"/>
                <w:kern w:val="0"/>
                <w:sz w:val="18"/>
                <w:szCs w:val="18"/>
              </w:rPr>
            </w:pPr>
            <w:r>
              <w:rPr>
                <w:rFonts w:cs="Calibri"/>
                <w:kern w:val="0"/>
                <w:sz w:val="18"/>
                <w:szCs w:val="18"/>
              </w:rPr>
              <w:t>≥70 y</w:t>
            </w:r>
          </w:p>
        </w:tc>
        <w:tc>
          <w:tcPr>
            <w:tcW w:w="645" w:type="pct"/>
          </w:tcPr>
          <w:p w14:paraId="38029CB4" w14:textId="77777777" w:rsidR="0097404C" w:rsidRDefault="001407CB">
            <w:pPr>
              <w:rPr>
                <w:rFonts w:cs="Calibri"/>
                <w:kern w:val="0"/>
                <w:sz w:val="18"/>
                <w:szCs w:val="18"/>
              </w:rPr>
            </w:pPr>
            <w:r>
              <w:rPr>
                <w:rFonts w:cs="Calibri"/>
                <w:kern w:val="0"/>
                <w:sz w:val="18"/>
                <w:szCs w:val="18"/>
              </w:rPr>
              <w:t>0.0017</w:t>
            </w:r>
          </w:p>
        </w:tc>
        <w:tc>
          <w:tcPr>
            <w:tcW w:w="618" w:type="pct"/>
          </w:tcPr>
          <w:p w14:paraId="57428945" w14:textId="77777777" w:rsidR="0097404C" w:rsidRDefault="001407CB">
            <w:pPr>
              <w:rPr>
                <w:rFonts w:cs="Calibri"/>
                <w:kern w:val="0"/>
                <w:sz w:val="18"/>
                <w:szCs w:val="18"/>
              </w:rPr>
            </w:pPr>
            <w:r>
              <w:rPr>
                <w:rFonts w:cs="Calibri"/>
                <w:kern w:val="0"/>
                <w:sz w:val="18"/>
                <w:szCs w:val="18"/>
              </w:rPr>
              <w:t>±50%</w:t>
            </w:r>
          </w:p>
        </w:tc>
        <w:tc>
          <w:tcPr>
            <w:tcW w:w="1308" w:type="pct"/>
          </w:tcPr>
          <w:p w14:paraId="2E98FAC7" w14:textId="77777777" w:rsidR="0097404C" w:rsidRDefault="001407CB">
            <w:pPr>
              <w:rPr>
                <w:rFonts w:cs="Calibri"/>
                <w:kern w:val="0"/>
                <w:sz w:val="18"/>
                <w:szCs w:val="18"/>
              </w:rPr>
            </w:pPr>
            <w:r>
              <w:rPr>
                <w:rFonts w:cs="Calibri"/>
                <w:kern w:val="0"/>
                <w:sz w:val="18"/>
                <w:szCs w:val="18"/>
              </w:rPr>
              <w:t>Uniform (0.0009, 0.0026)</w:t>
            </w:r>
          </w:p>
        </w:tc>
        <w:tc>
          <w:tcPr>
            <w:tcW w:w="602" w:type="pct"/>
          </w:tcPr>
          <w:p w14:paraId="3DD96E8C" w14:textId="77777777" w:rsidR="0097404C" w:rsidRDefault="0097404C">
            <w:pPr>
              <w:jc w:val="left"/>
              <w:rPr>
                <w:rFonts w:cs="Calibri"/>
                <w:kern w:val="0"/>
                <w:sz w:val="18"/>
                <w:szCs w:val="18"/>
              </w:rPr>
            </w:pPr>
          </w:p>
        </w:tc>
      </w:tr>
      <w:tr w:rsidR="0097404C" w14:paraId="10F78431" w14:textId="77777777">
        <w:trPr>
          <w:jc w:val="center"/>
        </w:trPr>
        <w:tc>
          <w:tcPr>
            <w:tcW w:w="1827" w:type="pct"/>
          </w:tcPr>
          <w:p w14:paraId="23DFA650" w14:textId="77777777" w:rsidR="0097404C" w:rsidRDefault="001407CB">
            <w:pPr>
              <w:ind w:firstLineChars="100" w:firstLine="180"/>
              <w:jc w:val="left"/>
              <w:rPr>
                <w:rFonts w:cs="Calibri"/>
                <w:kern w:val="0"/>
                <w:sz w:val="18"/>
                <w:szCs w:val="18"/>
              </w:rPr>
            </w:pPr>
            <w:r>
              <w:rPr>
                <w:rFonts w:cs="Calibri"/>
                <w:kern w:val="0"/>
                <w:sz w:val="18"/>
                <w:szCs w:val="18"/>
              </w:rPr>
              <w:t>Progressed to a stroke</w:t>
            </w:r>
          </w:p>
        </w:tc>
        <w:tc>
          <w:tcPr>
            <w:tcW w:w="645" w:type="pct"/>
          </w:tcPr>
          <w:p w14:paraId="55FC1816" w14:textId="77777777" w:rsidR="0097404C" w:rsidRDefault="0097404C">
            <w:pPr>
              <w:rPr>
                <w:rFonts w:cs="Calibri"/>
                <w:kern w:val="0"/>
                <w:sz w:val="18"/>
                <w:szCs w:val="18"/>
              </w:rPr>
            </w:pPr>
          </w:p>
        </w:tc>
        <w:tc>
          <w:tcPr>
            <w:tcW w:w="618" w:type="pct"/>
          </w:tcPr>
          <w:p w14:paraId="4334F9B4" w14:textId="77777777" w:rsidR="0097404C" w:rsidRDefault="0097404C">
            <w:pPr>
              <w:rPr>
                <w:rFonts w:cs="Calibri"/>
                <w:kern w:val="0"/>
                <w:sz w:val="18"/>
                <w:szCs w:val="18"/>
              </w:rPr>
            </w:pPr>
          </w:p>
        </w:tc>
        <w:tc>
          <w:tcPr>
            <w:tcW w:w="1308" w:type="pct"/>
          </w:tcPr>
          <w:p w14:paraId="625C55F1" w14:textId="77777777" w:rsidR="0097404C" w:rsidRDefault="0097404C">
            <w:pPr>
              <w:rPr>
                <w:rFonts w:cs="Calibri"/>
                <w:kern w:val="0"/>
                <w:sz w:val="18"/>
                <w:szCs w:val="18"/>
              </w:rPr>
            </w:pPr>
          </w:p>
        </w:tc>
        <w:tc>
          <w:tcPr>
            <w:tcW w:w="602" w:type="pct"/>
          </w:tcPr>
          <w:p w14:paraId="0B59D971" w14:textId="30BC081A" w:rsidR="0097404C" w:rsidRDefault="00014421">
            <w:pPr>
              <w:jc w:val="left"/>
              <w:rPr>
                <w:rFonts w:cs="Calibri"/>
                <w:kern w:val="0"/>
                <w:sz w:val="18"/>
                <w:szCs w:val="18"/>
              </w:rPr>
            </w:pPr>
            <w:r>
              <w:rPr>
                <w:rFonts w:cs="Calibri"/>
                <w:kern w:val="0"/>
                <w:sz w:val="18"/>
                <w:szCs w:val="18"/>
              </w:rPr>
              <w:fldChar w:fldCharType="begin"/>
            </w:r>
            <w:r w:rsidR="007D10D2">
              <w:rPr>
                <w:rFonts w:cs="Calibri"/>
                <w:kern w:val="0"/>
                <w:sz w:val="18"/>
                <w:szCs w:val="18"/>
              </w:rPr>
              <w:instrText xml:space="preserve"> ADDIN NE.Ref.{FCF3AA99-FF54-4919-9979-099B8D834D14}</w:instrText>
            </w:r>
            <w:r>
              <w:rPr>
                <w:rFonts w:cs="Calibri"/>
                <w:kern w:val="0"/>
                <w:sz w:val="18"/>
                <w:szCs w:val="18"/>
              </w:rPr>
              <w:fldChar w:fldCharType="separate"/>
            </w:r>
            <w:r w:rsidR="007D10D2">
              <w:rPr>
                <w:rFonts w:eastAsiaTheme="minorEastAsia" w:cs="Calibri"/>
                <w:color w:val="000000"/>
                <w:kern w:val="0"/>
                <w:sz w:val="18"/>
                <w:szCs w:val="18"/>
                <w:vertAlign w:val="superscript"/>
              </w:rPr>
              <w:t>2</w:t>
            </w:r>
            <w:r w:rsidR="007D10D2">
              <w:rPr>
                <w:rFonts w:eastAsiaTheme="minorEastAsia" w:cs="Calibri"/>
                <w:color w:val="000000"/>
                <w:kern w:val="0"/>
                <w:sz w:val="18"/>
                <w:szCs w:val="18"/>
              </w:rPr>
              <w:t xml:space="preserve">; </w:t>
            </w:r>
            <w:r w:rsidR="007D10D2">
              <w:rPr>
                <w:rFonts w:eastAsiaTheme="minorEastAsia" w:cs="Calibri"/>
                <w:color w:val="000000"/>
                <w:kern w:val="0"/>
                <w:sz w:val="18"/>
                <w:szCs w:val="18"/>
                <w:vertAlign w:val="superscript"/>
              </w:rPr>
              <w:t>5</w:t>
            </w:r>
            <w:r w:rsidR="007D10D2">
              <w:rPr>
                <w:rFonts w:eastAsiaTheme="minorEastAsia" w:cs="Calibri"/>
                <w:color w:val="000000"/>
                <w:kern w:val="0"/>
                <w:sz w:val="18"/>
                <w:szCs w:val="18"/>
              </w:rPr>
              <w:t xml:space="preserve">; </w:t>
            </w:r>
            <w:r w:rsidR="007D10D2">
              <w:rPr>
                <w:rFonts w:eastAsiaTheme="minorEastAsia" w:cs="Calibri"/>
                <w:color w:val="000000"/>
                <w:kern w:val="0"/>
                <w:sz w:val="18"/>
                <w:szCs w:val="18"/>
                <w:vertAlign w:val="superscript"/>
              </w:rPr>
              <w:t>6</w:t>
            </w:r>
            <w:r>
              <w:rPr>
                <w:rFonts w:cs="Calibri"/>
                <w:kern w:val="0"/>
                <w:sz w:val="18"/>
                <w:szCs w:val="18"/>
              </w:rPr>
              <w:fldChar w:fldCharType="end"/>
            </w:r>
          </w:p>
        </w:tc>
      </w:tr>
      <w:tr w:rsidR="0097404C" w14:paraId="11623AF8" w14:textId="77777777">
        <w:trPr>
          <w:jc w:val="center"/>
        </w:trPr>
        <w:tc>
          <w:tcPr>
            <w:tcW w:w="1827" w:type="pct"/>
          </w:tcPr>
          <w:p w14:paraId="029711DD" w14:textId="77777777" w:rsidR="0097404C" w:rsidRDefault="001407CB">
            <w:pPr>
              <w:ind w:firstLineChars="200" w:firstLine="360"/>
              <w:jc w:val="left"/>
              <w:rPr>
                <w:rFonts w:cs="Calibri"/>
                <w:kern w:val="0"/>
                <w:sz w:val="18"/>
                <w:szCs w:val="18"/>
              </w:rPr>
            </w:pPr>
            <w:r>
              <w:rPr>
                <w:rFonts w:cs="Calibri"/>
                <w:kern w:val="0"/>
                <w:sz w:val="18"/>
                <w:szCs w:val="18"/>
              </w:rPr>
              <w:t>40-49 y</w:t>
            </w:r>
          </w:p>
        </w:tc>
        <w:tc>
          <w:tcPr>
            <w:tcW w:w="645" w:type="pct"/>
            <w:vAlign w:val="bottom"/>
          </w:tcPr>
          <w:p w14:paraId="7894F864" w14:textId="77777777" w:rsidR="0097404C" w:rsidRDefault="001407CB">
            <w:pPr>
              <w:rPr>
                <w:rFonts w:cs="Calibri"/>
                <w:kern w:val="0"/>
                <w:sz w:val="18"/>
                <w:szCs w:val="18"/>
              </w:rPr>
            </w:pPr>
            <w:r>
              <w:rPr>
                <w:rFonts w:eastAsia="等线" w:cs="Calibri"/>
                <w:color w:val="000000"/>
                <w:kern w:val="0"/>
                <w:sz w:val="18"/>
                <w:szCs w:val="18"/>
              </w:rPr>
              <w:t xml:space="preserve">0.0016 </w:t>
            </w:r>
          </w:p>
        </w:tc>
        <w:tc>
          <w:tcPr>
            <w:tcW w:w="618" w:type="pct"/>
          </w:tcPr>
          <w:p w14:paraId="0609FB83" w14:textId="77777777" w:rsidR="0097404C" w:rsidRDefault="001407CB">
            <w:pPr>
              <w:rPr>
                <w:rFonts w:cs="Calibri"/>
                <w:kern w:val="0"/>
                <w:sz w:val="18"/>
                <w:szCs w:val="18"/>
              </w:rPr>
            </w:pPr>
            <w:r>
              <w:rPr>
                <w:rFonts w:cs="Calibri"/>
                <w:kern w:val="0"/>
                <w:sz w:val="18"/>
                <w:szCs w:val="18"/>
              </w:rPr>
              <w:t>±50%</w:t>
            </w:r>
          </w:p>
        </w:tc>
        <w:tc>
          <w:tcPr>
            <w:tcW w:w="1308" w:type="pct"/>
          </w:tcPr>
          <w:p w14:paraId="48027947" w14:textId="77777777" w:rsidR="0097404C" w:rsidRDefault="001407CB">
            <w:pPr>
              <w:rPr>
                <w:rFonts w:cs="Calibri"/>
                <w:kern w:val="0"/>
                <w:sz w:val="18"/>
                <w:szCs w:val="18"/>
              </w:rPr>
            </w:pPr>
            <w:r>
              <w:rPr>
                <w:rFonts w:cs="Calibri"/>
                <w:kern w:val="0"/>
                <w:sz w:val="18"/>
                <w:szCs w:val="18"/>
              </w:rPr>
              <w:t>Uniform (0.0008, 0.0024)</w:t>
            </w:r>
          </w:p>
        </w:tc>
        <w:tc>
          <w:tcPr>
            <w:tcW w:w="602" w:type="pct"/>
          </w:tcPr>
          <w:p w14:paraId="21F36479" w14:textId="77777777" w:rsidR="0097404C" w:rsidRDefault="0097404C">
            <w:pPr>
              <w:jc w:val="left"/>
              <w:rPr>
                <w:rFonts w:cs="Calibri"/>
                <w:kern w:val="0"/>
                <w:sz w:val="18"/>
                <w:szCs w:val="18"/>
              </w:rPr>
            </w:pPr>
          </w:p>
        </w:tc>
      </w:tr>
      <w:tr w:rsidR="0097404C" w14:paraId="03CB3181" w14:textId="77777777">
        <w:trPr>
          <w:jc w:val="center"/>
        </w:trPr>
        <w:tc>
          <w:tcPr>
            <w:tcW w:w="1827" w:type="pct"/>
          </w:tcPr>
          <w:p w14:paraId="007CFABD" w14:textId="77777777" w:rsidR="0097404C" w:rsidRDefault="001407CB">
            <w:pPr>
              <w:ind w:firstLineChars="200" w:firstLine="360"/>
              <w:jc w:val="left"/>
              <w:rPr>
                <w:rFonts w:cs="Calibri"/>
                <w:kern w:val="0"/>
                <w:sz w:val="18"/>
                <w:szCs w:val="18"/>
              </w:rPr>
            </w:pPr>
            <w:r>
              <w:rPr>
                <w:rFonts w:cs="Calibri"/>
                <w:kern w:val="0"/>
                <w:sz w:val="18"/>
                <w:szCs w:val="18"/>
              </w:rPr>
              <w:lastRenderedPageBreak/>
              <w:t>50-59 y</w:t>
            </w:r>
          </w:p>
        </w:tc>
        <w:tc>
          <w:tcPr>
            <w:tcW w:w="645" w:type="pct"/>
            <w:vAlign w:val="bottom"/>
          </w:tcPr>
          <w:p w14:paraId="55ABD271" w14:textId="77777777" w:rsidR="0097404C" w:rsidRDefault="001407CB">
            <w:pPr>
              <w:rPr>
                <w:rFonts w:cs="Calibri"/>
                <w:kern w:val="0"/>
                <w:sz w:val="18"/>
                <w:szCs w:val="18"/>
              </w:rPr>
            </w:pPr>
            <w:r>
              <w:rPr>
                <w:rFonts w:eastAsia="等线" w:cs="Calibri"/>
                <w:color w:val="000000"/>
                <w:kern w:val="0"/>
                <w:sz w:val="18"/>
                <w:szCs w:val="18"/>
              </w:rPr>
              <w:t xml:space="preserve">0.0046 </w:t>
            </w:r>
          </w:p>
        </w:tc>
        <w:tc>
          <w:tcPr>
            <w:tcW w:w="618" w:type="pct"/>
          </w:tcPr>
          <w:p w14:paraId="3BB51238" w14:textId="77777777" w:rsidR="0097404C" w:rsidRDefault="001407CB">
            <w:pPr>
              <w:rPr>
                <w:rFonts w:cs="Calibri"/>
                <w:kern w:val="0"/>
                <w:sz w:val="18"/>
                <w:szCs w:val="18"/>
              </w:rPr>
            </w:pPr>
            <w:r>
              <w:rPr>
                <w:rFonts w:cs="Calibri"/>
                <w:kern w:val="0"/>
                <w:sz w:val="18"/>
                <w:szCs w:val="18"/>
              </w:rPr>
              <w:t>±50%</w:t>
            </w:r>
          </w:p>
        </w:tc>
        <w:tc>
          <w:tcPr>
            <w:tcW w:w="1308" w:type="pct"/>
          </w:tcPr>
          <w:p w14:paraId="2C88B321" w14:textId="77777777" w:rsidR="0097404C" w:rsidRDefault="001407CB">
            <w:pPr>
              <w:rPr>
                <w:rFonts w:cs="Calibri"/>
                <w:kern w:val="0"/>
                <w:sz w:val="18"/>
                <w:szCs w:val="18"/>
              </w:rPr>
            </w:pPr>
            <w:r>
              <w:rPr>
                <w:rFonts w:cs="Calibri"/>
                <w:kern w:val="0"/>
                <w:sz w:val="18"/>
                <w:szCs w:val="18"/>
              </w:rPr>
              <w:t>Uniform (0.0023, 0.0068)</w:t>
            </w:r>
          </w:p>
        </w:tc>
        <w:tc>
          <w:tcPr>
            <w:tcW w:w="602" w:type="pct"/>
          </w:tcPr>
          <w:p w14:paraId="134CC917" w14:textId="77777777" w:rsidR="0097404C" w:rsidRDefault="0097404C">
            <w:pPr>
              <w:jc w:val="left"/>
              <w:rPr>
                <w:rFonts w:cs="Calibri"/>
                <w:kern w:val="0"/>
                <w:sz w:val="18"/>
                <w:szCs w:val="18"/>
              </w:rPr>
            </w:pPr>
          </w:p>
        </w:tc>
      </w:tr>
      <w:tr w:rsidR="0097404C" w14:paraId="645714CB" w14:textId="77777777">
        <w:trPr>
          <w:jc w:val="center"/>
        </w:trPr>
        <w:tc>
          <w:tcPr>
            <w:tcW w:w="1827" w:type="pct"/>
          </w:tcPr>
          <w:p w14:paraId="2536D38B" w14:textId="77777777" w:rsidR="0097404C" w:rsidRDefault="001407CB">
            <w:pPr>
              <w:ind w:firstLineChars="200" w:firstLine="360"/>
              <w:jc w:val="left"/>
              <w:rPr>
                <w:rFonts w:cs="Calibri"/>
                <w:kern w:val="0"/>
                <w:sz w:val="18"/>
                <w:szCs w:val="18"/>
              </w:rPr>
            </w:pPr>
            <w:r>
              <w:rPr>
                <w:rFonts w:cs="Calibri"/>
                <w:kern w:val="0"/>
                <w:sz w:val="18"/>
                <w:szCs w:val="18"/>
              </w:rPr>
              <w:t>60-69 y</w:t>
            </w:r>
          </w:p>
        </w:tc>
        <w:tc>
          <w:tcPr>
            <w:tcW w:w="645" w:type="pct"/>
            <w:vAlign w:val="bottom"/>
          </w:tcPr>
          <w:p w14:paraId="435E3F62" w14:textId="77777777" w:rsidR="0097404C" w:rsidRDefault="001407CB">
            <w:pPr>
              <w:rPr>
                <w:rFonts w:cs="Calibri"/>
                <w:kern w:val="0"/>
                <w:sz w:val="18"/>
                <w:szCs w:val="18"/>
              </w:rPr>
            </w:pPr>
            <w:r>
              <w:rPr>
                <w:rFonts w:eastAsia="等线" w:cs="Calibri"/>
                <w:color w:val="000000"/>
                <w:kern w:val="0"/>
                <w:sz w:val="18"/>
                <w:szCs w:val="18"/>
              </w:rPr>
              <w:t xml:space="preserve">0.0119 </w:t>
            </w:r>
          </w:p>
        </w:tc>
        <w:tc>
          <w:tcPr>
            <w:tcW w:w="618" w:type="pct"/>
          </w:tcPr>
          <w:p w14:paraId="11B25BCF" w14:textId="77777777" w:rsidR="0097404C" w:rsidRDefault="001407CB">
            <w:pPr>
              <w:rPr>
                <w:rFonts w:cs="Calibri"/>
                <w:kern w:val="0"/>
                <w:sz w:val="18"/>
                <w:szCs w:val="18"/>
              </w:rPr>
            </w:pPr>
            <w:r>
              <w:rPr>
                <w:rFonts w:cs="Calibri"/>
                <w:kern w:val="0"/>
                <w:sz w:val="18"/>
                <w:szCs w:val="18"/>
              </w:rPr>
              <w:t>±50%</w:t>
            </w:r>
          </w:p>
        </w:tc>
        <w:tc>
          <w:tcPr>
            <w:tcW w:w="1308" w:type="pct"/>
          </w:tcPr>
          <w:p w14:paraId="0278D970" w14:textId="77777777" w:rsidR="0097404C" w:rsidRDefault="001407CB">
            <w:pPr>
              <w:rPr>
                <w:rFonts w:cs="Calibri"/>
                <w:kern w:val="0"/>
                <w:sz w:val="18"/>
                <w:szCs w:val="18"/>
              </w:rPr>
            </w:pPr>
            <w:r>
              <w:rPr>
                <w:rFonts w:cs="Calibri"/>
                <w:kern w:val="0"/>
                <w:sz w:val="18"/>
                <w:szCs w:val="18"/>
              </w:rPr>
              <w:t>Uniform (0.0059, 0.0178)</w:t>
            </w:r>
          </w:p>
        </w:tc>
        <w:tc>
          <w:tcPr>
            <w:tcW w:w="602" w:type="pct"/>
          </w:tcPr>
          <w:p w14:paraId="713A4ADE" w14:textId="77777777" w:rsidR="0097404C" w:rsidRDefault="0097404C">
            <w:pPr>
              <w:jc w:val="left"/>
              <w:rPr>
                <w:rFonts w:cs="Calibri"/>
                <w:kern w:val="0"/>
                <w:sz w:val="18"/>
                <w:szCs w:val="18"/>
              </w:rPr>
            </w:pPr>
          </w:p>
        </w:tc>
      </w:tr>
      <w:tr w:rsidR="0097404C" w14:paraId="6BA88D7E" w14:textId="77777777">
        <w:trPr>
          <w:jc w:val="center"/>
        </w:trPr>
        <w:tc>
          <w:tcPr>
            <w:tcW w:w="1827" w:type="pct"/>
          </w:tcPr>
          <w:p w14:paraId="7BC5A11C" w14:textId="77777777" w:rsidR="0097404C" w:rsidRDefault="001407CB">
            <w:pPr>
              <w:ind w:firstLineChars="200" w:firstLine="360"/>
              <w:jc w:val="left"/>
              <w:rPr>
                <w:rFonts w:cs="Calibri"/>
                <w:kern w:val="0"/>
                <w:sz w:val="18"/>
                <w:szCs w:val="18"/>
              </w:rPr>
            </w:pPr>
            <w:r>
              <w:rPr>
                <w:rFonts w:cs="Calibri"/>
                <w:kern w:val="0"/>
                <w:sz w:val="18"/>
                <w:szCs w:val="18"/>
              </w:rPr>
              <w:t>≥70 y</w:t>
            </w:r>
          </w:p>
        </w:tc>
        <w:tc>
          <w:tcPr>
            <w:tcW w:w="645" w:type="pct"/>
            <w:vAlign w:val="bottom"/>
          </w:tcPr>
          <w:p w14:paraId="67C2A88E" w14:textId="77777777" w:rsidR="0097404C" w:rsidRDefault="001407CB">
            <w:pPr>
              <w:rPr>
                <w:rFonts w:cs="Calibri"/>
                <w:kern w:val="0"/>
                <w:sz w:val="18"/>
                <w:szCs w:val="18"/>
              </w:rPr>
            </w:pPr>
            <w:r>
              <w:rPr>
                <w:rFonts w:eastAsia="等线" w:cs="Calibri"/>
                <w:color w:val="000000"/>
                <w:kern w:val="0"/>
                <w:sz w:val="18"/>
                <w:szCs w:val="18"/>
              </w:rPr>
              <w:t xml:space="preserve">0.0234 </w:t>
            </w:r>
          </w:p>
        </w:tc>
        <w:tc>
          <w:tcPr>
            <w:tcW w:w="618" w:type="pct"/>
          </w:tcPr>
          <w:p w14:paraId="31C93351" w14:textId="77777777" w:rsidR="0097404C" w:rsidRDefault="001407CB">
            <w:pPr>
              <w:rPr>
                <w:rFonts w:cs="Calibri"/>
                <w:kern w:val="0"/>
                <w:sz w:val="18"/>
                <w:szCs w:val="18"/>
              </w:rPr>
            </w:pPr>
            <w:r>
              <w:rPr>
                <w:rFonts w:cs="Calibri"/>
                <w:kern w:val="0"/>
                <w:sz w:val="18"/>
                <w:szCs w:val="18"/>
              </w:rPr>
              <w:t>±50%</w:t>
            </w:r>
          </w:p>
        </w:tc>
        <w:tc>
          <w:tcPr>
            <w:tcW w:w="1308" w:type="pct"/>
          </w:tcPr>
          <w:p w14:paraId="0EC27B34" w14:textId="77777777" w:rsidR="0097404C" w:rsidRDefault="001407CB">
            <w:pPr>
              <w:rPr>
                <w:rFonts w:cs="Calibri"/>
                <w:kern w:val="0"/>
                <w:sz w:val="18"/>
                <w:szCs w:val="18"/>
              </w:rPr>
            </w:pPr>
            <w:r>
              <w:rPr>
                <w:rFonts w:cs="Calibri"/>
                <w:kern w:val="0"/>
                <w:sz w:val="18"/>
                <w:szCs w:val="18"/>
              </w:rPr>
              <w:t>Uniform (0.0117, 0.0351)</w:t>
            </w:r>
          </w:p>
        </w:tc>
        <w:tc>
          <w:tcPr>
            <w:tcW w:w="602" w:type="pct"/>
          </w:tcPr>
          <w:p w14:paraId="55FD2606" w14:textId="77777777" w:rsidR="0097404C" w:rsidRDefault="0097404C">
            <w:pPr>
              <w:jc w:val="left"/>
              <w:rPr>
                <w:rFonts w:cs="Calibri"/>
                <w:color w:val="212121"/>
                <w:kern w:val="0"/>
                <w:sz w:val="18"/>
                <w:szCs w:val="18"/>
                <w:shd w:val="clear" w:color="auto" w:fill="FFFFFF"/>
              </w:rPr>
            </w:pPr>
          </w:p>
        </w:tc>
      </w:tr>
      <w:tr w:rsidR="0097404C" w14:paraId="10558D06" w14:textId="77777777">
        <w:trPr>
          <w:jc w:val="center"/>
        </w:trPr>
        <w:tc>
          <w:tcPr>
            <w:tcW w:w="1827" w:type="pct"/>
          </w:tcPr>
          <w:p w14:paraId="3C490865" w14:textId="77777777" w:rsidR="0097404C" w:rsidRDefault="001407CB">
            <w:pPr>
              <w:ind w:firstLineChars="100" w:firstLine="180"/>
              <w:jc w:val="left"/>
              <w:rPr>
                <w:rFonts w:cs="Calibri"/>
                <w:kern w:val="0"/>
                <w:sz w:val="18"/>
                <w:szCs w:val="18"/>
              </w:rPr>
            </w:pPr>
            <w:r>
              <w:rPr>
                <w:rFonts w:cs="Calibri"/>
                <w:kern w:val="0"/>
                <w:sz w:val="18"/>
                <w:szCs w:val="18"/>
              </w:rPr>
              <w:t>Progression to stroke with folic acid</w:t>
            </w:r>
          </w:p>
        </w:tc>
        <w:tc>
          <w:tcPr>
            <w:tcW w:w="645" w:type="pct"/>
          </w:tcPr>
          <w:p w14:paraId="58D3DAA4" w14:textId="77777777" w:rsidR="0097404C" w:rsidRDefault="0097404C">
            <w:pPr>
              <w:rPr>
                <w:rFonts w:cs="Calibri"/>
                <w:kern w:val="0"/>
                <w:sz w:val="18"/>
                <w:szCs w:val="18"/>
              </w:rPr>
            </w:pPr>
          </w:p>
        </w:tc>
        <w:tc>
          <w:tcPr>
            <w:tcW w:w="618" w:type="pct"/>
          </w:tcPr>
          <w:p w14:paraId="52779826" w14:textId="77777777" w:rsidR="0097404C" w:rsidRDefault="0097404C">
            <w:pPr>
              <w:rPr>
                <w:rFonts w:cs="Calibri"/>
                <w:kern w:val="0"/>
                <w:sz w:val="18"/>
                <w:szCs w:val="18"/>
              </w:rPr>
            </w:pPr>
          </w:p>
        </w:tc>
        <w:tc>
          <w:tcPr>
            <w:tcW w:w="1308" w:type="pct"/>
          </w:tcPr>
          <w:p w14:paraId="5114CA16" w14:textId="77777777" w:rsidR="0097404C" w:rsidRDefault="0097404C">
            <w:pPr>
              <w:rPr>
                <w:rFonts w:cs="Calibri"/>
                <w:kern w:val="0"/>
                <w:sz w:val="18"/>
                <w:szCs w:val="18"/>
              </w:rPr>
            </w:pPr>
          </w:p>
        </w:tc>
        <w:tc>
          <w:tcPr>
            <w:tcW w:w="602" w:type="pct"/>
          </w:tcPr>
          <w:p w14:paraId="2599977E" w14:textId="782E82EA" w:rsidR="0097404C" w:rsidRDefault="00014421" w:rsidP="006A6358">
            <w:pPr>
              <w:jc w:val="left"/>
              <w:rPr>
                <w:rFonts w:cs="Calibri"/>
                <w:color w:val="212121"/>
                <w:kern w:val="0"/>
                <w:sz w:val="18"/>
                <w:szCs w:val="18"/>
                <w:shd w:val="clear" w:color="auto" w:fill="FFFFFF"/>
              </w:rPr>
            </w:pPr>
            <w:r>
              <w:rPr>
                <w:rFonts w:cs="Calibri"/>
                <w:color w:val="212121"/>
                <w:kern w:val="0"/>
                <w:sz w:val="18"/>
                <w:szCs w:val="18"/>
                <w:shd w:val="clear" w:color="auto" w:fill="FFFFFF"/>
              </w:rPr>
              <w:fldChar w:fldCharType="begin"/>
            </w:r>
            <w:r w:rsidR="007D10D2">
              <w:rPr>
                <w:rFonts w:cs="Calibri"/>
                <w:color w:val="212121"/>
                <w:kern w:val="0"/>
                <w:sz w:val="18"/>
                <w:szCs w:val="18"/>
                <w:shd w:val="clear" w:color="auto" w:fill="FFFFFF"/>
              </w:rPr>
              <w:instrText xml:space="preserve"> ADDIN NE.Ref.{17993919-11E8-4F77-B330-EF754E6C21A7}</w:instrText>
            </w:r>
            <w:r>
              <w:rPr>
                <w:rFonts w:cs="Calibri"/>
                <w:color w:val="212121"/>
                <w:kern w:val="0"/>
                <w:sz w:val="18"/>
                <w:szCs w:val="18"/>
                <w:shd w:val="clear" w:color="auto" w:fill="FFFFFF"/>
              </w:rPr>
              <w:fldChar w:fldCharType="separate"/>
            </w:r>
            <w:r w:rsidR="007D10D2">
              <w:rPr>
                <w:rFonts w:eastAsiaTheme="minorEastAsia" w:cs="Calibri"/>
                <w:color w:val="000000"/>
                <w:kern w:val="0"/>
                <w:sz w:val="18"/>
                <w:szCs w:val="18"/>
                <w:vertAlign w:val="superscript"/>
              </w:rPr>
              <w:t>2</w:t>
            </w:r>
            <w:r w:rsidR="007D10D2">
              <w:rPr>
                <w:rFonts w:eastAsiaTheme="minorEastAsia" w:cs="Calibri"/>
                <w:color w:val="000000"/>
                <w:kern w:val="0"/>
                <w:sz w:val="18"/>
                <w:szCs w:val="18"/>
              </w:rPr>
              <w:t xml:space="preserve">; </w:t>
            </w:r>
            <w:r w:rsidR="007D10D2">
              <w:rPr>
                <w:rFonts w:eastAsiaTheme="minorEastAsia" w:cs="Calibri"/>
                <w:color w:val="000000"/>
                <w:kern w:val="0"/>
                <w:sz w:val="18"/>
                <w:szCs w:val="18"/>
                <w:vertAlign w:val="superscript"/>
              </w:rPr>
              <w:t>5-7</w:t>
            </w:r>
            <w:r>
              <w:rPr>
                <w:rFonts w:cs="Calibri"/>
                <w:color w:val="212121"/>
                <w:kern w:val="0"/>
                <w:sz w:val="18"/>
                <w:szCs w:val="18"/>
                <w:shd w:val="clear" w:color="auto" w:fill="FFFFFF"/>
              </w:rPr>
              <w:fldChar w:fldCharType="end"/>
            </w:r>
          </w:p>
        </w:tc>
      </w:tr>
      <w:tr w:rsidR="0097404C" w14:paraId="1FBF39F6" w14:textId="77777777">
        <w:trPr>
          <w:jc w:val="center"/>
        </w:trPr>
        <w:tc>
          <w:tcPr>
            <w:tcW w:w="1827" w:type="pct"/>
          </w:tcPr>
          <w:p w14:paraId="3D0FE743" w14:textId="77777777" w:rsidR="0097404C" w:rsidRDefault="001407CB">
            <w:pPr>
              <w:ind w:firstLineChars="200" w:firstLine="360"/>
              <w:jc w:val="left"/>
              <w:rPr>
                <w:rFonts w:cs="Calibri"/>
                <w:kern w:val="0"/>
                <w:sz w:val="18"/>
                <w:szCs w:val="18"/>
              </w:rPr>
            </w:pPr>
            <w:r>
              <w:rPr>
                <w:rFonts w:cs="Calibri"/>
                <w:kern w:val="0"/>
                <w:sz w:val="18"/>
                <w:szCs w:val="18"/>
              </w:rPr>
              <w:t>40-49 y</w:t>
            </w:r>
          </w:p>
        </w:tc>
        <w:tc>
          <w:tcPr>
            <w:tcW w:w="645" w:type="pct"/>
            <w:vAlign w:val="bottom"/>
          </w:tcPr>
          <w:p w14:paraId="2627C524" w14:textId="77777777" w:rsidR="0097404C" w:rsidRDefault="001407CB">
            <w:pPr>
              <w:rPr>
                <w:rFonts w:cs="Calibri"/>
                <w:kern w:val="0"/>
                <w:sz w:val="18"/>
                <w:szCs w:val="18"/>
              </w:rPr>
            </w:pPr>
            <w:r>
              <w:rPr>
                <w:rFonts w:eastAsia="等线" w:cs="Calibri"/>
                <w:color w:val="000000"/>
                <w:kern w:val="0"/>
                <w:sz w:val="18"/>
                <w:szCs w:val="18"/>
              </w:rPr>
              <w:t xml:space="preserve">0.0002 </w:t>
            </w:r>
          </w:p>
        </w:tc>
        <w:tc>
          <w:tcPr>
            <w:tcW w:w="618" w:type="pct"/>
          </w:tcPr>
          <w:p w14:paraId="5EC2BAB6" w14:textId="77777777" w:rsidR="0097404C" w:rsidRDefault="001407CB">
            <w:pPr>
              <w:rPr>
                <w:rFonts w:cs="Calibri"/>
                <w:kern w:val="0"/>
                <w:sz w:val="18"/>
                <w:szCs w:val="18"/>
              </w:rPr>
            </w:pPr>
            <w:r>
              <w:rPr>
                <w:rFonts w:cs="Calibri"/>
                <w:kern w:val="0"/>
                <w:sz w:val="18"/>
                <w:szCs w:val="18"/>
              </w:rPr>
              <w:t>±50%</w:t>
            </w:r>
          </w:p>
        </w:tc>
        <w:tc>
          <w:tcPr>
            <w:tcW w:w="1308" w:type="pct"/>
          </w:tcPr>
          <w:p w14:paraId="6F81C0A4" w14:textId="77777777" w:rsidR="0097404C" w:rsidRDefault="001407CB">
            <w:pPr>
              <w:rPr>
                <w:rFonts w:cs="Calibri"/>
                <w:kern w:val="0"/>
                <w:sz w:val="18"/>
                <w:szCs w:val="18"/>
              </w:rPr>
            </w:pPr>
            <w:r>
              <w:rPr>
                <w:rFonts w:cs="Calibri"/>
                <w:kern w:val="0"/>
                <w:sz w:val="18"/>
                <w:szCs w:val="18"/>
              </w:rPr>
              <w:t>Uniform (0.0001, 0.0002)</w:t>
            </w:r>
          </w:p>
        </w:tc>
        <w:tc>
          <w:tcPr>
            <w:tcW w:w="602" w:type="pct"/>
          </w:tcPr>
          <w:p w14:paraId="5FC83C54" w14:textId="77777777" w:rsidR="0097404C" w:rsidRDefault="0097404C">
            <w:pPr>
              <w:jc w:val="left"/>
              <w:rPr>
                <w:rFonts w:cs="Calibri"/>
                <w:color w:val="212121"/>
                <w:kern w:val="0"/>
                <w:sz w:val="18"/>
                <w:szCs w:val="18"/>
                <w:shd w:val="clear" w:color="auto" w:fill="FFFFFF"/>
              </w:rPr>
            </w:pPr>
          </w:p>
        </w:tc>
      </w:tr>
      <w:tr w:rsidR="0097404C" w14:paraId="233BB810" w14:textId="77777777">
        <w:trPr>
          <w:trHeight w:val="292"/>
          <w:jc w:val="center"/>
        </w:trPr>
        <w:tc>
          <w:tcPr>
            <w:tcW w:w="1827" w:type="pct"/>
          </w:tcPr>
          <w:p w14:paraId="061F44DF" w14:textId="77777777" w:rsidR="0097404C" w:rsidRDefault="001407CB">
            <w:pPr>
              <w:ind w:firstLineChars="200" w:firstLine="360"/>
              <w:jc w:val="left"/>
              <w:rPr>
                <w:rFonts w:cs="Calibri"/>
                <w:kern w:val="0"/>
                <w:sz w:val="18"/>
                <w:szCs w:val="18"/>
              </w:rPr>
            </w:pPr>
            <w:r>
              <w:rPr>
                <w:rFonts w:cs="Calibri"/>
                <w:kern w:val="0"/>
                <w:sz w:val="18"/>
                <w:szCs w:val="18"/>
              </w:rPr>
              <w:t>50-59 y</w:t>
            </w:r>
          </w:p>
        </w:tc>
        <w:tc>
          <w:tcPr>
            <w:tcW w:w="645" w:type="pct"/>
            <w:vAlign w:val="bottom"/>
          </w:tcPr>
          <w:p w14:paraId="78A1E2D2" w14:textId="77777777" w:rsidR="0097404C" w:rsidRDefault="001407CB">
            <w:pPr>
              <w:rPr>
                <w:rFonts w:cs="Calibri"/>
                <w:kern w:val="0"/>
                <w:sz w:val="18"/>
                <w:szCs w:val="18"/>
              </w:rPr>
            </w:pPr>
            <w:r>
              <w:rPr>
                <w:rFonts w:eastAsia="等线" w:cs="Calibri"/>
                <w:color w:val="000000"/>
                <w:kern w:val="0"/>
                <w:sz w:val="18"/>
                <w:szCs w:val="18"/>
              </w:rPr>
              <w:t xml:space="preserve">0.0005 </w:t>
            </w:r>
          </w:p>
        </w:tc>
        <w:tc>
          <w:tcPr>
            <w:tcW w:w="618" w:type="pct"/>
          </w:tcPr>
          <w:p w14:paraId="75877AE3" w14:textId="77777777" w:rsidR="0097404C" w:rsidRDefault="001407CB">
            <w:pPr>
              <w:rPr>
                <w:rFonts w:cs="Calibri"/>
                <w:kern w:val="0"/>
                <w:sz w:val="18"/>
                <w:szCs w:val="18"/>
              </w:rPr>
            </w:pPr>
            <w:r>
              <w:rPr>
                <w:rFonts w:cs="Calibri"/>
                <w:kern w:val="0"/>
                <w:sz w:val="18"/>
                <w:szCs w:val="18"/>
              </w:rPr>
              <w:t>±50%</w:t>
            </w:r>
          </w:p>
        </w:tc>
        <w:tc>
          <w:tcPr>
            <w:tcW w:w="1308" w:type="pct"/>
          </w:tcPr>
          <w:p w14:paraId="6982462E" w14:textId="77777777" w:rsidR="0097404C" w:rsidRDefault="001407CB">
            <w:pPr>
              <w:rPr>
                <w:rFonts w:cs="Calibri"/>
                <w:kern w:val="0"/>
                <w:sz w:val="18"/>
                <w:szCs w:val="18"/>
              </w:rPr>
            </w:pPr>
            <w:r>
              <w:rPr>
                <w:rFonts w:cs="Calibri"/>
                <w:kern w:val="0"/>
                <w:sz w:val="18"/>
                <w:szCs w:val="18"/>
              </w:rPr>
              <w:t>Uniform (0.0002, 0.0007)</w:t>
            </w:r>
          </w:p>
        </w:tc>
        <w:tc>
          <w:tcPr>
            <w:tcW w:w="602" w:type="pct"/>
          </w:tcPr>
          <w:p w14:paraId="45CB4C52" w14:textId="77777777" w:rsidR="0097404C" w:rsidRDefault="0097404C">
            <w:pPr>
              <w:jc w:val="left"/>
              <w:rPr>
                <w:rFonts w:cs="Calibri"/>
                <w:color w:val="212121"/>
                <w:kern w:val="0"/>
                <w:sz w:val="18"/>
                <w:szCs w:val="18"/>
                <w:shd w:val="clear" w:color="auto" w:fill="FFFFFF"/>
              </w:rPr>
            </w:pPr>
          </w:p>
        </w:tc>
      </w:tr>
      <w:tr w:rsidR="0097404C" w14:paraId="73D0BF5D" w14:textId="77777777">
        <w:trPr>
          <w:jc w:val="center"/>
        </w:trPr>
        <w:tc>
          <w:tcPr>
            <w:tcW w:w="1827" w:type="pct"/>
          </w:tcPr>
          <w:p w14:paraId="45110239" w14:textId="77777777" w:rsidR="0097404C" w:rsidRDefault="001407CB">
            <w:pPr>
              <w:ind w:firstLineChars="200" w:firstLine="360"/>
              <w:jc w:val="left"/>
              <w:rPr>
                <w:rFonts w:cs="Calibri"/>
                <w:kern w:val="0"/>
                <w:sz w:val="18"/>
                <w:szCs w:val="18"/>
              </w:rPr>
            </w:pPr>
            <w:r>
              <w:rPr>
                <w:rFonts w:cs="Calibri"/>
                <w:kern w:val="0"/>
                <w:sz w:val="18"/>
                <w:szCs w:val="18"/>
              </w:rPr>
              <w:t>60-69 y</w:t>
            </w:r>
          </w:p>
        </w:tc>
        <w:tc>
          <w:tcPr>
            <w:tcW w:w="645" w:type="pct"/>
            <w:vAlign w:val="bottom"/>
          </w:tcPr>
          <w:p w14:paraId="388F1854" w14:textId="77777777" w:rsidR="0097404C" w:rsidRDefault="001407CB">
            <w:pPr>
              <w:rPr>
                <w:rFonts w:cs="Calibri"/>
                <w:kern w:val="0"/>
                <w:sz w:val="18"/>
                <w:szCs w:val="18"/>
              </w:rPr>
            </w:pPr>
            <w:r>
              <w:rPr>
                <w:rFonts w:eastAsia="等线" w:cs="Calibri"/>
                <w:color w:val="000000"/>
                <w:kern w:val="0"/>
                <w:sz w:val="18"/>
                <w:szCs w:val="18"/>
              </w:rPr>
              <w:t xml:space="preserve">0.0012 </w:t>
            </w:r>
          </w:p>
        </w:tc>
        <w:tc>
          <w:tcPr>
            <w:tcW w:w="618" w:type="pct"/>
          </w:tcPr>
          <w:p w14:paraId="64A51D43" w14:textId="77777777" w:rsidR="0097404C" w:rsidRDefault="001407CB">
            <w:pPr>
              <w:rPr>
                <w:rFonts w:cs="Calibri"/>
                <w:kern w:val="0"/>
                <w:sz w:val="18"/>
                <w:szCs w:val="18"/>
              </w:rPr>
            </w:pPr>
            <w:r>
              <w:rPr>
                <w:rFonts w:cs="Calibri"/>
                <w:kern w:val="0"/>
                <w:sz w:val="18"/>
                <w:szCs w:val="18"/>
              </w:rPr>
              <w:t>±50%</w:t>
            </w:r>
          </w:p>
        </w:tc>
        <w:tc>
          <w:tcPr>
            <w:tcW w:w="1308" w:type="pct"/>
          </w:tcPr>
          <w:p w14:paraId="2D608FDF" w14:textId="77777777" w:rsidR="0097404C" w:rsidRDefault="001407CB">
            <w:pPr>
              <w:rPr>
                <w:rFonts w:cs="Calibri"/>
                <w:kern w:val="0"/>
                <w:sz w:val="18"/>
                <w:szCs w:val="18"/>
              </w:rPr>
            </w:pPr>
            <w:r>
              <w:rPr>
                <w:rFonts w:cs="Calibri"/>
                <w:kern w:val="0"/>
                <w:sz w:val="18"/>
                <w:szCs w:val="18"/>
              </w:rPr>
              <w:t>Uniform (0.0006, 0.0018)</w:t>
            </w:r>
          </w:p>
        </w:tc>
        <w:tc>
          <w:tcPr>
            <w:tcW w:w="602" w:type="pct"/>
          </w:tcPr>
          <w:p w14:paraId="6C7C3381" w14:textId="77777777" w:rsidR="0097404C" w:rsidRDefault="0097404C">
            <w:pPr>
              <w:jc w:val="left"/>
              <w:rPr>
                <w:rFonts w:cs="Calibri"/>
                <w:color w:val="212121"/>
                <w:kern w:val="0"/>
                <w:sz w:val="18"/>
                <w:szCs w:val="18"/>
                <w:shd w:val="clear" w:color="auto" w:fill="FFFFFF"/>
              </w:rPr>
            </w:pPr>
          </w:p>
        </w:tc>
      </w:tr>
      <w:tr w:rsidR="0097404C" w14:paraId="7329C04B" w14:textId="77777777">
        <w:trPr>
          <w:jc w:val="center"/>
        </w:trPr>
        <w:tc>
          <w:tcPr>
            <w:tcW w:w="1827" w:type="pct"/>
          </w:tcPr>
          <w:p w14:paraId="2A4A5B62" w14:textId="77777777" w:rsidR="0097404C" w:rsidRDefault="001407CB">
            <w:pPr>
              <w:ind w:firstLineChars="200" w:firstLine="360"/>
              <w:jc w:val="left"/>
              <w:rPr>
                <w:rFonts w:cs="Calibri"/>
                <w:kern w:val="0"/>
                <w:sz w:val="18"/>
                <w:szCs w:val="18"/>
              </w:rPr>
            </w:pPr>
            <w:r>
              <w:rPr>
                <w:rFonts w:cs="Calibri"/>
                <w:kern w:val="0"/>
                <w:sz w:val="18"/>
                <w:szCs w:val="18"/>
              </w:rPr>
              <w:t>≥70 y</w:t>
            </w:r>
          </w:p>
        </w:tc>
        <w:tc>
          <w:tcPr>
            <w:tcW w:w="645" w:type="pct"/>
            <w:vAlign w:val="bottom"/>
          </w:tcPr>
          <w:p w14:paraId="01A0772D" w14:textId="77777777" w:rsidR="0097404C" w:rsidRDefault="001407CB">
            <w:pPr>
              <w:rPr>
                <w:rFonts w:cs="Calibri"/>
                <w:kern w:val="0"/>
                <w:sz w:val="18"/>
                <w:szCs w:val="18"/>
              </w:rPr>
            </w:pPr>
            <w:r>
              <w:rPr>
                <w:rFonts w:eastAsia="等线" w:cs="Calibri"/>
                <w:color w:val="000000"/>
                <w:kern w:val="0"/>
                <w:sz w:val="18"/>
                <w:szCs w:val="18"/>
              </w:rPr>
              <w:t xml:space="preserve">0.0024 </w:t>
            </w:r>
          </w:p>
        </w:tc>
        <w:tc>
          <w:tcPr>
            <w:tcW w:w="618" w:type="pct"/>
          </w:tcPr>
          <w:p w14:paraId="0408B226" w14:textId="77777777" w:rsidR="0097404C" w:rsidRDefault="001407CB">
            <w:pPr>
              <w:rPr>
                <w:rFonts w:cs="Calibri"/>
                <w:kern w:val="0"/>
                <w:sz w:val="18"/>
                <w:szCs w:val="18"/>
              </w:rPr>
            </w:pPr>
            <w:r>
              <w:rPr>
                <w:rFonts w:cs="Calibri"/>
                <w:kern w:val="0"/>
                <w:sz w:val="18"/>
                <w:szCs w:val="18"/>
              </w:rPr>
              <w:t>±50%</w:t>
            </w:r>
          </w:p>
        </w:tc>
        <w:tc>
          <w:tcPr>
            <w:tcW w:w="1308" w:type="pct"/>
          </w:tcPr>
          <w:p w14:paraId="5CA70324" w14:textId="77777777" w:rsidR="0097404C" w:rsidRDefault="001407CB">
            <w:pPr>
              <w:rPr>
                <w:rFonts w:cs="Calibri"/>
                <w:kern w:val="0"/>
                <w:sz w:val="18"/>
                <w:szCs w:val="18"/>
              </w:rPr>
            </w:pPr>
            <w:r>
              <w:rPr>
                <w:rFonts w:cs="Calibri"/>
                <w:kern w:val="0"/>
                <w:sz w:val="18"/>
                <w:szCs w:val="18"/>
              </w:rPr>
              <w:t>Uniform (0.0012, 0.0035)</w:t>
            </w:r>
          </w:p>
        </w:tc>
        <w:tc>
          <w:tcPr>
            <w:tcW w:w="602" w:type="pct"/>
          </w:tcPr>
          <w:p w14:paraId="0E306F47" w14:textId="77777777" w:rsidR="0097404C" w:rsidRDefault="0097404C">
            <w:pPr>
              <w:jc w:val="left"/>
              <w:rPr>
                <w:rFonts w:cs="Calibri"/>
                <w:color w:val="212121"/>
                <w:kern w:val="0"/>
                <w:sz w:val="18"/>
                <w:szCs w:val="18"/>
                <w:shd w:val="clear" w:color="auto" w:fill="FFFFFF"/>
              </w:rPr>
            </w:pPr>
          </w:p>
        </w:tc>
      </w:tr>
      <w:tr w:rsidR="0097404C" w14:paraId="10ED4645" w14:textId="77777777">
        <w:trPr>
          <w:jc w:val="center"/>
        </w:trPr>
        <w:tc>
          <w:tcPr>
            <w:tcW w:w="1827" w:type="pct"/>
          </w:tcPr>
          <w:p w14:paraId="23C304B8" w14:textId="77777777" w:rsidR="0097404C" w:rsidRDefault="001407CB">
            <w:pPr>
              <w:ind w:firstLineChars="100" w:firstLine="180"/>
              <w:jc w:val="left"/>
              <w:rPr>
                <w:rFonts w:cs="Calibri"/>
                <w:kern w:val="0"/>
                <w:sz w:val="18"/>
                <w:szCs w:val="18"/>
              </w:rPr>
            </w:pPr>
            <w:r>
              <w:rPr>
                <w:rFonts w:cs="Calibri"/>
                <w:kern w:val="0"/>
                <w:sz w:val="18"/>
                <w:szCs w:val="18"/>
              </w:rPr>
              <w:t>Progress to death</w:t>
            </w:r>
          </w:p>
        </w:tc>
        <w:tc>
          <w:tcPr>
            <w:tcW w:w="645" w:type="pct"/>
          </w:tcPr>
          <w:p w14:paraId="0B98C9E8" w14:textId="77777777" w:rsidR="0097404C" w:rsidRDefault="0097404C">
            <w:pPr>
              <w:rPr>
                <w:rFonts w:cs="Calibri"/>
                <w:kern w:val="0"/>
                <w:sz w:val="18"/>
                <w:szCs w:val="18"/>
              </w:rPr>
            </w:pPr>
          </w:p>
        </w:tc>
        <w:tc>
          <w:tcPr>
            <w:tcW w:w="618" w:type="pct"/>
          </w:tcPr>
          <w:p w14:paraId="7F86928F" w14:textId="77777777" w:rsidR="0097404C" w:rsidRDefault="0097404C">
            <w:pPr>
              <w:rPr>
                <w:rFonts w:cs="Calibri"/>
                <w:kern w:val="0"/>
                <w:sz w:val="18"/>
                <w:szCs w:val="18"/>
              </w:rPr>
            </w:pPr>
          </w:p>
        </w:tc>
        <w:tc>
          <w:tcPr>
            <w:tcW w:w="1308" w:type="pct"/>
          </w:tcPr>
          <w:p w14:paraId="68B16A83" w14:textId="77777777" w:rsidR="0097404C" w:rsidRDefault="0097404C">
            <w:pPr>
              <w:rPr>
                <w:rFonts w:cs="Calibri"/>
                <w:kern w:val="0"/>
                <w:sz w:val="18"/>
                <w:szCs w:val="18"/>
              </w:rPr>
            </w:pPr>
          </w:p>
        </w:tc>
        <w:tc>
          <w:tcPr>
            <w:tcW w:w="602" w:type="pct"/>
          </w:tcPr>
          <w:p w14:paraId="79501973" w14:textId="4EC2E609" w:rsidR="0097404C" w:rsidRDefault="00014421" w:rsidP="006A6358">
            <w:pPr>
              <w:jc w:val="left"/>
              <w:rPr>
                <w:rFonts w:cs="Calibri"/>
                <w:kern w:val="0"/>
                <w:sz w:val="18"/>
                <w:szCs w:val="18"/>
              </w:rPr>
            </w:pPr>
            <w:r>
              <w:rPr>
                <w:rFonts w:cs="Calibri"/>
                <w:kern w:val="0"/>
                <w:sz w:val="18"/>
                <w:szCs w:val="18"/>
                <w:vertAlign w:val="superscript"/>
              </w:rPr>
              <w:fldChar w:fldCharType="begin"/>
            </w:r>
            <w:r w:rsidR="007D10D2">
              <w:rPr>
                <w:rFonts w:cs="Calibri"/>
                <w:kern w:val="0"/>
                <w:sz w:val="18"/>
                <w:szCs w:val="18"/>
                <w:vertAlign w:val="superscript"/>
              </w:rPr>
              <w:instrText xml:space="preserve"> ADDIN NE.Ref.{AD14F9EA-E0E5-44BB-944B-7C8D0EFD70CC}</w:instrText>
            </w:r>
            <w:r>
              <w:rPr>
                <w:rFonts w:cs="Calibri"/>
                <w:kern w:val="0"/>
                <w:sz w:val="18"/>
                <w:szCs w:val="18"/>
                <w:vertAlign w:val="superscript"/>
              </w:rPr>
              <w:fldChar w:fldCharType="separate"/>
            </w:r>
            <w:r w:rsidR="007D10D2">
              <w:rPr>
                <w:rFonts w:eastAsiaTheme="minorEastAsia" w:cs="Calibri"/>
                <w:color w:val="000000"/>
                <w:kern w:val="0"/>
                <w:sz w:val="18"/>
                <w:szCs w:val="18"/>
                <w:vertAlign w:val="superscript"/>
              </w:rPr>
              <w:t>2</w:t>
            </w:r>
            <w:r w:rsidR="007D10D2">
              <w:rPr>
                <w:rFonts w:eastAsiaTheme="minorEastAsia" w:cs="Calibri"/>
                <w:color w:val="000000"/>
                <w:kern w:val="0"/>
                <w:sz w:val="18"/>
                <w:szCs w:val="18"/>
              </w:rPr>
              <w:t xml:space="preserve">; </w:t>
            </w:r>
            <w:r w:rsidR="007D10D2">
              <w:rPr>
                <w:rFonts w:eastAsiaTheme="minorEastAsia" w:cs="Calibri"/>
                <w:color w:val="000000"/>
                <w:kern w:val="0"/>
                <w:sz w:val="18"/>
                <w:szCs w:val="18"/>
                <w:vertAlign w:val="superscript"/>
              </w:rPr>
              <w:t>6</w:t>
            </w:r>
            <w:r w:rsidR="007D10D2">
              <w:rPr>
                <w:rFonts w:eastAsiaTheme="minorEastAsia" w:cs="Calibri"/>
                <w:color w:val="000000"/>
                <w:kern w:val="0"/>
                <w:sz w:val="18"/>
                <w:szCs w:val="18"/>
              </w:rPr>
              <w:t xml:space="preserve">; </w:t>
            </w:r>
            <w:r w:rsidR="007D10D2">
              <w:rPr>
                <w:rFonts w:eastAsiaTheme="minorEastAsia" w:cs="Calibri"/>
                <w:color w:val="000000"/>
                <w:kern w:val="0"/>
                <w:sz w:val="18"/>
                <w:szCs w:val="18"/>
                <w:vertAlign w:val="superscript"/>
              </w:rPr>
              <w:t>8</w:t>
            </w:r>
            <w:r>
              <w:rPr>
                <w:rFonts w:cs="Calibri"/>
                <w:kern w:val="0"/>
                <w:sz w:val="18"/>
                <w:szCs w:val="18"/>
                <w:vertAlign w:val="superscript"/>
              </w:rPr>
              <w:fldChar w:fldCharType="end"/>
            </w:r>
          </w:p>
        </w:tc>
      </w:tr>
      <w:tr w:rsidR="0097404C" w14:paraId="01342B14" w14:textId="77777777">
        <w:trPr>
          <w:jc w:val="center"/>
        </w:trPr>
        <w:tc>
          <w:tcPr>
            <w:tcW w:w="1827" w:type="pct"/>
          </w:tcPr>
          <w:p w14:paraId="79AD7159" w14:textId="77777777" w:rsidR="0097404C" w:rsidRDefault="001407CB">
            <w:pPr>
              <w:ind w:firstLineChars="200" w:firstLine="360"/>
              <w:jc w:val="left"/>
              <w:rPr>
                <w:rFonts w:cs="Calibri"/>
                <w:kern w:val="0"/>
                <w:sz w:val="18"/>
                <w:szCs w:val="18"/>
              </w:rPr>
            </w:pPr>
            <w:r>
              <w:rPr>
                <w:rFonts w:cs="Calibri"/>
                <w:kern w:val="0"/>
                <w:sz w:val="18"/>
                <w:szCs w:val="18"/>
              </w:rPr>
              <w:t>40-49 y</w:t>
            </w:r>
          </w:p>
        </w:tc>
        <w:tc>
          <w:tcPr>
            <w:tcW w:w="645" w:type="pct"/>
            <w:vAlign w:val="bottom"/>
          </w:tcPr>
          <w:p w14:paraId="0DE24A96" w14:textId="77777777" w:rsidR="0097404C" w:rsidRDefault="001407CB">
            <w:pPr>
              <w:rPr>
                <w:rFonts w:cs="Calibri"/>
                <w:kern w:val="0"/>
                <w:sz w:val="18"/>
                <w:szCs w:val="18"/>
              </w:rPr>
            </w:pPr>
            <w:r>
              <w:rPr>
                <w:rFonts w:eastAsia="等线" w:cs="Calibri"/>
                <w:color w:val="000000"/>
                <w:kern w:val="0"/>
                <w:sz w:val="18"/>
                <w:szCs w:val="18"/>
              </w:rPr>
              <w:t xml:space="preserve">0.0035 </w:t>
            </w:r>
          </w:p>
        </w:tc>
        <w:tc>
          <w:tcPr>
            <w:tcW w:w="618" w:type="pct"/>
          </w:tcPr>
          <w:p w14:paraId="3D541BA8" w14:textId="77777777" w:rsidR="0097404C" w:rsidRDefault="001407CB">
            <w:pPr>
              <w:rPr>
                <w:rFonts w:cs="Calibri"/>
                <w:kern w:val="0"/>
                <w:sz w:val="18"/>
                <w:szCs w:val="18"/>
              </w:rPr>
            </w:pPr>
            <w:r>
              <w:rPr>
                <w:rFonts w:cs="Calibri"/>
                <w:kern w:val="0"/>
                <w:sz w:val="18"/>
                <w:szCs w:val="18"/>
              </w:rPr>
              <w:t>±50%</w:t>
            </w:r>
          </w:p>
        </w:tc>
        <w:tc>
          <w:tcPr>
            <w:tcW w:w="1308" w:type="pct"/>
          </w:tcPr>
          <w:p w14:paraId="5EB5DA97" w14:textId="77777777" w:rsidR="0097404C" w:rsidRDefault="001407CB">
            <w:pPr>
              <w:rPr>
                <w:rFonts w:cs="Calibri"/>
                <w:kern w:val="0"/>
                <w:sz w:val="18"/>
                <w:szCs w:val="18"/>
              </w:rPr>
            </w:pPr>
            <w:r>
              <w:rPr>
                <w:rFonts w:cs="Calibri"/>
                <w:kern w:val="0"/>
                <w:sz w:val="18"/>
                <w:szCs w:val="18"/>
              </w:rPr>
              <w:t>Uniform (0.0017, 0.0052)</w:t>
            </w:r>
          </w:p>
        </w:tc>
        <w:tc>
          <w:tcPr>
            <w:tcW w:w="602" w:type="pct"/>
          </w:tcPr>
          <w:p w14:paraId="018FB58A" w14:textId="77777777" w:rsidR="0097404C" w:rsidRDefault="0097404C">
            <w:pPr>
              <w:jc w:val="left"/>
              <w:rPr>
                <w:rFonts w:cs="Calibri"/>
                <w:kern w:val="0"/>
                <w:sz w:val="18"/>
                <w:szCs w:val="18"/>
              </w:rPr>
            </w:pPr>
          </w:p>
        </w:tc>
      </w:tr>
      <w:tr w:rsidR="0097404C" w14:paraId="0BD117EE" w14:textId="77777777">
        <w:trPr>
          <w:jc w:val="center"/>
        </w:trPr>
        <w:tc>
          <w:tcPr>
            <w:tcW w:w="1827" w:type="pct"/>
          </w:tcPr>
          <w:p w14:paraId="49655DBB" w14:textId="77777777" w:rsidR="0097404C" w:rsidRDefault="001407CB">
            <w:pPr>
              <w:ind w:firstLineChars="200" w:firstLine="360"/>
              <w:jc w:val="left"/>
              <w:rPr>
                <w:rFonts w:cs="Calibri"/>
                <w:kern w:val="0"/>
                <w:sz w:val="18"/>
                <w:szCs w:val="18"/>
              </w:rPr>
            </w:pPr>
            <w:r>
              <w:rPr>
                <w:rFonts w:cs="Calibri"/>
                <w:kern w:val="0"/>
                <w:sz w:val="18"/>
                <w:szCs w:val="18"/>
              </w:rPr>
              <w:t>50-59 y</w:t>
            </w:r>
          </w:p>
        </w:tc>
        <w:tc>
          <w:tcPr>
            <w:tcW w:w="645" w:type="pct"/>
            <w:vAlign w:val="bottom"/>
          </w:tcPr>
          <w:p w14:paraId="50C9AE80" w14:textId="77777777" w:rsidR="0097404C" w:rsidRDefault="001407CB">
            <w:pPr>
              <w:rPr>
                <w:rFonts w:cs="Calibri"/>
                <w:kern w:val="0"/>
                <w:sz w:val="18"/>
                <w:szCs w:val="18"/>
              </w:rPr>
            </w:pPr>
            <w:r>
              <w:rPr>
                <w:rFonts w:eastAsia="等线" w:cs="Calibri"/>
                <w:color w:val="000000"/>
                <w:kern w:val="0"/>
                <w:sz w:val="18"/>
                <w:szCs w:val="18"/>
              </w:rPr>
              <w:t xml:space="preserve">0.0071 </w:t>
            </w:r>
          </w:p>
        </w:tc>
        <w:tc>
          <w:tcPr>
            <w:tcW w:w="618" w:type="pct"/>
          </w:tcPr>
          <w:p w14:paraId="643854BE" w14:textId="77777777" w:rsidR="0097404C" w:rsidRDefault="001407CB">
            <w:pPr>
              <w:rPr>
                <w:rFonts w:cs="Calibri"/>
                <w:kern w:val="0"/>
                <w:sz w:val="18"/>
                <w:szCs w:val="18"/>
              </w:rPr>
            </w:pPr>
            <w:r>
              <w:rPr>
                <w:rFonts w:cs="Calibri"/>
                <w:kern w:val="0"/>
                <w:sz w:val="18"/>
                <w:szCs w:val="18"/>
              </w:rPr>
              <w:t>±50%</w:t>
            </w:r>
          </w:p>
        </w:tc>
        <w:tc>
          <w:tcPr>
            <w:tcW w:w="1308" w:type="pct"/>
          </w:tcPr>
          <w:p w14:paraId="6017DA9B" w14:textId="77777777" w:rsidR="0097404C" w:rsidRDefault="001407CB">
            <w:pPr>
              <w:rPr>
                <w:rFonts w:cs="Calibri"/>
                <w:kern w:val="0"/>
                <w:sz w:val="18"/>
                <w:szCs w:val="18"/>
              </w:rPr>
            </w:pPr>
            <w:r>
              <w:rPr>
                <w:rFonts w:cs="Calibri"/>
                <w:kern w:val="0"/>
                <w:sz w:val="18"/>
                <w:szCs w:val="18"/>
              </w:rPr>
              <w:t>Uniform (0.0035, 0.0106)</w:t>
            </w:r>
          </w:p>
        </w:tc>
        <w:tc>
          <w:tcPr>
            <w:tcW w:w="602" w:type="pct"/>
          </w:tcPr>
          <w:p w14:paraId="0E2A677E" w14:textId="77777777" w:rsidR="0097404C" w:rsidRDefault="0097404C">
            <w:pPr>
              <w:jc w:val="left"/>
              <w:rPr>
                <w:rFonts w:cs="Calibri"/>
                <w:kern w:val="0"/>
                <w:sz w:val="18"/>
                <w:szCs w:val="18"/>
              </w:rPr>
            </w:pPr>
          </w:p>
        </w:tc>
      </w:tr>
      <w:tr w:rsidR="0097404C" w14:paraId="23DFF966" w14:textId="77777777">
        <w:trPr>
          <w:jc w:val="center"/>
        </w:trPr>
        <w:tc>
          <w:tcPr>
            <w:tcW w:w="1827" w:type="pct"/>
          </w:tcPr>
          <w:p w14:paraId="6F8FC00D" w14:textId="77777777" w:rsidR="0097404C" w:rsidRDefault="001407CB">
            <w:pPr>
              <w:ind w:firstLineChars="200" w:firstLine="360"/>
              <w:jc w:val="left"/>
              <w:rPr>
                <w:rFonts w:cs="Calibri"/>
                <w:kern w:val="0"/>
                <w:sz w:val="18"/>
                <w:szCs w:val="18"/>
              </w:rPr>
            </w:pPr>
            <w:r>
              <w:rPr>
                <w:rFonts w:cs="Calibri"/>
                <w:kern w:val="0"/>
                <w:sz w:val="18"/>
                <w:szCs w:val="18"/>
              </w:rPr>
              <w:t>60-69 y</w:t>
            </w:r>
          </w:p>
        </w:tc>
        <w:tc>
          <w:tcPr>
            <w:tcW w:w="645" w:type="pct"/>
            <w:vAlign w:val="bottom"/>
          </w:tcPr>
          <w:p w14:paraId="78C7B492" w14:textId="77777777" w:rsidR="0097404C" w:rsidRDefault="001407CB">
            <w:pPr>
              <w:rPr>
                <w:rFonts w:cs="Calibri"/>
                <w:kern w:val="0"/>
                <w:sz w:val="18"/>
                <w:szCs w:val="18"/>
              </w:rPr>
            </w:pPr>
            <w:r>
              <w:rPr>
                <w:rFonts w:eastAsia="等线" w:cs="Calibri"/>
                <w:color w:val="000000"/>
                <w:kern w:val="0"/>
                <w:sz w:val="18"/>
                <w:szCs w:val="18"/>
              </w:rPr>
              <w:t xml:space="preserve">0.0190 </w:t>
            </w:r>
          </w:p>
        </w:tc>
        <w:tc>
          <w:tcPr>
            <w:tcW w:w="618" w:type="pct"/>
          </w:tcPr>
          <w:p w14:paraId="20673D00" w14:textId="77777777" w:rsidR="0097404C" w:rsidRDefault="001407CB">
            <w:pPr>
              <w:rPr>
                <w:rFonts w:cs="Calibri"/>
                <w:kern w:val="0"/>
                <w:sz w:val="18"/>
                <w:szCs w:val="18"/>
              </w:rPr>
            </w:pPr>
            <w:r>
              <w:rPr>
                <w:rFonts w:cs="Calibri"/>
                <w:kern w:val="0"/>
                <w:sz w:val="18"/>
                <w:szCs w:val="18"/>
              </w:rPr>
              <w:t>±50%</w:t>
            </w:r>
          </w:p>
        </w:tc>
        <w:tc>
          <w:tcPr>
            <w:tcW w:w="1308" w:type="pct"/>
          </w:tcPr>
          <w:p w14:paraId="339BFB7F" w14:textId="77777777" w:rsidR="0097404C" w:rsidRDefault="001407CB">
            <w:pPr>
              <w:rPr>
                <w:rFonts w:cs="Calibri"/>
                <w:kern w:val="0"/>
                <w:sz w:val="18"/>
                <w:szCs w:val="18"/>
              </w:rPr>
            </w:pPr>
            <w:r>
              <w:rPr>
                <w:rFonts w:cs="Calibri"/>
                <w:kern w:val="0"/>
                <w:sz w:val="18"/>
                <w:szCs w:val="18"/>
              </w:rPr>
              <w:t>Uniform (0.0095, 0.0285)</w:t>
            </w:r>
          </w:p>
        </w:tc>
        <w:tc>
          <w:tcPr>
            <w:tcW w:w="602" w:type="pct"/>
          </w:tcPr>
          <w:p w14:paraId="020C1075" w14:textId="77777777" w:rsidR="0097404C" w:rsidRDefault="0097404C">
            <w:pPr>
              <w:jc w:val="left"/>
              <w:rPr>
                <w:rFonts w:cs="Calibri"/>
                <w:kern w:val="0"/>
                <w:sz w:val="18"/>
                <w:szCs w:val="18"/>
              </w:rPr>
            </w:pPr>
          </w:p>
        </w:tc>
      </w:tr>
      <w:tr w:rsidR="0097404C" w14:paraId="18E5ADA1" w14:textId="77777777">
        <w:trPr>
          <w:jc w:val="center"/>
        </w:trPr>
        <w:tc>
          <w:tcPr>
            <w:tcW w:w="1827" w:type="pct"/>
          </w:tcPr>
          <w:p w14:paraId="626F8DEE" w14:textId="77777777" w:rsidR="0097404C" w:rsidRDefault="001407CB">
            <w:pPr>
              <w:ind w:firstLineChars="200" w:firstLine="360"/>
              <w:jc w:val="left"/>
              <w:rPr>
                <w:rFonts w:cs="Calibri"/>
                <w:kern w:val="0"/>
                <w:sz w:val="18"/>
                <w:szCs w:val="18"/>
              </w:rPr>
            </w:pPr>
            <w:r>
              <w:rPr>
                <w:rFonts w:cs="Calibri"/>
                <w:kern w:val="0"/>
                <w:sz w:val="18"/>
                <w:szCs w:val="18"/>
              </w:rPr>
              <w:t>≥70 y</w:t>
            </w:r>
          </w:p>
        </w:tc>
        <w:tc>
          <w:tcPr>
            <w:tcW w:w="645" w:type="pct"/>
            <w:vAlign w:val="bottom"/>
          </w:tcPr>
          <w:p w14:paraId="6CA4C610" w14:textId="77777777" w:rsidR="0097404C" w:rsidRDefault="001407CB">
            <w:pPr>
              <w:rPr>
                <w:rFonts w:cs="Calibri"/>
                <w:kern w:val="0"/>
                <w:sz w:val="18"/>
                <w:szCs w:val="18"/>
              </w:rPr>
            </w:pPr>
            <w:r>
              <w:rPr>
                <w:rFonts w:eastAsia="等线" w:cs="Calibri"/>
                <w:color w:val="000000"/>
                <w:kern w:val="0"/>
                <w:sz w:val="18"/>
                <w:szCs w:val="18"/>
              </w:rPr>
              <w:t xml:space="preserve">0.0842 </w:t>
            </w:r>
          </w:p>
        </w:tc>
        <w:tc>
          <w:tcPr>
            <w:tcW w:w="618" w:type="pct"/>
          </w:tcPr>
          <w:p w14:paraId="084F5584" w14:textId="77777777" w:rsidR="0097404C" w:rsidRDefault="001407CB">
            <w:pPr>
              <w:rPr>
                <w:rFonts w:cs="Calibri"/>
                <w:kern w:val="0"/>
                <w:sz w:val="18"/>
                <w:szCs w:val="18"/>
              </w:rPr>
            </w:pPr>
            <w:r>
              <w:rPr>
                <w:rFonts w:cs="Calibri"/>
                <w:kern w:val="0"/>
                <w:sz w:val="18"/>
                <w:szCs w:val="18"/>
              </w:rPr>
              <w:t>±50%</w:t>
            </w:r>
          </w:p>
        </w:tc>
        <w:tc>
          <w:tcPr>
            <w:tcW w:w="1308" w:type="pct"/>
          </w:tcPr>
          <w:p w14:paraId="66906C9D" w14:textId="77777777" w:rsidR="0097404C" w:rsidRDefault="001407CB">
            <w:pPr>
              <w:rPr>
                <w:rFonts w:cs="Calibri"/>
                <w:kern w:val="0"/>
                <w:sz w:val="18"/>
                <w:szCs w:val="18"/>
              </w:rPr>
            </w:pPr>
            <w:r>
              <w:rPr>
                <w:rFonts w:cs="Calibri"/>
                <w:kern w:val="0"/>
                <w:sz w:val="18"/>
                <w:szCs w:val="18"/>
              </w:rPr>
              <w:t>Uniform (0.0421, 0.1262)</w:t>
            </w:r>
          </w:p>
        </w:tc>
        <w:tc>
          <w:tcPr>
            <w:tcW w:w="602" w:type="pct"/>
          </w:tcPr>
          <w:p w14:paraId="4DA39DB3" w14:textId="77777777" w:rsidR="0097404C" w:rsidRDefault="0097404C">
            <w:pPr>
              <w:jc w:val="left"/>
              <w:rPr>
                <w:rFonts w:cs="Calibri"/>
                <w:kern w:val="0"/>
                <w:sz w:val="18"/>
                <w:szCs w:val="18"/>
              </w:rPr>
            </w:pPr>
          </w:p>
        </w:tc>
      </w:tr>
      <w:tr w:rsidR="0097404C" w14:paraId="3F7199F0" w14:textId="77777777">
        <w:trPr>
          <w:jc w:val="center"/>
        </w:trPr>
        <w:tc>
          <w:tcPr>
            <w:tcW w:w="1827" w:type="pct"/>
          </w:tcPr>
          <w:p w14:paraId="3E42A58C" w14:textId="77777777" w:rsidR="0097404C" w:rsidRDefault="001407CB">
            <w:pPr>
              <w:jc w:val="left"/>
              <w:rPr>
                <w:rFonts w:cs="Calibri"/>
                <w:kern w:val="0"/>
                <w:sz w:val="18"/>
                <w:szCs w:val="18"/>
              </w:rPr>
            </w:pPr>
            <w:r>
              <w:rPr>
                <w:rFonts w:cs="Calibri"/>
                <w:kern w:val="0"/>
                <w:sz w:val="18"/>
                <w:szCs w:val="18"/>
              </w:rPr>
              <w:t>TIA</w:t>
            </w:r>
          </w:p>
        </w:tc>
        <w:tc>
          <w:tcPr>
            <w:tcW w:w="645" w:type="pct"/>
          </w:tcPr>
          <w:p w14:paraId="1DD5BE35" w14:textId="77777777" w:rsidR="0097404C" w:rsidRDefault="0097404C">
            <w:pPr>
              <w:rPr>
                <w:rFonts w:cs="Calibri"/>
                <w:kern w:val="0"/>
                <w:sz w:val="18"/>
                <w:szCs w:val="18"/>
              </w:rPr>
            </w:pPr>
          </w:p>
        </w:tc>
        <w:tc>
          <w:tcPr>
            <w:tcW w:w="618" w:type="pct"/>
          </w:tcPr>
          <w:p w14:paraId="2BEEC2A2" w14:textId="77777777" w:rsidR="0097404C" w:rsidRDefault="0097404C">
            <w:pPr>
              <w:rPr>
                <w:rFonts w:cs="Calibri"/>
                <w:kern w:val="0"/>
                <w:sz w:val="18"/>
                <w:szCs w:val="18"/>
              </w:rPr>
            </w:pPr>
          </w:p>
        </w:tc>
        <w:tc>
          <w:tcPr>
            <w:tcW w:w="1308" w:type="pct"/>
          </w:tcPr>
          <w:p w14:paraId="01AD905B" w14:textId="77777777" w:rsidR="0097404C" w:rsidRDefault="0097404C">
            <w:pPr>
              <w:rPr>
                <w:rFonts w:cs="Calibri"/>
                <w:kern w:val="0"/>
                <w:sz w:val="18"/>
                <w:szCs w:val="18"/>
              </w:rPr>
            </w:pPr>
          </w:p>
        </w:tc>
        <w:tc>
          <w:tcPr>
            <w:tcW w:w="602" w:type="pct"/>
          </w:tcPr>
          <w:p w14:paraId="7A879BD1" w14:textId="77777777" w:rsidR="0097404C" w:rsidRDefault="0097404C">
            <w:pPr>
              <w:jc w:val="left"/>
              <w:rPr>
                <w:rFonts w:cs="Calibri"/>
                <w:kern w:val="0"/>
                <w:sz w:val="18"/>
                <w:szCs w:val="18"/>
              </w:rPr>
            </w:pPr>
          </w:p>
        </w:tc>
      </w:tr>
      <w:tr w:rsidR="0097404C" w14:paraId="5DD5C1EB" w14:textId="77777777">
        <w:trPr>
          <w:jc w:val="center"/>
        </w:trPr>
        <w:tc>
          <w:tcPr>
            <w:tcW w:w="1827" w:type="pct"/>
          </w:tcPr>
          <w:p w14:paraId="042B6415" w14:textId="77777777" w:rsidR="0097404C" w:rsidRDefault="001407CB">
            <w:pPr>
              <w:ind w:firstLineChars="100" w:firstLine="180"/>
              <w:jc w:val="left"/>
              <w:rPr>
                <w:rFonts w:cs="Calibri"/>
                <w:kern w:val="0"/>
                <w:sz w:val="18"/>
                <w:szCs w:val="18"/>
              </w:rPr>
            </w:pPr>
            <w:r>
              <w:rPr>
                <w:rFonts w:cs="Calibri"/>
                <w:kern w:val="0"/>
                <w:sz w:val="18"/>
                <w:szCs w:val="18"/>
              </w:rPr>
              <w:t>Progressed to a stroke</w:t>
            </w:r>
          </w:p>
        </w:tc>
        <w:tc>
          <w:tcPr>
            <w:tcW w:w="645" w:type="pct"/>
          </w:tcPr>
          <w:p w14:paraId="0FAB2F95" w14:textId="77777777" w:rsidR="0097404C" w:rsidRDefault="0097404C">
            <w:pPr>
              <w:rPr>
                <w:rFonts w:cs="Calibri"/>
                <w:kern w:val="0"/>
                <w:sz w:val="18"/>
                <w:szCs w:val="18"/>
              </w:rPr>
            </w:pPr>
          </w:p>
        </w:tc>
        <w:tc>
          <w:tcPr>
            <w:tcW w:w="618" w:type="pct"/>
          </w:tcPr>
          <w:p w14:paraId="354D1237" w14:textId="77777777" w:rsidR="0097404C" w:rsidRDefault="0097404C">
            <w:pPr>
              <w:rPr>
                <w:rFonts w:cs="Calibri"/>
                <w:kern w:val="0"/>
                <w:sz w:val="18"/>
                <w:szCs w:val="18"/>
              </w:rPr>
            </w:pPr>
          </w:p>
        </w:tc>
        <w:tc>
          <w:tcPr>
            <w:tcW w:w="1308" w:type="pct"/>
          </w:tcPr>
          <w:p w14:paraId="68C08C76" w14:textId="77777777" w:rsidR="0097404C" w:rsidRDefault="0097404C">
            <w:pPr>
              <w:rPr>
                <w:rFonts w:cs="Calibri"/>
                <w:kern w:val="0"/>
                <w:sz w:val="18"/>
                <w:szCs w:val="18"/>
              </w:rPr>
            </w:pPr>
          </w:p>
        </w:tc>
        <w:tc>
          <w:tcPr>
            <w:tcW w:w="602" w:type="pct"/>
          </w:tcPr>
          <w:p w14:paraId="3DD98BD2" w14:textId="60FBF132" w:rsidR="0097404C" w:rsidRDefault="00014421" w:rsidP="006A6358">
            <w:pPr>
              <w:jc w:val="left"/>
              <w:rPr>
                <w:rFonts w:cs="Calibri"/>
                <w:kern w:val="0"/>
                <w:sz w:val="18"/>
                <w:szCs w:val="18"/>
              </w:rPr>
            </w:pPr>
            <w:r>
              <w:rPr>
                <w:rFonts w:cs="Calibri"/>
                <w:kern w:val="0"/>
                <w:sz w:val="18"/>
                <w:szCs w:val="18"/>
              </w:rPr>
              <w:fldChar w:fldCharType="begin"/>
            </w:r>
            <w:r w:rsidR="007D10D2">
              <w:rPr>
                <w:rFonts w:cs="Calibri"/>
                <w:kern w:val="0"/>
                <w:sz w:val="18"/>
                <w:szCs w:val="18"/>
              </w:rPr>
              <w:instrText xml:space="preserve"> ADDIN NE.Ref.{F04814F7-38F2-4A13-BE91-755C9EC4C383}</w:instrText>
            </w:r>
            <w:r>
              <w:rPr>
                <w:rFonts w:cs="Calibri"/>
                <w:kern w:val="0"/>
                <w:sz w:val="18"/>
                <w:szCs w:val="18"/>
              </w:rPr>
              <w:fldChar w:fldCharType="separate"/>
            </w:r>
            <w:r w:rsidR="007D10D2">
              <w:rPr>
                <w:rFonts w:eastAsiaTheme="minorEastAsia" w:cs="Calibri"/>
                <w:color w:val="000000"/>
                <w:kern w:val="0"/>
                <w:sz w:val="18"/>
                <w:szCs w:val="18"/>
                <w:vertAlign w:val="superscript"/>
              </w:rPr>
              <w:t>6</w:t>
            </w:r>
            <w:r w:rsidR="007D10D2">
              <w:rPr>
                <w:rFonts w:eastAsiaTheme="minorEastAsia" w:cs="Calibri"/>
                <w:color w:val="000000"/>
                <w:kern w:val="0"/>
                <w:sz w:val="18"/>
                <w:szCs w:val="18"/>
              </w:rPr>
              <w:t xml:space="preserve">; </w:t>
            </w:r>
            <w:r w:rsidR="007D10D2">
              <w:rPr>
                <w:rFonts w:eastAsiaTheme="minorEastAsia" w:cs="Calibri"/>
                <w:color w:val="000000"/>
                <w:kern w:val="0"/>
                <w:sz w:val="18"/>
                <w:szCs w:val="18"/>
                <w:vertAlign w:val="superscript"/>
              </w:rPr>
              <w:t>9</w:t>
            </w:r>
            <w:r w:rsidR="007D10D2">
              <w:rPr>
                <w:rFonts w:eastAsiaTheme="minorEastAsia" w:cs="Calibri"/>
                <w:color w:val="000000"/>
                <w:kern w:val="0"/>
                <w:sz w:val="18"/>
                <w:szCs w:val="18"/>
              </w:rPr>
              <w:t xml:space="preserve">; </w:t>
            </w:r>
            <w:r w:rsidR="007D10D2">
              <w:rPr>
                <w:rFonts w:eastAsiaTheme="minorEastAsia" w:cs="Calibri"/>
                <w:color w:val="000000"/>
                <w:kern w:val="0"/>
                <w:sz w:val="18"/>
                <w:szCs w:val="18"/>
                <w:vertAlign w:val="superscript"/>
              </w:rPr>
              <w:t>10</w:t>
            </w:r>
            <w:r>
              <w:rPr>
                <w:rFonts w:cs="Calibri"/>
                <w:kern w:val="0"/>
                <w:sz w:val="18"/>
                <w:szCs w:val="18"/>
              </w:rPr>
              <w:fldChar w:fldCharType="end"/>
            </w:r>
          </w:p>
        </w:tc>
      </w:tr>
      <w:tr w:rsidR="0097404C" w14:paraId="6EE88584" w14:textId="77777777">
        <w:trPr>
          <w:jc w:val="center"/>
        </w:trPr>
        <w:tc>
          <w:tcPr>
            <w:tcW w:w="1827" w:type="pct"/>
          </w:tcPr>
          <w:p w14:paraId="6C7D2AE9" w14:textId="77777777" w:rsidR="0097404C" w:rsidRDefault="001407CB">
            <w:pPr>
              <w:ind w:firstLineChars="200" w:firstLine="360"/>
              <w:jc w:val="left"/>
              <w:rPr>
                <w:rFonts w:cs="Calibri"/>
                <w:kern w:val="0"/>
                <w:sz w:val="18"/>
                <w:szCs w:val="18"/>
              </w:rPr>
            </w:pPr>
            <w:r>
              <w:rPr>
                <w:rFonts w:cs="Calibri"/>
                <w:kern w:val="0"/>
                <w:sz w:val="18"/>
                <w:szCs w:val="18"/>
              </w:rPr>
              <w:t>40-49 y</w:t>
            </w:r>
          </w:p>
        </w:tc>
        <w:tc>
          <w:tcPr>
            <w:tcW w:w="645" w:type="pct"/>
            <w:vAlign w:val="bottom"/>
          </w:tcPr>
          <w:p w14:paraId="18E424FB" w14:textId="77777777" w:rsidR="0097404C" w:rsidRDefault="001407CB">
            <w:pPr>
              <w:rPr>
                <w:rFonts w:cs="Calibri"/>
                <w:kern w:val="0"/>
                <w:sz w:val="18"/>
                <w:szCs w:val="18"/>
              </w:rPr>
            </w:pPr>
            <w:r>
              <w:rPr>
                <w:rFonts w:eastAsia="等线" w:cs="Calibri"/>
                <w:color w:val="000000"/>
                <w:kern w:val="0"/>
                <w:sz w:val="18"/>
                <w:szCs w:val="18"/>
              </w:rPr>
              <w:t xml:space="preserve">0.0031 </w:t>
            </w:r>
          </w:p>
        </w:tc>
        <w:tc>
          <w:tcPr>
            <w:tcW w:w="618" w:type="pct"/>
          </w:tcPr>
          <w:p w14:paraId="036B803D" w14:textId="77777777" w:rsidR="0097404C" w:rsidRDefault="001407CB">
            <w:pPr>
              <w:rPr>
                <w:rFonts w:cs="Calibri"/>
                <w:kern w:val="0"/>
                <w:sz w:val="18"/>
                <w:szCs w:val="18"/>
              </w:rPr>
            </w:pPr>
            <w:r>
              <w:rPr>
                <w:rFonts w:cs="Calibri"/>
                <w:kern w:val="0"/>
                <w:sz w:val="18"/>
                <w:szCs w:val="18"/>
              </w:rPr>
              <w:t>±50%</w:t>
            </w:r>
          </w:p>
        </w:tc>
        <w:tc>
          <w:tcPr>
            <w:tcW w:w="1308" w:type="pct"/>
          </w:tcPr>
          <w:p w14:paraId="4E234979" w14:textId="77777777" w:rsidR="0097404C" w:rsidRDefault="001407CB">
            <w:pPr>
              <w:rPr>
                <w:rFonts w:cs="Calibri"/>
                <w:kern w:val="0"/>
                <w:sz w:val="18"/>
                <w:szCs w:val="18"/>
              </w:rPr>
            </w:pPr>
            <w:r>
              <w:rPr>
                <w:rFonts w:cs="Calibri"/>
                <w:kern w:val="0"/>
                <w:sz w:val="18"/>
                <w:szCs w:val="18"/>
              </w:rPr>
              <w:t>Uniform (0.0015, 0.0046)</w:t>
            </w:r>
          </w:p>
        </w:tc>
        <w:tc>
          <w:tcPr>
            <w:tcW w:w="602" w:type="pct"/>
          </w:tcPr>
          <w:p w14:paraId="3AC69254" w14:textId="77777777" w:rsidR="0097404C" w:rsidRDefault="0097404C">
            <w:pPr>
              <w:jc w:val="left"/>
              <w:rPr>
                <w:rFonts w:cs="Calibri"/>
                <w:kern w:val="0"/>
                <w:sz w:val="18"/>
                <w:szCs w:val="18"/>
              </w:rPr>
            </w:pPr>
          </w:p>
        </w:tc>
      </w:tr>
      <w:tr w:rsidR="0097404C" w14:paraId="22EC9985" w14:textId="77777777">
        <w:trPr>
          <w:jc w:val="center"/>
        </w:trPr>
        <w:tc>
          <w:tcPr>
            <w:tcW w:w="1827" w:type="pct"/>
          </w:tcPr>
          <w:p w14:paraId="69571375" w14:textId="77777777" w:rsidR="0097404C" w:rsidRDefault="001407CB">
            <w:pPr>
              <w:ind w:firstLineChars="200" w:firstLine="360"/>
              <w:jc w:val="left"/>
              <w:rPr>
                <w:rFonts w:cs="Calibri"/>
                <w:kern w:val="0"/>
                <w:sz w:val="18"/>
                <w:szCs w:val="18"/>
              </w:rPr>
            </w:pPr>
            <w:r>
              <w:rPr>
                <w:rFonts w:cs="Calibri"/>
                <w:kern w:val="0"/>
                <w:sz w:val="18"/>
                <w:szCs w:val="18"/>
              </w:rPr>
              <w:t>50-59 y</w:t>
            </w:r>
          </w:p>
        </w:tc>
        <w:tc>
          <w:tcPr>
            <w:tcW w:w="645" w:type="pct"/>
            <w:vAlign w:val="bottom"/>
          </w:tcPr>
          <w:p w14:paraId="4C926F1B" w14:textId="77777777" w:rsidR="0097404C" w:rsidRDefault="001407CB">
            <w:pPr>
              <w:rPr>
                <w:rFonts w:cs="Calibri"/>
                <w:kern w:val="0"/>
                <w:sz w:val="18"/>
                <w:szCs w:val="18"/>
              </w:rPr>
            </w:pPr>
            <w:r>
              <w:rPr>
                <w:rFonts w:eastAsia="等线" w:cs="Calibri"/>
                <w:color w:val="000000"/>
                <w:kern w:val="0"/>
                <w:sz w:val="18"/>
                <w:szCs w:val="18"/>
              </w:rPr>
              <w:t xml:space="preserve">0.0108 </w:t>
            </w:r>
          </w:p>
        </w:tc>
        <w:tc>
          <w:tcPr>
            <w:tcW w:w="618" w:type="pct"/>
          </w:tcPr>
          <w:p w14:paraId="28BD4576" w14:textId="77777777" w:rsidR="0097404C" w:rsidRDefault="001407CB">
            <w:pPr>
              <w:rPr>
                <w:rFonts w:cs="Calibri"/>
                <w:kern w:val="0"/>
                <w:sz w:val="18"/>
                <w:szCs w:val="18"/>
              </w:rPr>
            </w:pPr>
            <w:r>
              <w:rPr>
                <w:rFonts w:cs="Calibri"/>
                <w:kern w:val="0"/>
                <w:sz w:val="18"/>
                <w:szCs w:val="18"/>
              </w:rPr>
              <w:t>±50%</w:t>
            </w:r>
          </w:p>
        </w:tc>
        <w:tc>
          <w:tcPr>
            <w:tcW w:w="1308" w:type="pct"/>
          </w:tcPr>
          <w:p w14:paraId="001E93DE" w14:textId="77777777" w:rsidR="0097404C" w:rsidRDefault="001407CB">
            <w:pPr>
              <w:rPr>
                <w:rFonts w:cs="Calibri"/>
                <w:kern w:val="0"/>
                <w:sz w:val="18"/>
                <w:szCs w:val="18"/>
              </w:rPr>
            </w:pPr>
            <w:r>
              <w:rPr>
                <w:rFonts w:cs="Calibri"/>
                <w:kern w:val="0"/>
                <w:sz w:val="18"/>
                <w:szCs w:val="18"/>
              </w:rPr>
              <w:t>Uniform (0.0054, 0.0162)</w:t>
            </w:r>
          </w:p>
        </w:tc>
        <w:tc>
          <w:tcPr>
            <w:tcW w:w="602" w:type="pct"/>
          </w:tcPr>
          <w:p w14:paraId="301B5084" w14:textId="77777777" w:rsidR="0097404C" w:rsidRDefault="0097404C">
            <w:pPr>
              <w:jc w:val="left"/>
              <w:rPr>
                <w:rFonts w:cs="Calibri"/>
                <w:kern w:val="0"/>
                <w:sz w:val="18"/>
                <w:szCs w:val="18"/>
              </w:rPr>
            </w:pPr>
          </w:p>
        </w:tc>
      </w:tr>
      <w:tr w:rsidR="0097404C" w14:paraId="0E4B5111" w14:textId="77777777">
        <w:trPr>
          <w:jc w:val="center"/>
        </w:trPr>
        <w:tc>
          <w:tcPr>
            <w:tcW w:w="1827" w:type="pct"/>
          </w:tcPr>
          <w:p w14:paraId="69CA42B4" w14:textId="77777777" w:rsidR="0097404C" w:rsidRDefault="001407CB">
            <w:pPr>
              <w:ind w:firstLineChars="200" w:firstLine="360"/>
              <w:jc w:val="left"/>
              <w:rPr>
                <w:rFonts w:cs="Calibri"/>
                <w:kern w:val="0"/>
                <w:sz w:val="18"/>
                <w:szCs w:val="18"/>
              </w:rPr>
            </w:pPr>
            <w:r>
              <w:rPr>
                <w:rFonts w:cs="Calibri"/>
                <w:kern w:val="0"/>
                <w:sz w:val="18"/>
                <w:szCs w:val="18"/>
              </w:rPr>
              <w:t>60-69 y</w:t>
            </w:r>
          </w:p>
        </w:tc>
        <w:tc>
          <w:tcPr>
            <w:tcW w:w="645" w:type="pct"/>
            <w:vAlign w:val="bottom"/>
          </w:tcPr>
          <w:p w14:paraId="0F6DE6DC" w14:textId="77777777" w:rsidR="0097404C" w:rsidRDefault="001407CB">
            <w:pPr>
              <w:rPr>
                <w:rFonts w:cs="Calibri"/>
                <w:kern w:val="0"/>
                <w:sz w:val="18"/>
                <w:szCs w:val="18"/>
              </w:rPr>
            </w:pPr>
            <w:r>
              <w:rPr>
                <w:rFonts w:eastAsia="等线" w:cs="Calibri"/>
                <w:color w:val="000000"/>
                <w:kern w:val="0"/>
                <w:sz w:val="18"/>
                <w:szCs w:val="18"/>
              </w:rPr>
              <w:t xml:space="preserve">0.0257 </w:t>
            </w:r>
          </w:p>
        </w:tc>
        <w:tc>
          <w:tcPr>
            <w:tcW w:w="618" w:type="pct"/>
          </w:tcPr>
          <w:p w14:paraId="063E35E1" w14:textId="77777777" w:rsidR="0097404C" w:rsidRDefault="001407CB">
            <w:pPr>
              <w:rPr>
                <w:rFonts w:cs="Calibri"/>
                <w:kern w:val="0"/>
                <w:sz w:val="18"/>
                <w:szCs w:val="18"/>
              </w:rPr>
            </w:pPr>
            <w:r>
              <w:rPr>
                <w:rFonts w:cs="Calibri"/>
                <w:kern w:val="0"/>
                <w:sz w:val="18"/>
                <w:szCs w:val="18"/>
              </w:rPr>
              <w:t>±50%</w:t>
            </w:r>
          </w:p>
        </w:tc>
        <w:tc>
          <w:tcPr>
            <w:tcW w:w="1308" w:type="pct"/>
          </w:tcPr>
          <w:p w14:paraId="1BA5B5CF" w14:textId="77777777" w:rsidR="0097404C" w:rsidRDefault="001407CB">
            <w:pPr>
              <w:rPr>
                <w:rFonts w:cs="Calibri"/>
                <w:kern w:val="0"/>
                <w:sz w:val="18"/>
                <w:szCs w:val="18"/>
              </w:rPr>
            </w:pPr>
            <w:r>
              <w:rPr>
                <w:rFonts w:cs="Calibri"/>
                <w:kern w:val="0"/>
                <w:sz w:val="18"/>
                <w:szCs w:val="18"/>
              </w:rPr>
              <w:t>Uniform (0.0128, 0.0385)</w:t>
            </w:r>
          </w:p>
        </w:tc>
        <w:tc>
          <w:tcPr>
            <w:tcW w:w="602" w:type="pct"/>
          </w:tcPr>
          <w:p w14:paraId="3F3C7B19" w14:textId="77777777" w:rsidR="0097404C" w:rsidRDefault="0097404C">
            <w:pPr>
              <w:jc w:val="left"/>
              <w:rPr>
                <w:rFonts w:cs="Calibri"/>
                <w:kern w:val="0"/>
                <w:sz w:val="18"/>
                <w:szCs w:val="18"/>
              </w:rPr>
            </w:pPr>
          </w:p>
        </w:tc>
      </w:tr>
      <w:tr w:rsidR="0097404C" w14:paraId="42AF1B3B" w14:textId="77777777">
        <w:trPr>
          <w:jc w:val="center"/>
        </w:trPr>
        <w:tc>
          <w:tcPr>
            <w:tcW w:w="1827" w:type="pct"/>
          </w:tcPr>
          <w:p w14:paraId="7A71AAA0" w14:textId="77777777" w:rsidR="0097404C" w:rsidRDefault="001407CB">
            <w:pPr>
              <w:ind w:firstLineChars="200" w:firstLine="360"/>
              <w:jc w:val="left"/>
              <w:rPr>
                <w:rFonts w:cs="Calibri"/>
                <w:kern w:val="0"/>
                <w:sz w:val="18"/>
                <w:szCs w:val="18"/>
              </w:rPr>
            </w:pPr>
            <w:r>
              <w:rPr>
                <w:rFonts w:cs="Calibri"/>
                <w:kern w:val="0"/>
                <w:sz w:val="18"/>
                <w:szCs w:val="18"/>
              </w:rPr>
              <w:t>≥70 y</w:t>
            </w:r>
          </w:p>
        </w:tc>
        <w:tc>
          <w:tcPr>
            <w:tcW w:w="645" w:type="pct"/>
            <w:vAlign w:val="bottom"/>
          </w:tcPr>
          <w:p w14:paraId="75ABB7D4" w14:textId="77777777" w:rsidR="0097404C" w:rsidRDefault="001407CB">
            <w:pPr>
              <w:rPr>
                <w:rFonts w:cs="Calibri"/>
                <w:kern w:val="0"/>
                <w:sz w:val="18"/>
                <w:szCs w:val="18"/>
              </w:rPr>
            </w:pPr>
            <w:r>
              <w:rPr>
                <w:rFonts w:eastAsia="等线" w:cs="Calibri"/>
                <w:color w:val="000000"/>
                <w:kern w:val="0"/>
                <w:sz w:val="18"/>
                <w:szCs w:val="18"/>
              </w:rPr>
              <w:t xml:space="preserve">0.0493 </w:t>
            </w:r>
          </w:p>
        </w:tc>
        <w:tc>
          <w:tcPr>
            <w:tcW w:w="618" w:type="pct"/>
          </w:tcPr>
          <w:p w14:paraId="57B83C05" w14:textId="77777777" w:rsidR="0097404C" w:rsidRDefault="001407CB">
            <w:pPr>
              <w:rPr>
                <w:rFonts w:cs="Calibri"/>
                <w:kern w:val="0"/>
                <w:sz w:val="18"/>
                <w:szCs w:val="18"/>
              </w:rPr>
            </w:pPr>
            <w:r>
              <w:rPr>
                <w:rFonts w:cs="Calibri"/>
                <w:kern w:val="0"/>
                <w:sz w:val="18"/>
                <w:szCs w:val="18"/>
              </w:rPr>
              <w:t>±50%</w:t>
            </w:r>
          </w:p>
        </w:tc>
        <w:tc>
          <w:tcPr>
            <w:tcW w:w="1308" w:type="pct"/>
          </w:tcPr>
          <w:p w14:paraId="51E37D55" w14:textId="77777777" w:rsidR="0097404C" w:rsidRDefault="001407CB">
            <w:pPr>
              <w:rPr>
                <w:rFonts w:cs="Calibri"/>
                <w:kern w:val="0"/>
                <w:sz w:val="18"/>
                <w:szCs w:val="18"/>
              </w:rPr>
            </w:pPr>
            <w:r>
              <w:rPr>
                <w:rFonts w:cs="Calibri"/>
                <w:kern w:val="0"/>
                <w:sz w:val="18"/>
                <w:szCs w:val="18"/>
              </w:rPr>
              <w:t>Uniform (0.0246, 0.0739)</w:t>
            </w:r>
          </w:p>
        </w:tc>
        <w:tc>
          <w:tcPr>
            <w:tcW w:w="602" w:type="pct"/>
          </w:tcPr>
          <w:p w14:paraId="1F4C06D7" w14:textId="77777777" w:rsidR="0097404C" w:rsidRDefault="0097404C">
            <w:pPr>
              <w:jc w:val="left"/>
              <w:rPr>
                <w:rFonts w:cs="Calibri"/>
                <w:kern w:val="0"/>
                <w:sz w:val="18"/>
                <w:szCs w:val="18"/>
              </w:rPr>
            </w:pPr>
          </w:p>
        </w:tc>
      </w:tr>
      <w:tr w:rsidR="0097404C" w14:paraId="6A73EEF9" w14:textId="77777777">
        <w:trPr>
          <w:jc w:val="center"/>
        </w:trPr>
        <w:tc>
          <w:tcPr>
            <w:tcW w:w="1827" w:type="pct"/>
          </w:tcPr>
          <w:p w14:paraId="52B477F4" w14:textId="77777777" w:rsidR="0097404C" w:rsidRDefault="001407CB">
            <w:pPr>
              <w:ind w:firstLineChars="100" w:firstLine="180"/>
              <w:jc w:val="left"/>
              <w:rPr>
                <w:rFonts w:cs="Calibri"/>
                <w:kern w:val="0"/>
                <w:sz w:val="18"/>
                <w:szCs w:val="18"/>
              </w:rPr>
            </w:pPr>
            <w:r>
              <w:rPr>
                <w:rFonts w:cs="Calibri"/>
                <w:kern w:val="0"/>
                <w:sz w:val="18"/>
                <w:szCs w:val="18"/>
              </w:rPr>
              <w:t>Progress to death</w:t>
            </w:r>
          </w:p>
        </w:tc>
        <w:tc>
          <w:tcPr>
            <w:tcW w:w="645" w:type="pct"/>
          </w:tcPr>
          <w:p w14:paraId="706ABD74" w14:textId="77777777" w:rsidR="0097404C" w:rsidRDefault="0097404C">
            <w:pPr>
              <w:rPr>
                <w:rFonts w:cs="Calibri"/>
                <w:kern w:val="0"/>
                <w:sz w:val="18"/>
                <w:szCs w:val="18"/>
              </w:rPr>
            </w:pPr>
          </w:p>
        </w:tc>
        <w:tc>
          <w:tcPr>
            <w:tcW w:w="618" w:type="pct"/>
          </w:tcPr>
          <w:p w14:paraId="49F307F9" w14:textId="77777777" w:rsidR="0097404C" w:rsidRDefault="0097404C">
            <w:pPr>
              <w:rPr>
                <w:rFonts w:cs="Calibri"/>
                <w:kern w:val="0"/>
                <w:sz w:val="18"/>
                <w:szCs w:val="18"/>
              </w:rPr>
            </w:pPr>
          </w:p>
        </w:tc>
        <w:tc>
          <w:tcPr>
            <w:tcW w:w="1308" w:type="pct"/>
          </w:tcPr>
          <w:p w14:paraId="0B85A69D" w14:textId="77777777" w:rsidR="0097404C" w:rsidRDefault="0097404C">
            <w:pPr>
              <w:rPr>
                <w:rFonts w:cs="Calibri"/>
                <w:kern w:val="0"/>
                <w:sz w:val="18"/>
                <w:szCs w:val="18"/>
              </w:rPr>
            </w:pPr>
          </w:p>
        </w:tc>
        <w:tc>
          <w:tcPr>
            <w:tcW w:w="602" w:type="pct"/>
          </w:tcPr>
          <w:p w14:paraId="21558FA2" w14:textId="6C2FC9AE" w:rsidR="0097404C" w:rsidRDefault="00014421" w:rsidP="006A6358">
            <w:pPr>
              <w:jc w:val="left"/>
              <w:rPr>
                <w:rFonts w:cs="Calibri"/>
                <w:kern w:val="0"/>
                <w:sz w:val="18"/>
                <w:szCs w:val="18"/>
              </w:rPr>
            </w:pPr>
            <w:r>
              <w:rPr>
                <w:rFonts w:cs="Calibri"/>
                <w:kern w:val="0"/>
                <w:sz w:val="18"/>
                <w:szCs w:val="18"/>
              </w:rPr>
              <w:fldChar w:fldCharType="begin"/>
            </w:r>
            <w:r w:rsidR="007D10D2">
              <w:rPr>
                <w:rFonts w:cs="Calibri"/>
                <w:kern w:val="0"/>
                <w:sz w:val="18"/>
                <w:szCs w:val="18"/>
              </w:rPr>
              <w:instrText xml:space="preserve"> ADDIN NE.Ref.{5A88A707-2E13-45A1-8E87-43119FDC9141}</w:instrText>
            </w:r>
            <w:r>
              <w:rPr>
                <w:rFonts w:cs="Calibri"/>
                <w:kern w:val="0"/>
                <w:sz w:val="18"/>
                <w:szCs w:val="18"/>
              </w:rPr>
              <w:fldChar w:fldCharType="separate"/>
            </w:r>
            <w:r w:rsidR="007D10D2">
              <w:rPr>
                <w:rFonts w:eastAsiaTheme="minorEastAsia" w:cs="Calibri"/>
                <w:color w:val="000000"/>
                <w:kern w:val="0"/>
                <w:sz w:val="18"/>
                <w:szCs w:val="18"/>
                <w:vertAlign w:val="superscript"/>
              </w:rPr>
              <w:t>6</w:t>
            </w:r>
            <w:r w:rsidR="007D10D2">
              <w:rPr>
                <w:rFonts w:eastAsiaTheme="minorEastAsia" w:cs="Calibri"/>
                <w:color w:val="000000"/>
                <w:kern w:val="0"/>
                <w:sz w:val="18"/>
                <w:szCs w:val="18"/>
              </w:rPr>
              <w:t xml:space="preserve">; </w:t>
            </w:r>
            <w:r w:rsidR="007D10D2">
              <w:rPr>
                <w:rFonts w:eastAsiaTheme="minorEastAsia" w:cs="Calibri"/>
                <w:color w:val="000000"/>
                <w:kern w:val="0"/>
                <w:sz w:val="18"/>
                <w:szCs w:val="18"/>
                <w:vertAlign w:val="superscript"/>
              </w:rPr>
              <w:t>10</w:t>
            </w:r>
            <w:r w:rsidR="007D10D2">
              <w:rPr>
                <w:rFonts w:eastAsiaTheme="minorEastAsia" w:cs="Calibri"/>
                <w:color w:val="000000"/>
                <w:kern w:val="0"/>
                <w:sz w:val="18"/>
                <w:szCs w:val="18"/>
              </w:rPr>
              <w:t xml:space="preserve">; </w:t>
            </w:r>
            <w:r w:rsidR="007D10D2">
              <w:rPr>
                <w:rFonts w:eastAsiaTheme="minorEastAsia" w:cs="Calibri"/>
                <w:color w:val="000000"/>
                <w:kern w:val="0"/>
                <w:sz w:val="18"/>
                <w:szCs w:val="18"/>
                <w:vertAlign w:val="superscript"/>
              </w:rPr>
              <w:t>11</w:t>
            </w:r>
            <w:r>
              <w:rPr>
                <w:rFonts w:cs="Calibri"/>
                <w:kern w:val="0"/>
                <w:sz w:val="18"/>
                <w:szCs w:val="18"/>
              </w:rPr>
              <w:fldChar w:fldCharType="end"/>
            </w:r>
          </w:p>
        </w:tc>
      </w:tr>
      <w:tr w:rsidR="0097404C" w14:paraId="15B24921" w14:textId="77777777">
        <w:trPr>
          <w:jc w:val="center"/>
        </w:trPr>
        <w:tc>
          <w:tcPr>
            <w:tcW w:w="1827" w:type="pct"/>
          </w:tcPr>
          <w:p w14:paraId="7CA3BE57" w14:textId="77777777" w:rsidR="0097404C" w:rsidRDefault="001407CB">
            <w:pPr>
              <w:ind w:firstLineChars="200" w:firstLine="360"/>
              <w:jc w:val="left"/>
              <w:rPr>
                <w:rFonts w:cs="Calibri"/>
                <w:kern w:val="0"/>
                <w:sz w:val="18"/>
                <w:szCs w:val="18"/>
              </w:rPr>
            </w:pPr>
            <w:r>
              <w:rPr>
                <w:rFonts w:cs="Calibri"/>
                <w:kern w:val="0"/>
                <w:sz w:val="18"/>
                <w:szCs w:val="18"/>
              </w:rPr>
              <w:t>40-49 y</w:t>
            </w:r>
          </w:p>
        </w:tc>
        <w:tc>
          <w:tcPr>
            <w:tcW w:w="645" w:type="pct"/>
            <w:vAlign w:val="bottom"/>
          </w:tcPr>
          <w:p w14:paraId="30CA016C" w14:textId="77777777" w:rsidR="0097404C" w:rsidRDefault="001407CB">
            <w:pPr>
              <w:rPr>
                <w:rFonts w:cs="Calibri"/>
                <w:kern w:val="0"/>
                <w:sz w:val="18"/>
                <w:szCs w:val="18"/>
              </w:rPr>
            </w:pPr>
            <w:r>
              <w:rPr>
                <w:rFonts w:eastAsia="等线" w:cs="Calibri"/>
                <w:color w:val="000000"/>
                <w:kern w:val="0"/>
                <w:sz w:val="18"/>
                <w:szCs w:val="18"/>
              </w:rPr>
              <w:t xml:space="preserve">0.0018 </w:t>
            </w:r>
          </w:p>
        </w:tc>
        <w:tc>
          <w:tcPr>
            <w:tcW w:w="618" w:type="pct"/>
          </w:tcPr>
          <w:p w14:paraId="50A562C7" w14:textId="77777777" w:rsidR="0097404C" w:rsidRDefault="001407CB">
            <w:pPr>
              <w:rPr>
                <w:rFonts w:cs="Calibri"/>
                <w:kern w:val="0"/>
                <w:sz w:val="18"/>
                <w:szCs w:val="18"/>
              </w:rPr>
            </w:pPr>
            <w:r>
              <w:rPr>
                <w:rFonts w:cs="Calibri"/>
                <w:kern w:val="0"/>
                <w:sz w:val="18"/>
                <w:szCs w:val="18"/>
              </w:rPr>
              <w:t>±50%</w:t>
            </w:r>
          </w:p>
        </w:tc>
        <w:tc>
          <w:tcPr>
            <w:tcW w:w="1308" w:type="pct"/>
          </w:tcPr>
          <w:p w14:paraId="73CB3E43" w14:textId="77777777" w:rsidR="0097404C" w:rsidRDefault="001407CB">
            <w:pPr>
              <w:rPr>
                <w:rFonts w:cs="Calibri"/>
                <w:kern w:val="0"/>
                <w:sz w:val="18"/>
                <w:szCs w:val="18"/>
              </w:rPr>
            </w:pPr>
            <w:r>
              <w:rPr>
                <w:rFonts w:cs="Calibri"/>
                <w:kern w:val="0"/>
                <w:sz w:val="18"/>
                <w:szCs w:val="18"/>
              </w:rPr>
              <w:t>Uniform (0.0009, 0.0028)</w:t>
            </w:r>
          </w:p>
        </w:tc>
        <w:tc>
          <w:tcPr>
            <w:tcW w:w="602" w:type="pct"/>
          </w:tcPr>
          <w:p w14:paraId="5720859A" w14:textId="77777777" w:rsidR="0097404C" w:rsidRDefault="0097404C">
            <w:pPr>
              <w:jc w:val="left"/>
              <w:rPr>
                <w:rFonts w:cs="Calibri"/>
                <w:kern w:val="0"/>
                <w:sz w:val="18"/>
                <w:szCs w:val="18"/>
              </w:rPr>
            </w:pPr>
          </w:p>
        </w:tc>
      </w:tr>
      <w:tr w:rsidR="0097404C" w14:paraId="442D1F22" w14:textId="77777777">
        <w:trPr>
          <w:jc w:val="center"/>
        </w:trPr>
        <w:tc>
          <w:tcPr>
            <w:tcW w:w="1827" w:type="pct"/>
          </w:tcPr>
          <w:p w14:paraId="73AC24D7" w14:textId="77777777" w:rsidR="0097404C" w:rsidRDefault="001407CB">
            <w:pPr>
              <w:ind w:firstLineChars="200" w:firstLine="360"/>
              <w:jc w:val="left"/>
              <w:rPr>
                <w:rFonts w:cs="Calibri"/>
                <w:kern w:val="0"/>
                <w:sz w:val="18"/>
                <w:szCs w:val="18"/>
              </w:rPr>
            </w:pPr>
            <w:r>
              <w:rPr>
                <w:rFonts w:cs="Calibri"/>
                <w:kern w:val="0"/>
                <w:sz w:val="18"/>
                <w:szCs w:val="18"/>
              </w:rPr>
              <w:t>50-59 y</w:t>
            </w:r>
          </w:p>
        </w:tc>
        <w:tc>
          <w:tcPr>
            <w:tcW w:w="645" w:type="pct"/>
            <w:vAlign w:val="bottom"/>
          </w:tcPr>
          <w:p w14:paraId="2E0E529A" w14:textId="77777777" w:rsidR="0097404C" w:rsidRDefault="001407CB">
            <w:pPr>
              <w:rPr>
                <w:rFonts w:cs="Calibri"/>
                <w:kern w:val="0"/>
                <w:sz w:val="18"/>
                <w:szCs w:val="18"/>
              </w:rPr>
            </w:pPr>
            <w:r>
              <w:rPr>
                <w:rFonts w:eastAsia="等线" w:cs="Calibri"/>
                <w:color w:val="000000"/>
                <w:kern w:val="0"/>
                <w:sz w:val="18"/>
                <w:szCs w:val="18"/>
              </w:rPr>
              <w:t xml:space="preserve">0.0053 </w:t>
            </w:r>
          </w:p>
        </w:tc>
        <w:tc>
          <w:tcPr>
            <w:tcW w:w="618" w:type="pct"/>
          </w:tcPr>
          <w:p w14:paraId="7683B994" w14:textId="77777777" w:rsidR="0097404C" w:rsidRDefault="001407CB">
            <w:pPr>
              <w:rPr>
                <w:rFonts w:cs="Calibri"/>
                <w:kern w:val="0"/>
                <w:sz w:val="18"/>
                <w:szCs w:val="18"/>
              </w:rPr>
            </w:pPr>
            <w:r>
              <w:rPr>
                <w:rFonts w:cs="Calibri"/>
                <w:kern w:val="0"/>
                <w:sz w:val="18"/>
                <w:szCs w:val="18"/>
              </w:rPr>
              <w:t>±50%</w:t>
            </w:r>
          </w:p>
        </w:tc>
        <w:tc>
          <w:tcPr>
            <w:tcW w:w="1308" w:type="pct"/>
          </w:tcPr>
          <w:p w14:paraId="36736897" w14:textId="77777777" w:rsidR="0097404C" w:rsidRDefault="001407CB">
            <w:pPr>
              <w:rPr>
                <w:rFonts w:cs="Calibri"/>
                <w:kern w:val="0"/>
                <w:sz w:val="18"/>
                <w:szCs w:val="18"/>
              </w:rPr>
            </w:pPr>
            <w:r>
              <w:rPr>
                <w:rFonts w:cs="Calibri"/>
                <w:kern w:val="0"/>
                <w:sz w:val="18"/>
                <w:szCs w:val="18"/>
              </w:rPr>
              <w:t>Uniform (0.0026, 0.0079)</w:t>
            </w:r>
          </w:p>
        </w:tc>
        <w:tc>
          <w:tcPr>
            <w:tcW w:w="602" w:type="pct"/>
          </w:tcPr>
          <w:p w14:paraId="04802C38" w14:textId="77777777" w:rsidR="0097404C" w:rsidRDefault="0097404C">
            <w:pPr>
              <w:jc w:val="left"/>
              <w:rPr>
                <w:rFonts w:cs="Calibri"/>
                <w:kern w:val="0"/>
                <w:sz w:val="18"/>
                <w:szCs w:val="18"/>
              </w:rPr>
            </w:pPr>
          </w:p>
        </w:tc>
      </w:tr>
      <w:tr w:rsidR="0097404C" w14:paraId="31AC0615" w14:textId="77777777">
        <w:trPr>
          <w:jc w:val="center"/>
        </w:trPr>
        <w:tc>
          <w:tcPr>
            <w:tcW w:w="1827" w:type="pct"/>
          </w:tcPr>
          <w:p w14:paraId="12103D70" w14:textId="77777777" w:rsidR="0097404C" w:rsidRDefault="001407CB">
            <w:pPr>
              <w:ind w:firstLineChars="200" w:firstLine="360"/>
              <w:jc w:val="left"/>
              <w:rPr>
                <w:rFonts w:cs="Calibri"/>
                <w:kern w:val="0"/>
                <w:sz w:val="18"/>
                <w:szCs w:val="18"/>
              </w:rPr>
            </w:pPr>
            <w:r>
              <w:rPr>
                <w:rFonts w:cs="Calibri"/>
                <w:kern w:val="0"/>
                <w:sz w:val="18"/>
                <w:szCs w:val="18"/>
              </w:rPr>
              <w:t>60-69 y</w:t>
            </w:r>
          </w:p>
        </w:tc>
        <w:tc>
          <w:tcPr>
            <w:tcW w:w="645" w:type="pct"/>
            <w:vAlign w:val="bottom"/>
          </w:tcPr>
          <w:p w14:paraId="14119C40" w14:textId="77777777" w:rsidR="0097404C" w:rsidRDefault="001407CB">
            <w:pPr>
              <w:rPr>
                <w:rFonts w:cs="Calibri"/>
                <w:kern w:val="0"/>
                <w:sz w:val="18"/>
                <w:szCs w:val="18"/>
              </w:rPr>
            </w:pPr>
            <w:r>
              <w:rPr>
                <w:rFonts w:eastAsia="等线" w:cs="Calibri"/>
                <w:color w:val="000000"/>
                <w:kern w:val="0"/>
                <w:sz w:val="18"/>
                <w:szCs w:val="18"/>
              </w:rPr>
              <w:t xml:space="preserve">0.0129 </w:t>
            </w:r>
          </w:p>
        </w:tc>
        <w:tc>
          <w:tcPr>
            <w:tcW w:w="618" w:type="pct"/>
          </w:tcPr>
          <w:p w14:paraId="02A3FD53" w14:textId="77777777" w:rsidR="0097404C" w:rsidRDefault="001407CB">
            <w:pPr>
              <w:rPr>
                <w:rFonts w:cs="Calibri"/>
                <w:kern w:val="0"/>
                <w:sz w:val="18"/>
                <w:szCs w:val="18"/>
              </w:rPr>
            </w:pPr>
            <w:r>
              <w:rPr>
                <w:rFonts w:cs="Calibri"/>
                <w:kern w:val="0"/>
                <w:sz w:val="18"/>
                <w:szCs w:val="18"/>
              </w:rPr>
              <w:t>±50%</w:t>
            </w:r>
          </w:p>
        </w:tc>
        <w:tc>
          <w:tcPr>
            <w:tcW w:w="1308" w:type="pct"/>
          </w:tcPr>
          <w:p w14:paraId="683A03DC" w14:textId="77777777" w:rsidR="0097404C" w:rsidRDefault="001407CB">
            <w:pPr>
              <w:rPr>
                <w:rFonts w:cs="Calibri"/>
                <w:kern w:val="0"/>
                <w:sz w:val="18"/>
                <w:szCs w:val="18"/>
              </w:rPr>
            </w:pPr>
            <w:r>
              <w:rPr>
                <w:rFonts w:cs="Calibri"/>
                <w:kern w:val="0"/>
                <w:sz w:val="18"/>
                <w:szCs w:val="18"/>
              </w:rPr>
              <w:t>Uniform (0.0065, 0.0194)</w:t>
            </w:r>
          </w:p>
        </w:tc>
        <w:tc>
          <w:tcPr>
            <w:tcW w:w="602" w:type="pct"/>
          </w:tcPr>
          <w:p w14:paraId="14B2FD4C" w14:textId="77777777" w:rsidR="0097404C" w:rsidRDefault="0097404C">
            <w:pPr>
              <w:jc w:val="left"/>
              <w:rPr>
                <w:rFonts w:cs="Calibri"/>
                <w:kern w:val="0"/>
                <w:sz w:val="18"/>
                <w:szCs w:val="18"/>
              </w:rPr>
            </w:pPr>
          </w:p>
        </w:tc>
      </w:tr>
      <w:tr w:rsidR="0097404C" w14:paraId="4F9AF6C0" w14:textId="77777777">
        <w:trPr>
          <w:jc w:val="center"/>
        </w:trPr>
        <w:tc>
          <w:tcPr>
            <w:tcW w:w="1827" w:type="pct"/>
          </w:tcPr>
          <w:p w14:paraId="2F721352" w14:textId="77777777" w:rsidR="0097404C" w:rsidRDefault="001407CB">
            <w:pPr>
              <w:ind w:firstLineChars="200" w:firstLine="360"/>
              <w:jc w:val="left"/>
              <w:rPr>
                <w:rFonts w:cs="Calibri"/>
                <w:kern w:val="0"/>
                <w:sz w:val="18"/>
                <w:szCs w:val="18"/>
              </w:rPr>
            </w:pPr>
            <w:r>
              <w:rPr>
                <w:rFonts w:cs="Calibri"/>
                <w:kern w:val="0"/>
                <w:sz w:val="18"/>
                <w:szCs w:val="18"/>
              </w:rPr>
              <w:t>≥70 y</w:t>
            </w:r>
          </w:p>
        </w:tc>
        <w:tc>
          <w:tcPr>
            <w:tcW w:w="645" w:type="pct"/>
            <w:vAlign w:val="bottom"/>
          </w:tcPr>
          <w:p w14:paraId="465BF366" w14:textId="77777777" w:rsidR="0097404C" w:rsidRDefault="001407CB">
            <w:pPr>
              <w:rPr>
                <w:rFonts w:cs="Calibri"/>
                <w:kern w:val="0"/>
                <w:sz w:val="18"/>
                <w:szCs w:val="18"/>
              </w:rPr>
            </w:pPr>
            <w:r>
              <w:rPr>
                <w:rFonts w:eastAsia="等线" w:cs="Calibri"/>
                <w:color w:val="000000"/>
                <w:kern w:val="0"/>
                <w:sz w:val="18"/>
                <w:szCs w:val="18"/>
              </w:rPr>
              <w:t xml:space="preserve">0.0253 </w:t>
            </w:r>
          </w:p>
        </w:tc>
        <w:tc>
          <w:tcPr>
            <w:tcW w:w="618" w:type="pct"/>
          </w:tcPr>
          <w:p w14:paraId="50957C40" w14:textId="77777777" w:rsidR="0097404C" w:rsidRDefault="001407CB">
            <w:pPr>
              <w:rPr>
                <w:rFonts w:cs="Calibri"/>
                <w:kern w:val="0"/>
                <w:sz w:val="18"/>
                <w:szCs w:val="18"/>
              </w:rPr>
            </w:pPr>
            <w:r>
              <w:rPr>
                <w:rFonts w:cs="Calibri"/>
                <w:kern w:val="0"/>
                <w:sz w:val="18"/>
                <w:szCs w:val="18"/>
              </w:rPr>
              <w:t>±50%</w:t>
            </w:r>
          </w:p>
        </w:tc>
        <w:tc>
          <w:tcPr>
            <w:tcW w:w="1308" w:type="pct"/>
          </w:tcPr>
          <w:p w14:paraId="11CC882E" w14:textId="77777777" w:rsidR="0097404C" w:rsidRDefault="001407CB">
            <w:pPr>
              <w:rPr>
                <w:rFonts w:cs="Calibri"/>
                <w:kern w:val="0"/>
                <w:sz w:val="18"/>
                <w:szCs w:val="18"/>
              </w:rPr>
            </w:pPr>
            <w:r>
              <w:rPr>
                <w:rFonts w:cs="Calibri"/>
                <w:kern w:val="0"/>
                <w:sz w:val="18"/>
                <w:szCs w:val="18"/>
              </w:rPr>
              <w:t>Uniform (0.0127, 0.0380)</w:t>
            </w:r>
          </w:p>
        </w:tc>
        <w:tc>
          <w:tcPr>
            <w:tcW w:w="602" w:type="pct"/>
          </w:tcPr>
          <w:p w14:paraId="6E9119E2" w14:textId="77777777" w:rsidR="0097404C" w:rsidRDefault="0097404C">
            <w:pPr>
              <w:jc w:val="left"/>
              <w:rPr>
                <w:rFonts w:cs="Calibri"/>
                <w:kern w:val="0"/>
                <w:sz w:val="18"/>
                <w:szCs w:val="18"/>
              </w:rPr>
            </w:pPr>
          </w:p>
        </w:tc>
      </w:tr>
      <w:tr w:rsidR="0097404C" w14:paraId="4D4AF4E0" w14:textId="77777777">
        <w:trPr>
          <w:jc w:val="center"/>
        </w:trPr>
        <w:tc>
          <w:tcPr>
            <w:tcW w:w="1827" w:type="pct"/>
          </w:tcPr>
          <w:p w14:paraId="06F90323" w14:textId="77777777" w:rsidR="0097404C" w:rsidRDefault="001407CB">
            <w:pPr>
              <w:jc w:val="left"/>
              <w:rPr>
                <w:rFonts w:cs="Calibri"/>
                <w:kern w:val="0"/>
                <w:sz w:val="18"/>
                <w:szCs w:val="18"/>
              </w:rPr>
            </w:pPr>
            <w:r>
              <w:rPr>
                <w:rFonts w:cs="Calibri"/>
                <w:kern w:val="0"/>
                <w:sz w:val="18"/>
                <w:szCs w:val="18"/>
              </w:rPr>
              <w:t>stroke</w:t>
            </w:r>
          </w:p>
        </w:tc>
        <w:tc>
          <w:tcPr>
            <w:tcW w:w="645" w:type="pct"/>
          </w:tcPr>
          <w:p w14:paraId="19FA11F6" w14:textId="77777777" w:rsidR="0097404C" w:rsidRDefault="0097404C">
            <w:pPr>
              <w:rPr>
                <w:rFonts w:cs="Calibri"/>
                <w:kern w:val="0"/>
                <w:sz w:val="18"/>
                <w:szCs w:val="18"/>
              </w:rPr>
            </w:pPr>
          </w:p>
        </w:tc>
        <w:tc>
          <w:tcPr>
            <w:tcW w:w="618" w:type="pct"/>
          </w:tcPr>
          <w:p w14:paraId="298FBF58" w14:textId="77777777" w:rsidR="0097404C" w:rsidRDefault="0097404C">
            <w:pPr>
              <w:rPr>
                <w:rFonts w:cs="Calibri"/>
                <w:kern w:val="0"/>
                <w:sz w:val="18"/>
                <w:szCs w:val="18"/>
              </w:rPr>
            </w:pPr>
          </w:p>
        </w:tc>
        <w:tc>
          <w:tcPr>
            <w:tcW w:w="1308" w:type="pct"/>
          </w:tcPr>
          <w:p w14:paraId="0AAC568F" w14:textId="77777777" w:rsidR="0097404C" w:rsidRDefault="0097404C">
            <w:pPr>
              <w:rPr>
                <w:rFonts w:cs="Calibri"/>
                <w:kern w:val="0"/>
                <w:sz w:val="18"/>
                <w:szCs w:val="18"/>
              </w:rPr>
            </w:pPr>
          </w:p>
        </w:tc>
        <w:tc>
          <w:tcPr>
            <w:tcW w:w="602" w:type="pct"/>
          </w:tcPr>
          <w:p w14:paraId="10815949" w14:textId="77777777" w:rsidR="0097404C" w:rsidRDefault="0097404C">
            <w:pPr>
              <w:jc w:val="left"/>
              <w:rPr>
                <w:rFonts w:cs="Calibri"/>
                <w:kern w:val="0"/>
                <w:sz w:val="18"/>
                <w:szCs w:val="18"/>
              </w:rPr>
            </w:pPr>
          </w:p>
        </w:tc>
      </w:tr>
      <w:tr w:rsidR="0097404C" w14:paraId="2FC0AA8B" w14:textId="77777777">
        <w:trPr>
          <w:jc w:val="center"/>
        </w:trPr>
        <w:tc>
          <w:tcPr>
            <w:tcW w:w="1827" w:type="pct"/>
          </w:tcPr>
          <w:p w14:paraId="4FA1076C" w14:textId="77777777" w:rsidR="0097404C" w:rsidRDefault="001407CB">
            <w:pPr>
              <w:ind w:firstLineChars="100" w:firstLine="180"/>
              <w:jc w:val="left"/>
              <w:rPr>
                <w:rFonts w:cs="Calibri"/>
                <w:kern w:val="0"/>
                <w:sz w:val="18"/>
                <w:szCs w:val="18"/>
              </w:rPr>
            </w:pPr>
            <w:r>
              <w:rPr>
                <w:rFonts w:cs="Calibri"/>
                <w:kern w:val="0"/>
                <w:sz w:val="18"/>
                <w:szCs w:val="18"/>
              </w:rPr>
              <w:t>Progression to stroke-related death</w:t>
            </w:r>
          </w:p>
        </w:tc>
        <w:tc>
          <w:tcPr>
            <w:tcW w:w="645" w:type="pct"/>
          </w:tcPr>
          <w:p w14:paraId="6FA6901A" w14:textId="77777777" w:rsidR="0097404C" w:rsidRDefault="0097404C">
            <w:pPr>
              <w:rPr>
                <w:rFonts w:cs="Calibri"/>
                <w:kern w:val="0"/>
                <w:sz w:val="18"/>
                <w:szCs w:val="18"/>
              </w:rPr>
            </w:pPr>
          </w:p>
        </w:tc>
        <w:tc>
          <w:tcPr>
            <w:tcW w:w="618" w:type="pct"/>
          </w:tcPr>
          <w:p w14:paraId="63F3156D" w14:textId="77777777" w:rsidR="0097404C" w:rsidRDefault="0097404C">
            <w:pPr>
              <w:rPr>
                <w:rFonts w:cs="Calibri"/>
                <w:kern w:val="0"/>
                <w:sz w:val="18"/>
                <w:szCs w:val="18"/>
              </w:rPr>
            </w:pPr>
          </w:p>
        </w:tc>
        <w:tc>
          <w:tcPr>
            <w:tcW w:w="1308" w:type="pct"/>
          </w:tcPr>
          <w:p w14:paraId="7F89EAA8" w14:textId="77777777" w:rsidR="0097404C" w:rsidRDefault="0097404C">
            <w:pPr>
              <w:rPr>
                <w:rFonts w:cs="Calibri"/>
                <w:kern w:val="0"/>
                <w:sz w:val="18"/>
                <w:szCs w:val="18"/>
              </w:rPr>
            </w:pPr>
          </w:p>
        </w:tc>
        <w:tc>
          <w:tcPr>
            <w:tcW w:w="602" w:type="pct"/>
          </w:tcPr>
          <w:p w14:paraId="68FC3D18" w14:textId="724FEB9A" w:rsidR="0097404C" w:rsidRDefault="00865821" w:rsidP="006A6358">
            <w:pPr>
              <w:jc w:val="left"/>
              <w:rPr>
                <w:rFonts w:cs="Calibri"/>
                <w:kern w:val="0"/>
                <w:sz w:val="18"/>
                <w:szCs w:val="18"/>
              </w:rPr>
            </w:pPr>
            <w:r>
              <w:rPr>
                <w:rFonts w:cs="Calibri"/>
                <w:kern w:val="0"/>
                <w:sz w:val="18"/>
                <w:szCs w:val="18"/>
              </w:rPr>
              <w:fldChar w:fldCharType="begin"/>
            </w:r>
            <w:r w:rsidR="007D10D2">
              <w:rPr>
                <w:rFonts w:cs="Calibri"/>
                <w:kern w:val="0"/>
                <w:sz w:val="18"/>
                <w:szCs w:val="18"/>
              </w:rPr>
              <w:instrText xml:space="preserve"> ADDIN NE.Ref.{5CD98AA6-0E72-41B2-9967-628406210985}</w:instrText>
            </w:r>
            <w:r>
              <w:rPr>
                <w:rFonts w:cs="Calibri"/>
                <w:kern w:val="0"/>
                <w:sz w:val="18"/>
                <w:szCs w:val="18"/>
              </w:rPr>
              <w:fldChar w:fldCharType="separate"/>
            </w:r>
            <w:r w:rsidR="007D10D2">
              <w:rPr>
                <w:rFonts w:eastAsiaTheme="minorEastAsia" w:cs="Calibri"/>
                <w:color w:val="000000"/>
                <w:kern w:val="0"/>
                <w:sz w:val="18"/>
                <w:szCs w:val="18"/>
                <w:vertAlign w:val="superscript"/>
              </w:rPr>
              <w:t>6</w:t>
            </w:r>
            <w:r>
              <w:rPr>
                <w:rFonts w:cs="Calibri"/>
                <w:kern w:val="0"/>
                <w:sz w:val="18"/>
                <w:szCs w:val="18"/>
              </w:rPr>
              <w:fldChar w:fldCharType="end"/>
            </w:r>
          </w:p>
        </w:tc>
      </w:tr>
      <w:tr w:rsidR="0097404C" w14:paraId="4187881A" w14:textId="77777777">
        <w:trPr>
          <w:jc w:val="center"/>
        </w:trPr>
        <w:tc>
          <w:tcPr>
            <w:tcW w:w="1827" w:type="pct"/>
          </w:tcPr>
          <w:p w14:paraId="0D5B74C2" w14:textId="77777777" w:rsidR="0097404C" w:rsidRDefault="001407CB">
            <w:pPr>
              <w:ind w:firstLineChars="200" w:firstLine="360"/>
              <w:jc w:val="left"/>
              <w:rPr>
                <w:rFonts w:cs="Calibri"/>
                <w:kern w:val="0"/>
                <w:sz w:val="18"/>
                <w:szCs w:val="18"/>
              </w:rPr>
            </w:pPr>
            <w:r>
              <w:rPr>
                <w:rFonts w:cs="Calibri"/>
                <w:kern w:val="0"/>
                <w:sz w:val="18"/>
                <w:szCs w:val="18"/>
              </w:rPr>
              <w:t>40-44 y</w:t>
            </w:r>
          </w:p>
        </w:tc>
        <w:tc>
          <w:tcPr>
            <w:tcW w:w="645" w:type="pct"/>
            <w:vAlign w:val="center"/>
          </w:tcPr>
          <w:p w14:paraId="089AFD4A" w14:textId="77777777" w:rsidR="0097404C" w:rsidRDefault="001407CB">
            <w:pPr>
              <w:rPr>
                <w:rFonts w:cs="Calibri"/>
                <w:kern w:val="0"/>
                <w:sz w:val="18"/>
                <w:szCs w:val="18"/>
              </w:rPr>
            </w:pPr>
            <w:r>
              <w:rPr>
                <w:rFonts w:cs="Calibri"/>
                <w:color w:val="000000"/>
                <w:kern w:val="0"/>
                <w:sz w:val="18"/>
                <w:szCs w:val="18"/>
              </w:rPr>
              <w:t xml:space="preserve">0.0002 </w:t>
            </w:r>
          </w:p>
        </w:tc>
        <w:tc>
          <w:tcPr>
            <w:tcW w:w="618" w:type="pct"/>
          </w:tcPr>
          <w:p w14:paraId="3CF3A5F2" w14:textId="77777777" w:rsidR="0097404C" w:rsidRDefault="0097404C">
            <w:pPr>
              <w:rPr>
                <w:rFonts w:cs="Calibri"/>
                <w:kern w:val="0"/>
                <w:sz w:val="18"/>
                <w:szCs w:val="18"/>
              </w:rPr>
            </w:pPr>
          </w:p>
        </w:tc>
        <w:tc>
          <w:tcPr>
            <w:tcW w:w="1308" w:type="pct"/>
          </w:tcPr>
          <w:p w14:paraId="6A32193E" w14:textId="77777777" w:rsidR="0097404C" w:rsidRDefault="0097404C">
            <w:pPr>
              <w:rPr>
                <w:rFonts w:cs="Calibri"/>
                <w:kern w:val="0"/>
                <w:sz w:val="18"/>
                <w:szCs w:val="18"/>
              </w:rPr>
            </w:pPr>
          </w:p>
        </w:tc>
        <w:tc>
          <w:tcPr>
            <w:tcW w:w="602" w:type="pct"/>
          </w:tcPr>
          <w:p w14:paraId="1EFF41AF" w14:textId="77777777" w:rsidR="0097404C" w:rsidRDefault="0097404C">
            <w:pPr>
              <w:jc w:val="left"/>
              <w:rPr>
                <w:rFonts w:cs="Calibri"/>
                <w:kern w:val="0"/>
                <w:sz w:val="18"/>
                <w:szCs w:val="18"/>
              </w:rPr>
            </w:pPr>
          </w:p>
        </w:tc>
      </w:tr>
      <w:tr w:rsidR="0097404C" w14:paraId="46DF8F80" w14:textId="77777777">
        <w:trPr>
          <w:jc w:val="center"/>
        </w:trPr>
        <w:tc>
          <w:tcPr>
            <w:tcW w:w="1827" w:type="pct"/>
          </w:tcPr>
          <w:p w14:paraId="077D29C3" w14:textId="77777777" w:rsidR="0097404C" w:rsidRDefault="001407CB">
            <w:pPr>
              <w:ind w:firstLineChars="200" w:firstLine="360"/>
              <w:jc w:val="left"/>
              <w:rPr>
                <w:rFonts w:cs="Calibri"/>
                <w:kern w:val="0"/>
                <w:sz w:val="18"/>
                <w:szCs w:val="18"/>
              </w:rPr>
            </w:pPr>
            <w:r>
              <w:rPr>
                <w:rFonts w:cs="Calibri"/>
                <w:kern w:val="0"/>
                <w:sz w:val="18"/>
                <w:szCs w:val="18"/>
              </w:rPr>
              <w:t>45-49 y</w:t>
            </w:r>
          </w:p>
        </w:tc>
        <w:tc>
          <w:tcPr>
            <w:tcW w:w="645" w:type="pct"/>
            <w:vAlign w:val="center"/>
          </w:tcPr>
          <w:p w14:paraId="67B7C8EC" w14:textId="77777777" w:rsidR="0097404C" w:rsidRDefault="001407CB">
            <w:pPr>
              <w:rPr>
                <w:rFonts w:cs="Calibri"/>
                <w:kern w:val="0"/>
                <w:sz w:val="18"/>
                <w:szCs w:val="18"/>
              </w:rPr>
            </w:pPr>
            <w:r>
              <w:rPr>
                <w:rFonts w:cs="Calibri"/>
                <w:color w:val="000000"/>
                <w:kern w:val="0"/>
                <w:sz w:val="18"/>
                <w:szCs w:val="18"/>
              </w:rPr>
              <w:t xml:space="preserve">0.0003 </w:t>
            </w:r>
          </w:p>
        </w:tc>
        <w:tc>
          <w:tcPr>
            <w:tcW w:w="618" w:type="pct"/>
          </w:tcPr>
          <w:p w14:paraId="10A3F096" w14:textId="77777777" w:rsidR="0097404C" w:rsidRDefault="0097404C">
            <w:pPr>
              <w:rPr>
                <w:rFonts w:cs="Calibri"/>
                <w:kern w:val="0"/>
                <w:sz w:val="18"/>
                <w:szCs w:val="18"/>
              </w:rPr>
            </w:pPr>
          </w:p>
        </w:tc>
        <w:tc>
          <w:tcPr>
            <w:tcW w:w="1308" w:type="pct"/>
          </w:tcPr>
          <w:p w14:paraId="7C515EB7" w14:textId="77777777" w:rsidR="0097404C" w:rsidRDefault="0097404C">
            <w:pPr>
              <w:rPr>
                <w:rFonts w:cs="Calibri"/>
                <w:kern w:val="0"/>
                <w:sz w:val="18"/>
                <w:szCs w:val="18"/>
              </w:rPr>
            </w:pPr>
          </w:p>
        </w:tc>
        <w:tc>
          <w:tcPr>
            <w:tcW w:w="602" w:type="pct"/>
          </w:tcPr>
          <w:p w14:paraId="58AB8379" w14:textId="77777777" w:rsidR="0097404C" w:rsidRDefault="0097404C">
            <w:pPr>
              <w:jc w:val="left"/>
              <w:rPr>
                <w:rFonts w:cs="Calibri"/>
                <w:kern w:val="0"/>
                <w:sz w:val="18"/>
                <w:szCs w:val="18"/>
              </w:rPr>
            </w:pPr>
          </w:p>
        </w:tc>
      </w:tr>
      <w:tr w:rsidR="0097404C" w14:paraId="6B59175E" w14:textId="77777777">
        <w:trPr>
          <w:jc w:val="center"/>
        </w:trPr>
        <w:tc>
          <w:tcPr>
            <w:tcW w:w="1827" w:type="pct"/>
          </w:tcPr>
          <w:p w14:paraId="0990F37A" w14:textId="77777777" w:rsidR="0097404C" w:rsidRDefault="001407CB">
            <w:pPr>
              <w:ind w:firstLineChars="200" w:firstLine="360"/>
              <w:jc w:val="left"/>
              <w:rPr>
                <w:rFonts w:cs="Calibri"/>
                <w:kern w:val="0"/>
                <w:sz w:val="18"/>
                <w:szCs w:val="18"/>
              </w:rPr>
            </w:pPr>
            <w:r>
              <w:rPr>
                <w:rFonts w:cs="Calibri"/>
                <w:kern w:val="0"/>
                <w:sz w:val="18"/>
                <w:szCs w:val="18"/>
              </w:rPr>
              <w:t>50-54 y</w:t>
            </w:r>
          </w:p>
        </w:tc>
        <w:tc>
          <w:tcPr>
            <w:tcW w:w="645" w:type="pct"/>
            <w:vAlign w:val="center"/>
          </w:tcPr>
          <w:p w14:paraId="18D937DC" w14:textId="77777777" w:rsidR="0097404C" w:rsidRDefault="001407CB">
            <w:pPr>
              <w:rPr>
                <w:rFonts w:cs="Calibri"/>
                <w:kern w:val="0"/>
                <w:sz w:val="18"/>
                <w:szCs w:val="18"/>
              </w:rPr>
            </w:pPr>
            <w:r>
              <w:rPr>
                <w:rFonts w:cs="Calibri"/>
                <w:color w:val="000000"/>
                <w:kern w:val="0"/>
                <w:sz w:val="18"/>
                <w:szCs w:val="18"/>
              </w:rPr>
              <w:t xml:space="preserve">0.0006 </w:t>
            </w:r>
          </w:p>
        </w:tc>
        <w:tc>
          <w:tcPr>
            <w:tcW w:w="618" w:type="pct"/>
          </w:tcPr>
          <w:p w14:paraId="6040B0A9" w14:textId="77777777" w:rsidR="0097404C" w:rsidRDefault="0097404C">
            <w:pPr>
              <w:rPr>
                <w:rFonts w:cs="Calibri"/>
                <w:kern w:val="0"/>
                <w:sz w:val="18"/>
                <w:szCs w:val="18"/>
              </w:rPr>
            </w:pPr>
          </w:p>
        </w:tc>
        <w:tc>
          <w:tcPr>
            <w:tcW w:w="1308" w:type="pct"/>
          </w:tcPr>
          <w:p w14:paraId="2CC63703" w14:textId="77777777" w:rsidR="0097404C" w:rsidRDefault="0097404C">
            <w:pPr>
              <w:rPr>
                <w:rFonts w:cs="Calibri"/>
                <w:kern w:val="0"/>
                <w:sz w:val="18"/>
                <w:szCs w:val="18"/>
              </w:rPr>
            </w:pPr>
          </w:p>
        </w:tc>
        <w:tc>
          <w:tcPr>
            <w:tcW w:w="602" w:type="pct"/>
          </w:tcPr>
          <w:p w14:paraId="4B392BFB" w14:textId="77777777" w:rsidR="0097404C" w:rsidRDefault="0097404C">
            <w:pPr>
              <w:jc w:val="left"/>
              <w:rPr>
                <w:rFonts w:cs="Calibri"/>
                <w:kern w:val="0"/>
                <w:sz w:val="18"/>
                <w:szCs w:val="18"/>
              </w:rPr>
            </w:pPr>
          </w:p>
        </w:tc>
      </w:tr>
      <w:tr w:rsidR="0097404C" w14:paraId="69FE919C" w14:textId="77777777">
        <w:trPr>
          <w:jc w:val="center"/>
        </w:trPr>
        <w:tc>
          <w:tcPr>
            <w:tcW w:w="1827" w:type="pct"/>
          </w:tcPr>
          <w:p w14:paraId="53E27386" w14:textId="77777777" w:rsidR="0097404C" w:rsidRDefault="001407CB">
            <w:pPr>
              <w:ind w:firstLineChars="200" w:firstLine="360"/>
              <w:jc w:val="left"/>
              <w:rPr>
                <w:rFonts w:cs="Calibri"/>
                <w:kern w:val="0"/>
                <w:sz w:val="18"/>
                <w:szCs w:val="18"/>
              </w:rPr>
            </w:pPr>
            <w:r>
              <w:rPr>
                <w:rFonts w:cs="Calibri"/>
                <w:kern w:val="0"/>
                <w:sz w:val="18"/>
                <w:szCs w:val="18"/>
              </w:rPr>
              <w:t>55-59 y</w:t>
            </w:r>
          </w:p>
        </w:tc>
        <w:tc>
          <w:tcPr>
            <w:tcW w:w="645" w:type="pct"/>
            <w:vAlign w:val="center"/>
          </w:tcPr>
          <w:p w14:paraId="3176B79E" w14:textId="77777777" w:rsidR="0097404C" w:rsidRDefault="001407CB">
            <w:pPr>
              <w:rPr>
                <w:rFonts w:cs="Calibri"/>
                <w:kern w:val="0"/>
                <w:sz w:val="18"/>
                <w:szCs w:val="18"/>
              </w:rPr>
            </w:pPr>
            <w:r>
              <w:rPr>
                <w:rFonts w:cs="Calibri"/>
                <w:color w:val="000000"/>
                <w:kern w:val="0"/>
                <w:sz w:val="18"/>
                <w:szCs w:val="18"/>
              </w:rPr>
              <w:t xml:space="preserve">0.0010 </w:t>
            </w:r>
          </w:p>
        </w:tc>
        <w:tc>
          <w:tcPr>
            <w:tcW w:w="618" w:type="pct"/>
          </w:tcPr>
          <w:p w14:paraId="326EFD5E" w14:textId="77777777" w:rsidR="0097404C" w:rsidRDefault="0097404C">
            <w:pPr>
              <w:rPr>
                <w:rFonts w:cs="Calibri"/>
                <w:kern w:val="0"/>
                <w:sz w:val="18"/>
                <w:szCs w:val="18"/>
              </w:rPr>
            </w:pPr>
          </w:p>
        </w:tc>
        <w:tc>
          <w:tcPr>
            <w:tcW w:w="1308" w:type="pct"/>
          </w:tcPr>
          <w:p w14:paraId="66FAD83C" w14:textId="77777777" w:rsidR="0097404C" w:rsidRDefault="0097404C">
            <w:pPr>
              <w:rPr>
                <w:rFonts w:cs="Calibri"/>
                <w:kern w:val="0"/>
                <w:sz w:val="18"/>
                <w:szCs w:val="18"/>
              </w:rPr>
            </w:pPr>
          </w:p>
        </w:tc>
        <w:tc>
          <w:tcPr>
            <w:tcW w:w="602" w:type="pct"/>
          </w:tcPr>
          <w:p w14:paraId="404674E0" w14:textId="77777777" w:rsidR="0097404C" w:rsidRDefault="0097404C">
            <w:pPr>
              <w:jc w:val="left"/>
              <w:rPr>
                <w:rFonts w:cs="Calibri"/>
                <w:kern w:val="0"/>
                <w:sz w:val="18"/>
                <w:szCs w:val="18"/>
              </w:rPr>
            </w:pPr>
          </w:p>
        </w:tc>
      </w:tr>
      <w:tr w:rsidR="0097404C" w14:paraId="7836B98E" w14:textId="77777777">
        <w:trPr>
          <w:jc w:val="center"/>
        </w:trPr>
        <w:tc>
          <w:tcPr>
            <w:tcW w:w="1827" w:type="pct"/>
          </w:tcPr>
          <w:p w14:paraId="6624FE83" w14:textId="77777777" w:rsidR="0097404C" w:rsidRDefault="001407CB">
            <w:pPr>
              <w:ind w:firstLineChars="200" w:firstLine="360"/>
              <w:jc w:val="left"/>
              <w:rPr>
                <w:rFonts w:cs="Calibri"/>
                <w:kern w:val="0"/>
                <w:sz w:val="18"/>
                <w:szCs w:val="18"/>
              </w:rPr>
            </w:pPr>
            <w:r>
              <w:rPr>
                <w:rFonts w:cs="Calibri"/>
                <w:kern w:val="0"/>
                <w:sz w:val="18"/>
                <w:szCs w:val="18"/>
              </w:rPr>
              <w:t>60-64 y</w:t>
            </w:r>
          </w:p>
        </w:tc>
        <w:tc>
          <w:tcPr>
            <w:tcW w:w="645" w:type="pct"/>
            <w:vAlign w:val="center"/>
          </w:tcPr>
          <w:p w14:paraId="3444D68F" w14:textId="77777777" w:rsidR="0097404C" w:rsidRDefault="001407CB">
            <w:pPr>
              <w:rPr>
                <w:rFonts w:cs="Calibri"/>
                <w:kern w:val="0"/>
                <w:sz w:val="18"/>
                <w:szCs w:val="18"/>
              </w:rPr>
            </w:pPr>
            <w:r>
              <w:rPr>
                <w:rFonts w:cs="Calibri"/>
                <w:color w:val="000000"/>
                <w:kern w:val="0"/>
                <w:sz w:val="18"/>
                <w:szCs w:val="18"/>
              </w:rPr>
              <w:t xml:space="preserve">0.0019 </w:t>
            </w:r>
          </w:p>
        </w:tc>
        <w:tc>
          <w:tcPr>
            <w:tcW w:w="618" w:type="pct"/>
          </w:tcPr>
          <w:p w14:paraId="4FE8062A" w14:textId="77777777" w:rsidR="0097404C" w:rsidRDefault="0097404C">
            <w:pPr>
              <w:rPr>
                <w:rFonts w:cs="Calibri"/>
                <w:kern w:val="0"/>
                <w:sz w:val="18"/>
                <w:szCs w:val="18"/>
              </w:rPr>
            </w:pPr>
          </w:p>
        </w:tc>
        <w:tc>
          <w:tcPr>
            <w:tcW w:w="1308" w:type="pct"/>
          </w:tcPr>
          <w:p w14:paraId="13414769" w14:textId="77777777" w:rsidR="0097404C" w:rsidRDefault="0097404C">
            <w:pPr>
              <w:rPr>
                <w:rFonts w:cs="Calibri"/>
                <w:kern w:val="0"/>
                <w:sz w:val="18"/>
                <w:szCs w:val="18"/>
              </w:rPr>
            </w:pPr>
          </w:p>
        </w:tc>
        <w:tc>
          <w:tcPr>
            <w:tcW w:w="602" w:type="pct"/>
          </w:tcPr>
          <w:p w14:paraId="4A5D4BEE" w14:textId="77777777" w:rsidR="0097404C" w:rsidRDefault="0097404C">
            <w:pPr>
              <w:jc w:val="left"/>
              <w:rPr>
                <w:rFonts w:cs="Calibri"/>
                <w:kern w:val="0"/>
                <w:sz w:val="18"/>
                <w:szCs w:val="18"/>
              </w:rPr>
            </w:pPr>
          </w:p>
        </w:tc>
      </w:tr>
      <w:tr w:rsidR="0097404C" w14:paraId="3A5216B0" w14:textId="77777777">
        <w:trPr>
          <w:jc w:val="center"/>
        </w:trPr>
        <w:tc>
          <w:tcPr>
            <w:tcW w:w="1827" w:type="pct"/>
          </w:tcPr>
          <w:p w14:paraId="66798374" w14:textId="77777777" w:rsidR="0097404C" w:rsidRDefault="001407CB">
            <w:pPr>
              <w:ind w:firstLineChars="200" w:firstLine="360"/>
              <w:jc w:val="left"/>
              <w:rPr>
                <w:rFonts w:cs="Calibri"/>
                <w:kern w:val="0"/>
                <w:sz w:val="18"/>
                <w:szCs w:val="18"/>
              </w:rPr>
            </w:pPr>
            <w:r>
              <w:rPr>
                <w:rFonts w:cs="Calibri"/>
                <w:kern w:val="0"/>
                <w:sz w:val="18"/>
                <w:szCs w:val="18"/>
              </w:rPr>
              <w:t>65-69 y</w:t>
            </w:r>
          </w:p>
        </w:tc>
        <w:tc>
          <w:tcPr>
            <w:tcW w:w="645" w:type="pct"/>
            <w:vAlign w:val="center"/>
          </w:tcPr>
          <w:p w14:paraId="5EB4F78B" w14:textId="77777777" w:rsidR="0097404C" w:rsidRDefault="001407CB">
            <w:pPr>
              <w:rPr>
                <w:rFonts w:cs="Calibri"/>
                <w:kern w:val="0"/>
                <w:sz w:val="18"/>
                <w:szCs w:val="18"/>
              </w:rPr>
            </w:pPr>
            <w:r>
              <w:rPr>
                <w:rFonts w:cs="Calibri"/>
                <w:color w:val="000000"/>
                <w:kern w:val="0"/>
                <w:sz w:val="18"/>
                <w:szCs w:val="18"/>
              </w:rPr>
              <w:t xml:space="preserve">0.0034 </w:t>
            </w:r>
          </w:p>
        </w:tc>
        <w:tc>
          <w:tcPr>
            <w:tcW w:w="618" w:type="pct"/>
          </w:tcPr>
          <w:p w14:paraId="5F8979BE" w14:textId="77777777" w:rsidR="0097404C" w:rsidRDefault="0097404C">
            <w:pPr>
              <w:rPr>
                <w:rFonts w:cs="Calibri"/>
                <w:kern w:val="0"/>
                <w:sz w:val="18"/>
                <w:szCs w:val="18"/>
              </w:rPr>
            </w:pPr>
          </w:p>
        </w:tc>
        <w:tc>
          <w:tcPr>
            <w:tcW w:w="1308" w:type="pct"/>
          </w:tcPr>
          <w:p w14:paraId="38105D98" w14:textId="77777777" w:rsidR="0097404C" w:rsidRDefault="0097404C">
            <w:pPr>
              <w:rPr>
                <w:rFonts w:cs="Calibri"/>
                <w:kern w:val="0"/>
                <w:sz w:val="18"/>
                <w:szCs w:val="18"/>
              </w:rPr>
            </w:pPr>
          </w:p>
        </w:tc>
        <w:tc>
          <w:tcPr>
            <w:tcW w:w="602" w:type="pct"/>
          </w:tcPr>
          <w:p w14:paraId="66E35573" w14:textId="77777777" w:rsidR="0097404C" w:rsidRDefault="0097404C">
            <w:pPr>
              <w:jc w:val="left"/>
              <w:rPr>
                <w:rFonts w:cs="Calibri"/>
                <w:kern w:val="0"/>
                <w:sz w:val="18"/>
                <w:szCs w:val="18"/>
              </w:rPr>
            </w:pPr>
          </w:p>
        </w:tc>
      </w:tr>
      <w:tr w:rsidR="0097404C" w14:paraId="48480FFC" w14:textId="77777777">
        <w:trPr>
          <w:jc w:val="center"/>
        </w:trPr>
        <w:tc>
          <w:tcPr>
            <w:tcW w:w="1827" w:type="pct"/>
          </w:tcPr>
          <w:p w14:paraId="7A3D25B7" w14:textId="77777777" w:rsidR="0097404C" w:rsidRDefault="001407CB">
            <w:pPr>
              <w:ind w:firstLineChars="200" w:firstLine="360"/>
              <w:jc w:val="left"/>
              <w:rPr>
                <w:rFonts w:cs="Calibri"/>
                <w:kern w:val="0"/>
                <w:sz w:val="18"/>
                <w:szCs w:val="18"/>
              </w:rPr>
            </w:pPr>
            <w:r>
              <w:rPr>
                <w:rFonts w:cs="Calibri"/>
                <w:kern w:val="0"/>
                <w:sz w:val="18"/>
                <w:szCs w:val="18"/>
              </w:rPr>
              <w:t>70-74 y</w:t>
            </w:r>
          </w:p>
        </w:tc>
        <w:tc>
          <w:tcPr>
            <w:tcW w:w="645" w:type="pct"/>
            <w:vAlign w:val="center"/>
          </w:tcPr>
          <w:p w14:paraId="16DCDE23" w14:textId="77777777" w:rsidR="0097404C" w:rsidRDefault="001407CB">
            <w:pPr>
              <w:rPr>
                <w:rFonts w:cs="Calibri"/>
                <w:kern w:val="0"/>
                <w:sz w:val="18"/>
                <w:szCs w:val="18"/>
              </w:rPr>
            </w:pPr>
            <w:r>
              <w:rPr>
                <w:rFonts w:cs="Calibri"/>
                <w:color w:val="000000"/>
                <w:kern w:val="0"/>
                <w:sz w:val="18"/>
                <w:szCs w:val="18"/>
              </w:rPr>
              <w:t xml:space="preserve">0.0068 </w:t>
            </w:r>
          </w:p>
        </w:tc>
        <w:tc>
          <w:tcPr>
            <w:tcW w:w="618" w:type="pct"/>
          </w:tcPr>
          <w:p w14:paraId="3242938C" w14:textId="77777777" w:rsidR="0097404C" w:rsidRDefault="0097404C">
            <w:pPr>
              <w:rPr>
                <w:rFonts w:cs="Calibri"/>
                <w:kern w:val="0"/>
                <w:sz w:val="18"/>
                <w:szCs w:val="18"/>
              </w:rPr>
            </w:pPr>
          </w:p>
        </w:tc>
        <w:tc>
          <w:tcPr>
            <w:tcW w:w="1308" w:type="pct"/>
          </w:tcPr>
          <w:p w14:paraId="3F23297E" w14:textId="77777777" w:rsidR="0097404C" w:rsidRDefault="0097404C">
            <w:pPr>
              <w:rPr>
                <w:rFonts w:cs="Calibri"/>
                <w:kern w:val="0"/>
                <w:sz w:val="18"/>
                <w:szCs w:val="18"/>
              </w:rPr>
            </w:pPr>
          </w:p>
        </w:tc>
        <w:tc>
          <w:tcPr>
            <w:tcW w:w="602" w:type="pct"/>
          </w:tcPr>
          <w:p w14:paraId="42FB9320" w14:textId="77777777" w:rsidR="0097404C" w:rsidRDefault="0097404C">
            <w:pPr>
              <w:jc w:val="left"/>
              <w:rPr>
                <w:rFonts w:cs="Calibri"/>
                <w:kern w:val="0"/>
                <w:sz w:val="18"/>
                <w:szCs w:val="18"/>
              </w:rPr>
            </w:pPr>
          </w:p>
        </w:tc>
      </w:tr>
      <w:tr w:rsidR="0097404C" w14:paraId="2BA4F6DE" w14:textId="77777777">
        <w:trPr>
          <w:jc w:val="center"/>
        </w:trPr>
        <w:tc>
          <w:tcPr>
            <w:tcW w:w="1827" w:type="pct"/>
          </w:tcPr>
          <w:p w14:paraId="0F9A1CD4" w14:textId="77777777" w:rsidR="0097404C" w:rsidRDefault="001407CB">
            <w:pPr>
              <w:ind w:firstLineChars="200" w:firstLine="360"/>
              <w:jc w:val="left"/>
              <w:rPr>
                <w:rFonts w:cs="Calibri"/>
                <w:kern w:val="0"/>
                <w:sz w:val="18"/>
                <w:szCs w:val="18"/>
              </w:rPr>
            </w:pPr>
            <w:r>
              <w:rPr>
                <w:rFonts w:cs="Calibri"/>
                <w:kern w:val="0"/>
                <w:sz w:val="18"/>
                <w:szCs w:val="18"/>
              </w:rPr>
              <w:t>75-79 y</w:t>
            </w:r>
          </w:p>
        </w:tc>
        <w:tc>
          <w:tcPr>
            <w:tcW w:w="645" w:type="pct"/>
            <w:vAlign w:val="center"/>
          </w:tcPr>
          <w:p w14:paraId="2650A22C" w14:textId="77777777" w:rsidR="0097404C" w:rsidRDefault="001407CB">
            <w:pPr>
              <w:rPr>
                <w:rFonts w:cs="Calibri"/>
                <w:color w:val="000000"/>
                <w:kern w:val="0"/>
                <w:sz w:val="18"/>
                <w:szCs w:val="18"/>
              </w:rPr>
            </w:pPr>
            <w:r>
              <w:rPr>
                <w:rFonts w:cs="Calibri"/>
                <w:color w:val="000000"/>
                <w:kern w:val="0"/>
                <w:sz w:val="18"/>
                <w:szCs w:val="18"/>
              </w:rPr>
              <w:t xml:space="preserve">0.0121 </w:t>
            </w:r>
          </w:p>
        </w:tc>
        <w:tc>
          <w:tcPr>
            <w:tcW w:w="618" w:type="pct"/>
          </w:tcPr>
          <w:p w14:paraId="7E6A2B73" w14:textId="77777777" w:rsidR="0097404C" w:rsidRDefault="0097404C">
            <w:pPr>
              <w:rPr>
                <w:rFonts w:cs="Calibri"/>
                <w:kern w:val="0"/>
                <w:sz w:val="18"/>
                <w:szCs w:val="18"/>
              </w:rPr>
            </w:pPr>
          </w:p>
        </w:tc>
        <w:tc>
          <w:tcPr>
            <w:tcW w:w="1308" w:type="pct"/>
          </w:tcPr>
          <w:p w14:paraId="4A11E731" w14:textId="77777777" w:rsidR="0097404C" w:rsidRDefault="0097404C">
            <w:pPr>
              <w:rPr>
                <w:rFonts w:cs="Calibri"/>
                <w:kern w:val="0"/>
                <w:sz w:val="18"/>
                <w:szCs w:val="18"/>
              </w:rPr>
            </w:pPr>
          </w:p>
        </w:tc>
        <w:tc>
          <w:tcPr>
            <w:tcW w:w="602" w:type="pct"/>
          </w:tcPr>
          <w:p w14:paraId="2BDF2BED" w14:textId="77777777" w:rsidR="0097404C" w:rsidRDefault="0097404C">
            <w:pPr>
              <w:jc w:val="left"/>
              <w:rPr>
                <w:rFonts w:cs="Calibri"/>
                <w:kern w:val="0"/>
                <w:sz w:val="18"/>
                <w:szCs w:val="18"/>
              </w:rPr>
            </w:pPr>
          </w:p>
        </w:tc>
      </w:tr>
      <w:tr w:rsidR="0097404C" w14:paraId="21D85911" w14:textId="77777777">
        <w:trPr>
          <w:jc w:val="center"/>
        </w:trPr>
        <w:tc>
          <w:tcPr>
            <w:tcW w:w="1827" w:type="pct"/>
          </w:tcPr>
          <w:p w14:paraId="729F7F55" w14:textId="77777777" w:rsidR="0097404C" w:rsidRDefault="001407CB">
            <w:pPr>
              <w:ind w:firstLineChars="200" w:firstLine="360"/>
              <w:jc w:val="left"/>
              <w:rPr>
                <w:rFonts w:cs="Calibri"/>
                <w:kern w:val="0"/>
                <w:sz w:val="18"/>
                <w:szCs w:val="18"/>
              </w:rPr>
            </w:pPr>
            <w:r>
              <w:rPr>
                <w:rFonts w:cs="Calibri"/>
                <w:kern w:val="0"/>
                <w:sz w:val="18"/>
                <w:szCs w:val="18"/>
              </w:rPr>
              <w:t>80-84 y</w:t>
            </w:r>
          </w:p>
        </w:tc>
        <w:tc>
          <w:tcPr>
            <w:tcW w:w="645" w:type="pct"/>
            <w:vAlign w:val="center"/>
          </w:tcPr>
          <w:p w14:paraId="6BE4D42A" w14:textId="77777777" w:rsidR="0097404C" w:rsidRDefault="001407CB">
            <w:pPr>
              <w:rPr>
                <w:rFonts w:cs="Calibri"/>
                <w:color w:val="000000"/>
                <w:kern w:val="0"/>
                <w:sz w:val="18"/>
                <w:szCs w:val="18"/>
              </w:rPr>
            </w:pPr>
            <w:r>
              <w:rPr>
                <w:rFonts w:cs="Calibri"/>
                <w:color w:val="000000"/>
                <w:kern w:val="0"/>
                <w:sz w:val="18"/>
                <w:szCs w:val="18"/>
              </w:rPr>
              <w:t xml:space="preserve">0.0217 </w:t>
            </w:r>
          </w:p>
        </w:tc>
        <w:tc>
          <w:tcPr>
            <w:tcW w:w="618" w:type="pct"/>
          </w:tcPr>
          <w:p w14:paraId="44AC4BDD" w14:textId="77777777" w:rsidR="0097404C" w:rsidRDefault="0097404C">
            <w:pPr>
              <w:rPr>
                <w:rFonts w:cs="Calibri"/>
                <w:kern w:val="0"/>
                <w:sz w:val="18"/>
                <w:szCs w:val="18"/>
              </w:rPr>
            </w:pPr>
          </w:p>
        </w:tc>
        <w:tc>
          <w:tcPr>
            <w:tcW w:w="1308" w:type="pct"/>
          </w:tcPr>
          <w:p w14:paraId="20E739D3" w14:textId="77777777" w:rsidR="0097404C" w:rsidRDefault="0097404C">
            <w:pPr>
              <w:rPr>
                <w:rFonts w:cs="Calibri"/>
                <w:kern w:val="0"/>
                <w:sz w:val="18"/>
                <w:szCs w:val="18"/>
              </w:rPr>
            </w:pPr>
          </w:p>
        </w:tc>
        <w:tc>
          <w:tcPr>
            <w:tcW w:w="602" w:type="pct"/>
          </w:tcPr>
          <w:p w14:paraId="61A213A4" w14:textId="77777777" w:rsidR="0097404C" w:rsidRDefault="0097404C">
            <w:pPr>
              <w:jc w:val="left"/>
              <w:rPr>
                <w:rFonts w:cs="Calibri"/>
                <w:kern w:val="0"/>
                <w:sz w:val="18"/>
                <w:szCs w:val="18"/>
              </w:rPr>
            </w:pPr>
          </w:p>
        </w:tc>
      </w:tr>
      <w:tr w:rsidR="0097404C" w14:paraId="2D27C046" w14:textId="77777777">
        <w:trPr>
          <w:jc w:val="center"/>
        </w:trPr>
        <w:tc>
          <w:tcPr>
            <w:tcW w:w="1827" w:type="pct"/>
          </w:tcPr>
          <w:p w14:paraId="03DD9687" w14:textId="77777777" w:rsidR="0097404C" w:rsidRDefault="001407CB">
            <w:pPr>
              <w:ind w:firstLineChars="200" w:firstLine="360"/>
              <w:jc w:val="left"/>
              <w:rPr>
                <w:rFonts w:cs="Calibri"/>
                <w:kern w:val="0"/>
                <w:sz w:val="18"/>
                <w:szCs w:val="18"/>
              </w:rPr>
            </w:pPr>
            <w:r>
              <w:rPr>
                <w:rFonts w:cs="Calibri"/>
                <w:kern w:val="0"/>
                <w:sz w:val="18"/>
                <w:szCs w:val="18"/>
              </w:rPr>
              <w:t>85-89 y</w:t>
            </w:r>
          </w:p>
        </w:tc>
        <w:tc>
          <w:tcPr>
            <w:tcW w:w="645" w:type="pct"/>
            <w:vAlign w:val="center"/>
          </w:tcPr>
          <w:p w14:paraId="66E4791B" w14:textId="77777777" w:rsidR="0097404C" w:rsidRDefault="001407CB">
            <w:pPr>
              <w:rPr>
                <w:rFonts w:cs="Calibri"/>
                <w:color w:val="000000"/>
                <w:kern w:val="0"/>
                <w:sz w:val="18"/>
                <w:szCs w:val="18"/>
              </w:rPr>
            </w:pPr>
            <w:r>
              <w:rPr>
                <w:rFonts w:cs="Calibri"/>
                <w:color w:val="000000"/>
                <w:kern w:val="0"/>
                <w:sz w:val="18"/>
                <w:szCs w:val="18"/>
              </w:rPr>
              <w:t xml:space="preserve">0.0359 </w:t>
            </w:r>
          </w:p>
        </w:tc>
        <w:tc>
          <w:tcPr>
            <w:tcW w:w="618" w:type="pct"/>
          </w:tcPr>
          <w:p w14:paraId="6606E642" w14:textId="77777777" w:rsidR="0097404C" w:rsidRDefault="0097404C">
            <w:pPr>
              <w:rPr>
                <w:rFonts w:cs="Calibri"/>
                <w:kern w:val="0"/>
                <w:sz w:val="18"/>
                <w:szCs w:val="18"/>
              </w:rPr>
            </w:pPr>
          </w:p>
        </w:tc>
        <w:tc>
          <w:tcPr>
            <w:tcW w:w="1308" w:type="pct"/>
          </w:tcPr>
          <w:p w14:paraId="31BC6FEF" w14:textId="77777777" w:rsidR="0097404C" w:rsidRDefault="0097404C">
            <w:pPr>
              <w:rPr>
                <w:rFonts w:cs="Calibri"/>
                <w:kern w:val="0"/>
                <w:sz w:val="18"/>
                <w:szCs w:val="18"/>
              </w:rPr>
            </w:pPr>
          </w:p>
        </w:tc>
        <w:tc>
          <w:tcPr>
            <w:tcW w:w="602" w:type="pct"/>
          </w:tcPr>
          <w:p w14:paraId="251EE444" w14:textId="77777777" w:rsidR="0097404C" w:rsidRDefault="0097404C">
            <w:pPr>
              <w:jc w:val="left"/>
              <w:rPr>
                <w:rFonts w:cs="Calibri"/>
                <w:kern w:val="0"/>
                <w:sz w:val="18"/>
                <w:szCs w:val="18"/>
              </w:rPr>
            </w:pPr>
          </w:p>
        </w:tc>
      </w:tr>
      <w:tr w:rsidR="0097404C" w14:paraId="1F00756C" w14:textId="77777777">
        <w:trPr>
          <w:jc w:val="center"/>
        </w:trPr>
        <w:tc>
          <w:tcPr>
            <w:tcW w:w="1827" w:type="pct"/>
          </w:tcPr>
          <w:p w14:paraId="6908006A" w14:textId="77777777" w:rsidR="0097404C" w:rsidRDefault="001407CB">
            <w:pPr>
              <w:ind w:firstLineChars="100" w:firstLine="180"/>
              <w:jc w:val="left"/>
              <w:rPr>
                <w:rFonts w:cs="Calibri"/>
                <w:kern w:val="0"/>
                <w:sz w:val="18"/>
                <w:szCs w:val="18"/>
              </w:rPr>
            </w:pPr>
            <w:r>
              <w:rPr>
                <w:rFonts w:cs="Calibri"/>
                <w:kern w:val="0"/>
                <w:sz w:val="18"/>
                <w:szCs w:val="18"/>
              </w:rPr>
              <w:t>Progression to non-stroke related death</w:t>
            </w:r>
          </w:p>
        </w:tc>
        <w:tc>
          <w:tcPr>
            <w:tcW w:w="645" w:type="pct"/>
          </w:tcPr>
          <w:p w14:paraId="7304CB2E" w14:textId="77777777" w:rsidR="0097404C" w:rsidRDefault="0097404C">
            <w:pPr>
              <w:rPr>
                <w:rFonts w:cs="Calibri"/>
                <w:kern w:val="0"/>
                <w:sz w:val="18"/>
                <w:szCs w:val="18"/>
              </w:rPr>
            </w:pPr>
          </w:p>
        </w:tc>
        <w:tc>
          <w:tcPr>
            <w:tcW w:w="618" w:type="pct"/>
          </w:tcPr>
          <w:p w14:paraId="19F39A66" w14:textId="77777777" w:rsidR="0097404C" w:rsidRDefault="0097404C">
            <w:pPr>
              <w:rPr>
                <w:rFonts w:cs="Calibri"/>
                <w:kern w:val="0"/>
                <w:sz w:val="18"/>
                <w:szCs w:val="18"/>
              </w:rPr>
            </w:pPr>
          </w:p>
        </w:tc>
        <w:tc>
          <w:tcPr>
            <w:tcW w:w="1308" w:type="pct"/>
          </w:tcPr>
          <w:p w14:paraId="31770A1B" w14:textId="77777777" w:rsidR="0097404C" w:rsidRDefault="0097404C">
            <w:pPr>
              <w:rPr>
                <w:rFonts w:cs="Calibri"/>
                <w:kern w:val="0"/>
                <w:sz w:val="18"/>
                <w:szCs w:val="18"/>
              </w:rPr>
            </w:pPr>
          </w:p>
        </w:tc>
        <w:tc>
          <w:tcPr>
            <w:tcW w:w="602" w:type="pct"/>
          </w:tcPr>
          <w:p w14:paraId="3ECB797D" w14:textId="68EB72C8" w:rsidR="0097404C" w:rsidRDefault="00865821" w:rsidP="006A6358">
            <w:pPr>
              <w:jc w:val="left"/>
              <w:rPr>
                <w:rFonts w:cs="Calibri"/>
                <w:kern w:val="0"/>
                <w:sz w:val="18"/>
                <w:szCs w:val="18"/>
              </w:rPr>
            </w:pPr>
            <w:r>
              <w:rPr>
                <w:rFonts w:cs="Calibri"/>
                <w:kern w:val="0"/>
                <w:sz w:val="18"/>
                <w:szCs w:val="18"/>
              </w:rPr>
              <w:fldChar w:fldCharType="begin"/>
            </w:r>
            <w:r w:rsidR="007D10D2">
              <w:rPr>
                <w:rFonts w:cs="Calibri"/>
                <w:kern w:val="0"/>
                <w:sz w:val="18"/>
                <w:szCs w:val="18"/>
              </w:rPr>
              <w:instrText xml:space="preserve"> ADDIN NE.Ref.{BA2DC711-84FE-435F-A662-C158983CF93D}</w:instrText>
            </w:r>
            <w:r>
              <w:rPr>
                <w:rFonts w:cs="Calibri"/>
                <w:kern w:val="0"/>
                <w:sz w:val="18"/>
                <w:szCs w:val="18"/>
              </w:rPr>
              <w:fldChar w:fldCharType="separate"/>
            </w:r>
            <w:r w:rsidR="007D10D2">
              <w:rPr>
                <w:rFonts w:eastAsiaTheme="minorEastAsia" w:cs="Calibri"/>
                <w:color w:val="000000"/>
                <w:kern w:val="0"/>
                <w:sz w:val="18"/>
                <w:szCs w:val="18"/>
                <w:vertAlign w:val="superscript"/>
              </w:rPr>
              <w:t>6</w:t>
            </w:r>
            <w:r>
              <w:rPr>
                <w:rFonts w:cs="Calibri"/>
                <w:kern w:val="0"/>
                <w:sz w:val="18"/>
                <w:szCs w:val="18"/>
              </w:rPr>
              <w:fldChar w:fldCharType="end"/>
            </w:r>
          </w:p>
        </w:tc>
      </w:tr>
      <w:tr w:rsidR="0097404C" w14:paraId="51382DC2" w14:textId="77777777">
        <w:trPr>
          <w:jc w:val="center"/>
        </w:trPr>
        <w:tc>
          <w:tcPr>
            <w:tcW w:w="1827" w:type="pct"/>
          </w:tcPr>
          <w:p w14:paraId="6FA56EDF" w14:textId="77777777" w:rsidR="0097404C" w:rsidRDefault="001407CB">
            <w:pPr>
              <w:ind w:firstLineChars="200" w:firstLine="360"/>
              <w:jc w:val="left"/>
              <w:rPr>
                <w:rFonts w:cs="Calibri"/>
                <w:kern w:val="0"/>
                <w:sz w:val="18"/>
                <w:szCs w:val="18"/>
              </w:rPr>
            </w:pPr>
            <w:r>
              <w:rPr>
                <w:rFonts w:cs="Calibri"/>
                <w:kern w:val="0"/>
                <w:sz w:val="18"/>
                <w:szCs w:val="18"/>
              </w:rPr>
              <w:t>40-44 y</w:t>
            </w:r>
          </w:p>
        </w:tc>
        <w:tc>
          <w:tcPr>
            <w:tcW w:w="645" w:type="pct"/>
          </w:tcPr>
          <w:p w14:paraId="389B5B85" w14:textId="77777777" w:rsidR="0097404C" w:rsidRDefault="001407CB">
            <w:pPr>
              <w:rPr>
                <w:rFonts w:cs="Calibri"/>
                <w:kern w:val="0"/>
                <w:sz w:val="18"/>
                <w:szCs w:val="18"/>
              </w:rPr>
            </w:pPr>
            <w:r>
              <w:rPr>
                <w:rFonts w:cs="Calibri"/>
                <w:kern w:val="0"/>
                <w:sz w:val="18"/>
                <w:szCs w:val="18"/>
              </w:rPr>
              <w:t xml:space="preserve">0.0016 </w:t>
            </w:r>
          </w:p>
        </w:tc>
        <w:tc>
          <w:tcPr>
            <w:tcW w:w="618" w:type="pct"/>
          </w:tcPr>
          <w:p w14:paraId="3B12D68E" w14:textId="77777777" w:rsidR="0097404C" w:rsidRDefault="0097404C">
            <w:pPr>
              <w:rPr>
                <w:rFonts w:cs="Calibri"/>
                <w:kern w:val="0"/>
                <w:sz w:val="18"/>
                <w:szCs w:val="18"/>
              </w:rPr>
            </w:pPr>
          </w:p>
        </w:tc>
        <w:tc>
          <w:tcPr>
            <w:tcW w:w="1308" w:type="pct"/>
          </w:tcPr>
          <w:p w14:paraId="5CBDEC3C" w14:textId="77777777" w:rsidR="0097404C" w:rsidRDefault="0097404C">
            <w:pPr>
              <w:rPr>
                <w:rFonts w:cs="Calibri"/>
                <w:kern w:val="0"/>
                <w:sz w:val="18"/>
                <w:szCs w:val="18"/>
              </w:rPr>
            </w:pPr>
          </w:p>
        </w:tc>
        <w:tc>
          <w:tcPr>
            <w:tcW w:w="602" w:type="pct"/>
          </w:tcPr>
          <w:p w14:paraId="7D1CB427" w14:textId="77777777" w:rsidR="0097404C" w:rsidRDefault="0097404C">
            <w:pPr>
              <w:jc w:val="left"/>
              <w:rPr>
                <w:rFonts w:cs="Calibri"/>
                <w:kern w:val="0"/>
                <w:sz w:val="18"/>
                <w:szCs w:val="18"/>
              </w:rPr>
            </w:pPr>
          </w:p>
        </w:tc>
      </w:tr>
      <w:tr w:rsidR="0097404C" w14:paraId="22835FD0" w14:textId="77777777">
        <w:trPr>
          <w:jc w:val="center"/>
        </w:trPr>
        <w:tc>
          <w:tcPr>
            <w:tcW w:w="1827" w:type="pct"/>
          </w:tcPr>
          <w:p w14:paraId="73405366" w14:textId="77777777" w:rsidR="0097404C" w:rsidRDefault="001407CB">
            <w:pPr>
              <w:ind w:firstLineChars="200" w:firstLine="360"/>
              <w:jc w:val="left"/>
              <w:rPr>
                <w:rFonts w:cs="Calibri"/>
                <w:kern w:val="0"/>
                <w:sz w:val="18"/>
                <w:szCs w:val="18"/>
              </w:rPr>
            </w:pPr>
            <w:r>
              <w:rPr>
                <w:rFonts w:cs="Calibri"/>
                <w:kern w:val="0"/>
                <w:sz w:val="18"/>
                <w:szCs w:val="18"/>
              </w:rPr>
              <w:t>45-49 y</w:t>
            </w:r>
          </w:p>
        </w:tc>
        <w:tc>
          <w:tcPr>
            <w:tcW w:w="645" w:type="pct"/>
          </w:tcPr>
          <w:p w14:paraId="05CC6DCA" w14:textId="77777777" w:rsidR="0097404C" w:rsidRDefault="001407CB">
            <w:pPr>
              <w:rPr>
                <w:rFonts w:cs="Calibri"/>
                <w:kern w:val="0"/>
                <w:sz w:val="18"/>
                <w:szCs w:val="18"/>
              </w:rPr>
            </w:pPr>
            <w:r>
              <w:rPr>
                <w:rFonts w:cs="Calibri"/>
                <w:kern w:val="0"/>
                <w:sz w:val="18"/>
                <w:szCs w:val="18"/>
              </w:rPr>
              <w:t xml:space="preserve">0.0021 </w:t>
            </w:r>
          </w:p>
        </w:tc>
        <w:tc>
          <w:tcPr>
            <w:tcW w:w="618" w:type="pct"/>
          </w:tcPr>
          <w:p w14:paraId="0E9C8A12" w14:textId="77777777" w:rsidR="0097404C" w:rsidRDefault="0097404C">
            <w:pPr>
              <w:rPr>
                <w:rFonts w:cs="Calibri"/>
                <w:kern w:val="0"/>
                <w:sz w:val="18"/>
                <w:szCs w:val="18"/>
              </w:rPr>
            </w:pPr>
          </w:p>
        </w:tc>
        <w:tc>
          <w:tcPr>
            <w:tcW w:w="1308" w:type="pct"/>
          </w:tcPr>
          <w:p w14:paraId="2669840C" w14:textId="77777777" w:rsidR="0097404C" w:rsidRDefault="0097404C">
            <w:pPr>
              <w:rPr>
                <w:rFonts w:cs="Calibri"/>
                <w:kern w:val="0"/>
                <w:sz w:val="18"/>
                <w:szCs w:val="18"/>
              </w:rPr>
            </w:pPr>
          </w:p>
        </w:tc>
        <w:tc>
          <w:tcPr>
            <w:tcW w:w="602" w:type="pct"/>
          </w:tcPr>
          <w:p w14:paraId="38FB79FB" w14:textId="77777777" w:rsidR="0097404C" w:rsidRDefault="0097404C">
            <w:pPr>
              <w:jc w:val="left"/>
              <w:rPr>
                <w:rFonts w:cs="Calibri"/>
                <w:kern w:val="0"/>
                <w:sz w:val="18"/>
                <w:szCs w:val="18"/>
              </w:rPr>
            </w:pPr>
          </w:p>
        </w:tc>
      </w:tr>
      <w:tr w:rsidR="0097404C" w14:paraId="499B858C" w14:textId="77777777">
        <w:trPr>
          <w:jc w:val="center"/>
        </w:trPr>
        <w:tc>
          <w:tcPr>
            <w:tcW w:w="1827" w:type="pct"/>
          </w:tcPr>
          <w:p w14:paraId="24FF68EF" w14:textId="77777777" w:rsidR="0097404C" w:rsidRDefault="001407CB">
            <w:pPr>
              <w:ind w:firstLineChars="200" w:firstLine="360"/>
              <w:jc w:val="left"/>
              <w:rPr>
                <w:rFonts w:cs="Calibri"/>
                <w:kern w:val="0"/>
                <w:sz w:val="18"/>
                <w:szCs w:val="18"/>
              </w:rPr>
            </w:pPr>
            <w:r>
              <w:rPr>
                <w:rFonts w:cs="Calibri"/>
                <w:kern w:val="0"/>
                <w:sz w:val="18"/>
                <w:szCs w:val="18"/>
              </w:rPr>
              <w:t>50-54 y</w:t>
            </w:r>
          </w:p>
        </w:tc>
        <w:tc>
          <w:tcPr>
            <w:tcW w:w="645" w:type="pct"/>
          </w:tcPr>
          <w:p w14:paraId="75695F67" w14:textId="77777777" w:rsidR="0097404C" w:rsidRDefault="001407CB">
            <w:pPr>
              <w:rPr>
                <w:rFonts w:cs="Calibri"/>
                <w:kern w:val="0"/>
                <w:sz w:val="18"/>
                <w:szCs w:val="18"/>
              </w:rPr>
            </w:pPr>
            <w:r>
              <w:rPr>
                <w:rFonts w:cs="Calibri"/>
                <w:kern w:val="0"/>
                <w:sz w:val="18"/>
                <w:szCs w:val="18"/>
              </w:rPr>
              <w:t xml:space="preserve">0.0033 </w:t>
            </w:r>
          </w:p>
        </w:tc>
        <w:tc>
          <w:tcPr>
            <w:tcW w:w="618" w:type="pct"/>
          </w:tcPr>
          <w:p w14:paraId="667DF6AA" w14:textId="77777777" w:rsidR="0097404C" w:rsidRDefault="0097404C">
            <w:pPr>
              <w:rPr>
                <w:rFonts w:cs="Calibri"/>
                <w:kern w:val="0"/>
                <w:sz w:val="18"/>
                <w:szCs w:val="18"/>
              </w:rPr>
            </w:pPr>
          </w:p>
        </w:tc>
        <w:tc>
          <w:tcPr>
            <w:tcW w:w="1308" w:type="pct"/>
          </w:tcPr>
          <w:p w14:paraId="096CC887" w14:textId="77777777" w:rsidR="0097404C" w:rsidRDefault="0097404C">
            <w:pPr>
              <w:rPr>
                <w:rFonts w:cs="Calibri"/>
                <w:kern w:val="0"/>
                <w:sz w:val="18"/>
                <w:szCs w:val="18"/>
              </w:rPr>
            </w:pPr>
          </w:p>
        </w:tc>
        <w:tc>
          <w:tcPr>
            <w:tcW w:w="602" w:type="pct"/>
          </w:tcPr>
          <w:p w14:paraId="2D55A4AE" w14:textId="77777777" w:rsidR="0097404C" w:rsidRDefault="0097404C">
            <w:pPr>
              <w:jc w:val="left"/>
              <w:rPr>
                <w:rFonts w:cs="Calibri"/>
                <w:kern w:val="0"/>
                <w:sz w:val="18"/>
                <w:szCs w:val="18"/>
              </w:rPr>
            </w:pPr>
          </w:p>
        </w:tc>
      </w:tr>
      <w:tr w:rsidR="0097404C" w14:paraId="78C7A2FC" w14:textId="77777777">
        <w:trPr>
          <w:jc w:val="center"/>
        </w:trPr>
        <w:tc>
          <w:tcPr>
            <w:tcW w:w="1827" w:type="pct"/>
          </w:tcPr>
          <w:p w14:paraId="6E5F19A2" w14:textId="77777777" w:rsidR="0097404C" w:rsidRDefault="001407CB">
            <w:pPr>
              <w:ind w:firstLineChars="200" w:firstLine="360"/>
              <w:jc w:val="left"/>
              <w:rPr>
                <w:rFonts w:cs="Calibri"/>
                <w:kern w:val="0"/>
                <w:sz w:val="18"/>
                <w:szCs w:val="18"/>
              </w:rPr>
            </w:pPr>
            <w:r>
              <w:rPr>
                <w:rFonts w:cs="Calibri"/>
                <w:kern w:val="0"/>
                <w:sz w:val="18"/>
                <w:szCs w:val="18"/>
              </w:rPr>
              <w:t>55-59 y</w:t>
            </w:r>
          </w:p>
        </w:tc>
        <w:tc>
          <w:tcPr>
            <w:tcW w:w="645" w:type="pct"/>
          </w:tcPr>
          <w:p w14:paraId="51674A85" w14:textId="77777777" w:rsidR="0097404C" w:rsidRDefault="001407CB">
            <w:pPr>
              <w:rPr>
                <w:rFonts w:cs="Calibri"/>
                <w:kern w:val="0"/>
                <w:sz w:val="18"/>
                <w:szCs w:val="18"/>
              </w:rPr>
            </w:pPr>
            <w:r>
              <w:rPr>
                <w:rFonts w:cs="Calibri"/>
                <w:kern w:val="0"/>
                <w:sz w:val="18"/>
                <w:szCs w:val="18"/>
              </w:rPr>
              <w:t xml:space="preserve">0.0051 </w:t>
            </w:r>
          </w:p>
        </w:tc>
        <w:tc>
          <w:tcPr>
            <w:tcW w:w="618" w:type="pct"/>
          </w:tcPr>
          <w:p w14:paraId="02A2B519" w14:textId="77777777" w:rsidR="0097404C" w:rsidRDefault="0097404C">
            <w:pPr>
              <w:rPr>
                <w:rFonts w:cs="Calibri"/>
                <w:kern w:val="0"/>
                <w:sz w:val="18"/>
                <w:szCs w:val="18"/>
              </w:rPr>
            </w:pPr>
          </w:p>
        </w:tc>
        <w:tc>
          <w:tcPr>
            <w:tcW w:w="1308" w:type="pct"/>
          </w:tcPr>
          <w:p w14:paraId="370A3F53" w14:textId="77777777" w:rsidR="0097404C" w:rsidRDefault="0097404C">
            <w:pPr>
              <w:rPr>
                <w:rFonts w:cs="Calibri"/>
                <w:kern w:val="0"/>
                <w:sz w:val="18"/>
                <w:szCs w:val="18"/>
              </w:rPr>
            </w:pPr>
          </w:p>
        </w:tc>
        <w:tc>
          <w:tcPr>
            <w:tcW w:w="602" w:type="pct"/>
          </w:tcPr>
          <w:p w14:paraId="1F2C1252" w14:textId="77777777" w:rsidR="0097404C" w:rsidRDefault="0097404C">
            <w:pPr>
              <w:jc w:val="left"/>
              <w:rPr>
                <w:rFonts w:cs="Calibri"/>
                <w:kern w:val="0"/>
                <w:sz w:val="18"/>
                <w:szCs w:val="18"/>
              </w:rPr>
            </w:pPr>
          </w:p>
        </w:tc>
      </w:tr>
      <w:tr w:rsidR="0097404C" w14:paraId="6F883709" w14:textId="77777777">
        <w:trPr>
          <w:jc w:val="center"/>
        </w:trPr>
        <w:tc>
          <w:tcPr>
            <w:tcW w:w="1827" w:type="pct"/>
          </w:tcPr>
          <w:p w14:paraId="1DC49D87" w14:textId="77777777" w:rsidR="0097404C" w:rsidRDefault="001407CB">
            <w:pPr>
              <w:ind w:firstLineChars="200" w:firstLine="360"/>
              <w:jc w:val="left"/>
              <w:rPr>
                <w:rFonts w:cs="Calibri"/>
                <w:kern w:val="0"/>
                <w:sz w:val="18"/>
                <w:szCs w:val="18"/>
              </w:rPr>
            </w:pPr>
            <w:r>
              <w:rPr>
                <w:rFonts w:cs="Calibri"/>
                <w:kern w:val="0"/>
                <w:sz w:val="18"/>
                <w:szCs w:val="18"/>
              </w:rPr>
              <w:t>60-64 y</w:t>
            </w:r>
          </w:p>
        </w:tc>
        <w:tc>
          <w:tcPr>
            <w:tcW w:w="645" w:type="pct"/>
          </w:tcPr>
          <w:p w14:paraId="1ADC00D0" w14:textId="77777777" w:rsidR="0097404C" w:rsidRDefault="001407CB">
            <w:pPr>
              <w:rPr>
                <w:rFonts w:cs="Calibri"/>
                <w:kern w:val="0"/>
                <w:sz w:val="18"/>
                <w:szCs w:val="18"/>
              </w:rPr>
            </w:pPr>
            <w:r>
              <w:rPr>
                <w:rFonts w:cs="Calibri"/>
                <w:kern w:val="0"/>
                <w:sz w:val="18"/>
                <w:szCs w:val="18"/>
              </w:rPr>
              <w:t xml:space="preserve">0.0081 </w:t>
            </w:r>
          </w:p>
        </w:tc>
        <w:tc>
          <w:tcPr>
            <w:tcW w:w="618" w:type="pct"/>
          </w:tcPr>
          <w:p w14:paraId="0517EAF5" w14:textId="77777777" w:rsidR="0097404C" w:rsidRDefault="0097404C">
            <w:pPr>
              <w:rPr>
                <w:rFonts w:cs="Calibri"/>
                <w:kern w:val="0"/>
                <w:sz w:val="18"/>
                <w:szCs w:val="18"/>
              </w:rPr>
            </w:pPr>
          </w:p>
        </w:tc>
        <w:tc>
          <w:tcPr>
            <w:tcW w:w="1308" w:type="pct"/>
          </w:tcPr>
          <w:p w14:paraId="019D5FBF" w14:textId="77777777" w:rsidR="0097404C" w:rsidRDefault="0097404C">
            <w:pPr>
              <w:rPr>
                <w:rFonts w:cs="Calibri"/>
                <w:kern w:val="0"/>
                <w:sz w:val="18"/>
                <w:szCs w:val="18"/>
              </w:rPr>
            </w:pPr>
          </w:p>
        </w:tc>
        <w:tc>
          <w:tcPr>
            <w:tcW w:w="602" w:type="pct"/>
          </w:tcPr>
          <w:p w14:paraId="0D6ED258" w14:textId="77777777" w:rsidR="0097404C" w:rsidRDefault="0097404C">
            <w:pPr>
              <w:jc w:val="left"/>
              <w:rPr>
                <w:rFonts w:cs="Calibri"/>
                <w:kern w:val="0"/>
                <w:sz w:val="18"/>
                <w:szCs w:val="18"/>
              </w:rPr>
            </w:pPr>
          </w:p>
        </w:tc>
      </w:tr>
      <w:tr w:rsidR="0097404C" w14:paraId="204A95D8" w14:textId="77777777">
        <w:trPr>
          <w:jc w:val="center"/>
        </w:trPr>
        <w:tc>
          <w:tcPr>
            <w:tcW w:w="1827" w:type="pct"/>
          </w:tcPr>
          <w:p w14:paraId="57B43B08" w14:textId="77777777" w:rsidR="0097404C" w:rsidRDefault="001407CB">
            <w:pPr>
              <w:ind w:firstLineChars="200" w:firstLine="360"/>
              <w:jc w:val="left"/>
              <w:rPr>
                <w:rFonts w:cs="Calibri"/>
                <w:kern w:val="0"/>
                <w:sz w:val="18"/>
                <w:szCs w:val="18"/>
              </w:rPr>
            </w:pPr>
            <w:r>
              <w:rPr>
                <w:rFonts w:cs="Calibri"/>
                <w:kern w:val="0"/>
                <w:sz w:val="18"/>
                <w:szCs w:val="18"/>
              </w:rPr>
              <w:t>65-69 y</w:t>
            </w:r>
          </w:p>
        </w:tc>
        <w:tc>
          <w:tcPr>
            <w:tcW w:w="645" w:type="pct"/>
          </w:tcPr>
          <w:p w14:paraId="38499393" w14:textId="77777777" w:rsidR="0097404C" w:rsidRDefault="001407CB">
            <w:pPr>
              <w:rPr>
                <w:rFonts w:cs="Calibri"/>
                <w:kern w:val="0"/>
                <w:sz w:val="18"/>
                <w:szCs w:val="18"/>
              </w:rPr>
            </w:pPr>
            <w:r>
              <w:rPr>
                <w:rFonts w:cs="Calibri"/>
                <w:kern w:val="0"/>
                <w:sz w:val="18"/>
                <w:szCs w:val="18"/>
              </w:rPr>
              <w:t xml:space="preserve">0.0127 </w:t>
            </w:r>
          </w:p>
        </w:tc>
        <w:tc>
          <w:tcPr>
            <w:tcW w:w="618" w:type="pct"/>
          </w:tcPr>
          <w:p w14:paraId="79AF36EE" w14:textId="77777777" w:rsidR="0097404C" w:rsidRDefault="0097404C">
            <w:pPr>
              <w:rPr>
                <w:rFonts w:cs="Calibri"/>
                <w:kern w:val="0"/>
                <w:sz w:val="18"/>
                <w:szCs w:val="18"/>
              </w:rPr>
            </w:pPr>
          </w:p>
        </w:tc>
        <w:tc>
          <w:tcPr>
            <w:tcW w:w="1308" w:type="pct"/>
          </w:tcPr>
          <w:p w14:paraId="51DB4212" w14:textId="77777777" w:rsidR="0097404C" w:rsidRDefault="0097404C">
            <w:pPr>
              <w:rPr>
                <w:rFonts w:cs="Calibri"/>
                <w:kern w:val="0"/>
                <w:sz w:val="18"/>
                <w:szCs w:val="18"/>
              </w:rPr>
            </w:pPr>
          </w:p>
        </w:tc>
        <w:tc>
          <w:tcPr>
            <w:tcW w:w="602" w:type="pct"/>
          </w:tcPr>
          <w:p w14:paraId="63827EE2" w14:textId="77777777" w:rsidR="0097404C" w:rsidRDefault="0097404C">
            <w:pPr>
              <w:jc w:val="left"/>
              <w:rPr>
                <w:rFonts w:cs="Calibri"/>
                <w:kern w:val="0"/>
                <w:sz w:val="18"/>
                <w:szCs w:val="18"/>
              </w:rPr>
            </w:pPr>
          </w:p>
        </w:tc>
      </w:tr>
      <w:tr w:rsidR="0097404C" w14:paraId="327D960E" w14:textId="77777777">
        <w:trPr>
          <w:jc w:val="center"/>
        </w:trPr>
        <w:tc>
          <w:tcPr>
            <w:tcW w:w="1827" w:type="pct"/>
          </w:tcPr>
          <w:p w14:paraId="68634EF7" w14:textId="77777777" w:rsidR="0097404C" w:rsidRDefault="001407CB">
            <w:pPr>
              <w:ind w:firstLineChars="200" w:firstLine="360"/>
              <w:jc w:val="left"/>
              <w:rPr>
                <w:rFonts w:cs="Calibri"/>
                <w:kern w:val="0"/>
                <w:sz w:val="18"/>
                <w:szCs w:val="18"/>
              </w:rPr>
            </w:pPr>
            <w:r>
              <w:rPr>
                <w:rFonts w:cs="Calibri"/>
                <w:kern w:val="0"/>
                <w:sz w:val="18"/>
                <w:szCs w:val="18"/>
              </w:rPr>
              <w:lastRenderedPageBreak/>
              <w:t>70-74 y</w:t>
            </w:r>
          </w:p>
        </w:tc>
        <w:tc>
          <w:tcPr>
            <w:tcW w:w="645" w:type="pct"/>
          </w:tcPr>
          <w:p w14:paraId="44D94F38" w14:textId="77777777" w:rsidR="0097404C" w:rsidRDefault="001407CB">
            <w:pPr>
              <w:rPr>
                <w:rFonts w:cs="Calibri"/>
                <w:kern w:val="0"/>
                <w:sz w:val="18"/>
                <w:szCs w:val="18"/>
              </w:rPr>
            </w:pPr>
            <w:r>
              <w:rPr>
                <w:rFonts w:cs="Calibri"/>
                <w:kern w:val="0"/>
                <w:sz w:val="18"/>
                <w:szCs w:val="18"/>
              </w:rPr>
              <w:t xml:space="preserve">0.0224 </w:t>
            </w:r>
          </w:p>
        </w:tc>
        <w:tc>
          <w:tcPr>
            <w:tcW w:w="618" w:type="pct"/>
          </w:tcPr>
          <w:p w14:paraId="5FC0E9FD" w14:textId="77777777" w:rsidR="0097404C" w:rsidRDefault="0097404C">
            <w:pPr>
              <w:rPr>
                <w:rFonts w:cs="Calibri"/>
                <w:kern w:val="0"/>
                <w:sz w:val="18"/>
                <w:szCs w:val="18"/>
              </w:rPr>
            </w:pPr>
          </w:p>
        </w:tc>
        <w:tc>
          <w:tcPr>
            <w:tcW w:w="1308" w:type="pct"/>
          </w:tcPr>
          <w:p w14:paraId="06DD762A" w14:textId="77777777" w:rsidR="0097404C" w:rsidRDefault="0097404C">
            <w:pPr>
              <w:rPr>
                <w:rFonts w:cs="Calibri"/>
                <w:kern w:val="0"/>
                <w:sz w:val="18"/>
                <w:szCs w:val="18"/>
              </w:rPr>
            </w:pPr>
          </w:p>
        </w:tc>
        <w:tc>
          <w:tcPr>
            <w:tcW w:w="602" w:type="pct"/>
          </w:tcPr>
          <w:p w14:paraId="790AE845" w14:textId="77777777" w:rsidR="0097404C" w:rsidRDefault="0097404C">
            <w:pPr>
              <w:jc w:val="left"/>
              <w:rPr>
                <w:rFonts w:cs="Calibri"/>
                <w:kern w:val="0"/>
                <w:sz w:val="18"/>
                <w:szCs w:val="18"/>
              </w:rPr>
            </w:pPr>
          </w:p>
        </w:tc>
      </w:tr>
      <w:tr w:rsidR="0097404C" w14:paraId="436052FC" w14:textId="77777777">
        <w:trPr>
          <w:jc w:val="center"/>
        </w:trPr>
        <w:tc>
          <w:tcPr>
            <w:tcW w:w="1827" w:type="pct"/>
          </w:tcPr>
          <w:p w14:paraId="16F25BA6" w14:textId="77777777" w:rsidR="0097404C" w:rsidRDefault="001407CB">
            <w:pPr>
              <w:ind w:firstLineChars="200" w:firstLine="360"/>
              <w:jc w:val="left"/>
              <w:rPr>
                <w:rFonts w:cs="Calibri"/>
                <w:kern w:val="0"/>
                <w:sz w:val="18"/>
                <w:szCs w:val="18"/>
              </w:rPr>
            </w:pPr>
            <w:r>
              <w:rPr>
                <w:rFonts w:cs="Calibri"/>
                <w:kern w:val="0"/>
                <w:sz w:val="18"/>
                <w:szCs w:val="18"/>
              </w:rPr>
              <w:t>75-79 y</w:t>
            </w:r>
          </w:p>
        </w:tc>
        <w:tc>
          <w:tcPr>
            <w:tcW w:w="645" w:type="pct"/>
          </w:tcPr>
          <w:p w14:paraId="6AB2AA7F" w14:textId="77777777" w:rsidR="0097404C" w:rsidRDefault="001407CB">
            <w:pPr>
              <w:rPr>
                <w:rFonts w:cs="Calibri"/>
                <w:kern w:val="0"/>
                <w:sz w:val="18"/>
                <w:szCs w:val="18"/>
              </w:rPr>
            </w:pPr>
            <w:r>
              <w:rPr>
                <w:rFonts w:cs="Calibri"/>
                <w:kern w:val="0"/>
                <w:sz w:val="18"/>
                <w:szCs w:val="18"/>
              </w:rPr>
              <w:t xml:space="preserve">0.0369 </w:t>
            </w:r>
          </w:p>
        </w:tc>
        <w:tc>
          <w:tcPr>
            <w:tcW w:w="618" w:type="pct"/>
          </w:tcPr>
          <w:p w14:paraId="6343B701" w14:textId="77777777" w:rsidR="0097404C" w:rsidRDefault="0097404C">
            <w:pPr>
              <w:rPr>
                <w:rFonts w:cs="Calibri"/>
                <w:kern w:val="0"/>
                <w:sz w:val="18"/>
                <w:szCs w:val="18"/>
              </w:rPr>
            </w:pPr>
          </w:p>
        </w:tc>
        <w:tc>
          <w:tcPr>
            <w:tcW w:w="1308" w:type="pct"/>
          </w:tcPr>
          <w:p w14:paraId="37D09EA5" w14:textId="77777777" w:rsidR="0097404C" w:rsidRDefault="0097404C">
            <w:pPr>
              <w:rPr>
                <w:rFonts w:cs="Calibri"/>
                <w:kern w:val="0"/>
                <w:sz w:val="18"/>
                <w:szCs w:val="18"/>
              </w:rPr>
            </w:pPr>
          </w:p>
        </w:tc>
        <w:tc>
          <w:tcPr>
            <w:tcW w:w="602" w:type="pct"/>
          </w:tcPr>
          <w:p w14:paraId="5962EE64" w14:textId="77777777" w:rsidR="0097404C" w:rsidRDefault="0097404C">
            <w:pPr>
              <w:jc w:val="left"/>
              <w:rPr>
                <w:rFonts w:cs="Calibri"/>
                <w:kern w:val="0"/>
                <w:sz w:val="18"/>
                <w:szCs w:val="18"/>
              </w:rPr>
            </w:pPr>
          </w:p>
        </w:tc>
      </w:tr>
      <w:tr w:rsidR="0097404C" w14:paraId="14D4B681" w14:textId="77777777">
        <w:trPr>
          <w:jc w:val="center"/>
        </w:trPr>
        <w:tc>
          <w:tcPr>
            <w:tcW w:w="1827" w:type="pct"/>
          </w:tcPr>
          <w:p w14:paraId="615C7386" w14:textId="77777777" w:rsidR="0097404C" w:rsidRDefault="001407CB">
            <w:pPr>
              <w:ind w:firstLineChars="200" w:firstLine="360"/>
              <w:jc w:val="left"/>
              <w:rPr>
                <w:rFonts w:cs="Calibri"/>
                <w:kern w:val="0"/>
                <w:sz w:val="18"/>
                <w:szCs w:val="18"/>
              </w:rPr>
            </w:pPr>
            <w:r>
              <w:rPr>
                <w:rFonts w:cs="Calibri"/>
                <w:kern w:val="0"/>
                <w:sz w:val="18"/>
                <w:szCs w:val="18"/>
              </w:rPr>
              <w:t>80-84 y</w:t>
            </w:r>
          </w:p>
        </w:tc>
        <w:tc>
          <w:tcPr>
            <w:tcW w:w="645" w:type="pct"/>
          </w:tcPr>
          <w:p w14:paraId="32C8BDB0" w14:textId="77777777" w:rsidR="0097404C" w:rsidRDefault="001407CB">
            <w:pPr>
              <w:rPr>
                <w:rFonts w:cs="Calibri"/>
                <w:kern w:val="0"/>
                <w:sz w:val="18"/>
                <w:szCs w:val="18"/>
              </w:rPr>
            </w:pPr>
            <w:r>
              <w:rPr>
                <w:rFonts w:cs="Calibri"/>
                <w:kern w:val="0"/>
                <w:sz w:val="18"/>
                <w:szCs w:val="18"/>
              </w:rPr>
              <w:t xml:space="preserve">0.0666 </w:t>
            </w:r>
          </w:p>
        </w:tc>
        <w:tc>
          <w:tcPr>
            <w:tcW w:w="618" w:type="pct"/>
          </w:tcPr>
          <w:p w14:paraId="5A21D2E4" w14:textId="77777777" w:rsidR="0097404C" w:rsidRDefault="0097404C">
            <w:pPr>
              <w:rPr>
                <w:rFonts w:cs="Calibri"/>
                <w:kern w:val="0"/>
                <w:sz w:val="18"/>
                <w:szCs w:val="18"/>
              </w:rPr>
            </w:pPr>
          </w:p>
        </w:tc>
        <w:tc>
          <w:tcPr>
            <w:tcW w:w="1308" w:type="pct"/>
          </w:tcPr>
          <w:p w14:paraId="5EA45961" w14:textId="77777777" w:rsidR="0097404C" w:rsidRDefault="0097404C">
            <w:pPr>
              <w:rPr>
                <w:rFonts w:cs="Calibri"/>
                <w:kern w:val="0"/>
                <w:sz w:val="18"/>
                <w:szCs w:val="18"/>
              </w:rPr>
            </w:pPr>
          </w:p>
        </w:tc>
        <w:tc>
          <w:tcPr>
            <w:tcW w:w="602" w:type="pct"/>
          </w:tcPr>
          <w:p w14:paraId="6205D54C" w14:textId="77777777" w:rsidR="0097404C" w:rsidRDefault="0097404C">
            <w:pPr>
              <w:jc w:val="left"/>
              <w:rPr>
                <w:rFonts w:cs="Calibri"/>
                <w:kern w:val="0"/>
                <w:sz w:val="18"/>
                <w:szCs w:val="18"/>
              </w:rPr>
            </w:pPr>
          </w:p>
        </w:tc>
      </w:tr>
      <w:tr w:rsidR="0097404C" w14:paraId="4017E30F" w14:textId="77777777">
        <w:trPr>
          <w:jc w:val="center"/>
        </w:trPr>
        <w:tc>
          <w:tcPr>
            <w:tcW w:w="1827" w:type="pct"/>
          </w:tcPr>
          <w:p w14:paraId="3F6A29F0" w14:textId="77777777" w:rsidR="0097404C" w:rsidRDefault="001407CB">
            <w:pPr>
              <w:ind w:firstLineChars="200" w:firstLine="360"/>
              <w:jc w:val="left"/>
              <w:rPr>
                <w:rFonts w:cs="Calibri"/>
                <w:kern w:val="0"/>
                <w:sz w:val="18"/>
                <w:szCs w:val="18"/>
              </w:rPr>
            </w:pPr>
            <w:r>
              <w:rPr>
                <w:rFonts w:cs="Calibri"/>
                <w:kern w:val="0"/>
                <w:sz w:val="18"/>
                <w:szCs w:val="18"/>
              </w:rPr>
              <w:t>85-89 y</w:t>
            </w:r>
          </w:p>
        </w:tc>
        <w:tc>
          <w:tcPr>
            <w:tcW w:w="645" w:type="pct"/>
          </w:tcPr>
          <w:p w14:paraId="66D7A311" w14:textId="77777777" w:rsidR="0097404C" w:rsidRDefault="001407CB">
            <w:pPr>
              <w:rPr>
                <w:rFonts w:cs="Calibri"/>
                <w:kern w:val="0"/>
                <w:sz w:val="18"/>
                <w:szCs w:val="18"/>
              </w:rPr>
            </w:pPr>
            <w:r>
              <w:rPr>
                <w:rFonts w:cs="Calibri"/>
                <w:kern w:val="0"/>
                <w:sz w:val="18"/>
                <w:szCs w:val="18"/>
              </w:rPr>
              <w:t xml:space="preserve">0.1162 </w:t>
            </w:r>
          </w:p>
        </w:tc>
        <w:tc>
          <w:tcPr>
            <w:tcW w:w="618" w:type="pct"/>
          </w:tcPr>
          <w:p w14:paraId="7997BCEE" w14:textId="77777777" w:rsidR="0097404C" w:rsidRDefault="0097404C">
            <w:pPr>
              <w:rPr>
                <w:rFonts w:cs="Calibri"/>
                <w:kern w:val="0"/>
                <w:sz w:val="18"/>
                <w:szCs w:val="18"/>
              </w:rPr>
            </w:pPr>
          </w:p>
        </w:tc>
        <w:tc>
          <w:tcPr>
            <w:tcW w:w="1308" w:type="pct"/>
          </w:tcPr>
          <w:p w14:paraId="4D37FD08" w14:textId="77777777" w:rsidR="0097404C" w:rsidRDefault="0097404C">
            <w:pPr>
              <w:rPr>
                <w:rFonts w:cs="Calibri"/>
                <w:kern w:val="0"/>
                <w:sz w:val="18"/>
                <w:szCs w:val="18"/>
              </w:rPr>
            </w:pPr>
          </w:p>
        </w:tc>
        <w:tc>
          <w:tcPr>
            <w:tcW w:w="602" w:type="pct"/>
          </w:tcPr>
          <w:p w14:paraId="77F2FE6F" w14:textId="77777777" w:rsidR="0097404C" w:rsidRDefault="0097404C">
            <w:pPr>
              <w:jc w:val="left"/>
              <w:rPr>
                <w:rFonts w:cs="Calibri"/>
                <w:kern w:val="0"/>
                <w:sz w:val="18"/>
                <w:szCs w:val="18"/>
              </w:rPr>
            </w:pPr>
          </w:p>
        </w:tc>
      </w:tr>
    </w:tbl>
    <w:p w14:paraId="4AAA0D37" w14:textId="77777777" w:rsidR="007D10D2" w:rsidRDefault="00865821" w:rsidP="007D10D2">
      <w:pPr>
        <w:autoSpaceDE w:val="0"/>
        <w:autoSpaceDN w:val="0"/>
        <w:adjustRightInd w:val="0"/>
        <w:jc w:val="left"/>
        <w:rPr>
          <w:rFonts w:ascii="Times New Roman" w:eastAsiaTheme="minorEastAsia" w:hAnsi="Times New Roman"/>
          <w:kern w:val="0"/>
          <w:sz w:val="24"/>
          <w:szCs w:val="24"/>
        </w:rPr>
      </w:pPr>
      <w:r w:rsidRPr="00304F6E">
        <w:rPr>
          <w:rFonts w:ascii="Times New Roman" w:hAnsi="Times New Roman"/>
          <w:color w:val="000000"/>
          <w:kern w:val="0"/>
          <w:sz w:val="20"/>
          <w:szCs w:val="20"/>
        </w:rPr>
        <w:fldChar w:fldCharType="begin"/>
      </w:r>
      <w:r w:rsidRPr="00304F6E">
        <w:rPr>
          <w:rFonts w:ascii="Times New Roman" w:hAnsi="Times New Roman"/>
          <w:color w:val="000000"/>
          <w:kern w:val="0"/>
          <w:sz w:val="20"/>
          <w:szCs w:val="20"/>
        </w:rPr>
        <w:instrText xml:space="preserve"> ADDIN NE.Bib</w:instrText>
      </w:r>
      <w:r w:rsidRPr="00304F6E">
        <w:rPr>
          <w:rFonts w:ascii="Times New Roman" w:hAnsi="Times New Roman"/>
          <w:color w:val="000000"/>
          <w:kern w:val="0"/>
          <w:sz w:val="20"/>
          <w:szCs w:val="20"/>
        </w:rPr>
        <w:fldChar w:fldCharType="separate"/>
      </w:r>
    </w:p>
    <w:p w14:paraId="78C9C521" w14:textId="77777777" w:rsidR="007D10D2" w:rsidRPr="007D10D2" w:rsidRDefault="007D10D2" w:rsidP="007D10D2">
      <w:pPr>
        <w:autoSpaceDE w:val="0"/>
        <w:autoSpaceDN w:val="0"/>
        <w:adjustRightInd w:val="0"/>
        <w:jc w:val="left"/>
        <w:rPr>
          <w:rFonts w:ascii="Times New Roman" w:eastAsiaTheme="minorEastAsia" w:hAnsi="Times New Roman"/>
          <w:kern w:val="0"/>
          <w:sz w:val="24"/>
          <w:szCs w:val="24"/>
        </w:rPr>
      </w:pPr>
      <w:r w:rsidRPr="007D10D2">
        <w:rPr>
          <w:rFonts w:ascii="Times New Roman" w:eastAsiaTheme="minorEastAsia" w:hAnsi="Times New Roman"/>
          <w:b/>
          <w:bCs/>
          <w:color w:val="000000"/>
          <w:kern w:val="0"/>
          <w:sz w:val="24"/>
          <w:szCs w:val="24"/>
        </w:rPr>
        <w:t>References:</w:t>
      </w:r>
    </w:p>
    <w:p w14:paraId="6F9C6E22" w14:textId="71E633A6" w:rsidR="007D10D2" w:rsidRDefault="007D10D2" w:rsidP="007D10D2">
      <w:pPr>
        <w:autoSpaceDE w:val="0"/>
        <w:autoSpaceDN w:val="0"/>
        <w:adjustRightInd w:val="0"/>
        <w:ind w:left="460" w:hanging="460"/>
        <w:rPr>
          <w:rFonts w:ascii="Times New Roman" w:eastAsiaTheme="minorEastAsia" w:hAnsi="Times New Roman"/>
          <w:kern w:val="0"/>
          <w:sz w:val="24"/>
          <w:szCs w:val="24"/>
        </w:rPr>
      </w:pPr>
      <w:r>
        <w:rPr>
          <w:rFonts w:ascii="Times New Roman" w:eastAsiaTheme="minorEastAsia" w:hAnsi="Times New Roman"/>
          <w:color w:val="000000"/>
          <w:kern w:val="0"/>
          <w:sz w:val="20"/>
          <w:szCs w:val="20"/>
        </w:rPr>
        <w:t xml:space="preserve"> 1. </w:t>
      </w:r>
      <w:bookmarkStart w:id="1" w:name="_nebA5209E77_D813_45AE_82E1_CA7C3ED058DD"/>
      <w:r>
        <w:rPr>
          <w:rFonts w:ascii="Times New Roman" w:eastAsiaTheme="minorEastAsia" w:hAnsi="Times New Roman"/>
          <w:color w:val="000000"/>
          <w:kern w:val="0"/>
          <w:sz w:val="20"/>
          <w:szCs w:val="20"/>
        </w:rPr>
        <w:t xml:space="preserve">Xiang, Y. et al. Association of Obesity with the Risk of Hyperhomocysteinemia Among the Chinese Community Residents: A Prospective Cohort Study in Shanghai, China. </w:t>
      </w:r>
      <w:r>
        <w:rPr>
          <w:rFonts w:ascii="Times New Roman" w:eastAsiaTheme="minorEastAsia" w:hAnsi="Times New Roman"/>
          <w:i/>
          <w:iCs/>
          <w:color w:val="000000"/>
          <w:kern w:val="0"/>
          <w:sz w:val="20"/>
          <w:szCs w:val="20"/>
        </w:rPr>
        <w:t>Nutrients</w:t>
      </w:r>
      <w:r>
        <w:rPr>
          <w:rFonts w:ascii="Times New Roman" w:eastAsiaTheme="minorEastAsia" w:hAnsi="Times New Roman"/>
          <w:color w:val="000000"/>
          <w:kern w:val="0"/>
          <w:sz w:val="20"/>
          <w:szCs w:val="20"/>
        </w:rPr>
        <w:t xml:space="preserve">. </w:t>
      </w:r>
      <w:r>
        <w:rPr>
          <w:rFonts w:ascii="Times New Roman" w:eastAsiaTheme="minorEastAsia" w:hAnsi="Times New Roman"/>
          <w:b/>
          <w:bCs/>
          <w:color w:val="000000"/>
          <w:kern w:val="0"/>
          <w:sz w:val="20"/>
          <w:szCs w:val="20"/>
        </w:rPr>
        <w:t>13</w:t>
      </w:r>
      <w:r>
        <w:rPr>
          <w:rFonts w:ascii="Times New Roman" w:eastAsiaTheme="minorEastAsia" w:hAnsi="Times New Roman"/>
          <w:color w:val="000000"/>
          <w:kern w:val="0"/>
          <w:sz w:val="20"/>
          <w:szCs w:val="20"/>
        </w:rPr>
        <w:t>, (2021).</w:t>
      </w:r>
      <w:bookmarkEnd w:id="1"/>
    </w:p>
    <w:p w14:paraId="5F3A04F6" w14:textId="77777777" w:rsidR="007D10D2" w:rsidRDefault="007D10D2" w:rsidP="007D10D2">
      <w:pPr>
        <w:autoSpaceDE w:val="0"/>
        <w:autoSpaceDN w:val="0"/>
        <w:adjustRightInd w:val="0"/>
        <w:ind w:left="460" w:hanging="460"/>
        <w:rPr>
          <w:rFonts w:ascii="Times New Roman" w:eastAsiaTheme="minorEastAsia" w:hAnsi="Times New Roman"/>
          <w:kern w:val="0"/>
          <w:sz w:val="24"/>
          <w:szCs w:val="24"/>
        </w:rPr>
      </w:pPr>
      <w:r>
        <w:rPr>
          <w:rFonts w:ascii="Times New Roman" w:eastAsiaTheme="minorEastAsia" w:hAnsi="Times New Roman"/>
          <w:color w:val="000000"/>
          <w:kern w:val="0"/>
          <w:sz w:val="20"/>
          <w:szCs w:val="20"/>
        </w:rPr>
        <w:t xml:space="preserve"> 2. </w:t>
      </w:r>
      <w:bookmarkStart w:id="2" w:name="_neb5969F0EC_44E1_4118_A632_14F05E5AD0F0"/>
      <w:r>
        <w:rPr>
          <w:rFonts w:ascii="Times New Roman" w:eastAsiaTheme="minorEastAsia" w:hAnsi="Times New Roman"/>
          <w:color w:val="000000"/>
          <w:kern w:val="0"/>
          <w:sz w:val="20"/>
          <w:szCs w:val="20"/>
        </w:rPr>
        <w:t xml:space="preserve">Zeng, Y. et al. Prevalence of Hyperhomocysteinemia in China: An Updated Meta-Analysis. </w:t>
      </w:r>
      <w:r>
        <w:rPr>
          <w:rFonts w:ascii="Times New Roman" w:eastAsiaTheme="minorEastAsia" w:hAnsi="Times New Roman"/>
          <w:i/>
          <w:iCs/>
          <w:color w:val="000000"/>
          <w:kern w:val="0"/>
          <w:sz w:val="20"/>
          <w:szCs w:val="20"/>
        </w:rPr>
        <w:t>Biology-Basel</w:t>
      </w:r>
      <w:r>
        <w:rPr>
          <w:rFonts w:ascii="Times New Roman" w:eastAsiaTheme="minorEastAsia" w:hAnsi="Times New Roman"/>
          <w:color w:val="000000"/>
          <w:kern w:val="0"/>
          <w:sz w:val="20"/>
          <w:szCs w:val="20"/>
        </w:rPr>
        <w:t xml:space="preserve">. </w:t>
      </w:r>
      <w:r>
        <w:rPr>
          <w:rFonts w:ascii="Times New Roman" w:eastAsiaTheme="minorEastAsia" w:hAnsi="Times New Roman"/>
          <w:b/>
          <w:bCs/>
          <w:color w:val="000000"/>
          <w:kern w:val="0"/>
          <w:sz w:val="20"/>
          <w:szCs w:val="20"/>
        </w:rPr>
        <w:t>10</w:t>
      </w:r>
      <w:r>
        <w:rPr>
          <w:rFonts w:ascii="Times New Roman" w:eastAsiaTheme="minorEastAsia" w:hAnsi="Times New Roman"/>
          <w:color w:val="000000"/>
          <w:kern w:val="0"/>
          <w:sz w:val="20"/>
          <w:szCs w:val="20"/>
        </w:rPr>
        <w:t>, (2021).</w:t>
      </w:r>
      <w:bookmarkEnd w:id="2"/>
    </w:p>
    <w:p w14:paraId="4FDD3FE3" w14:textId="219F28A0" w:rsidR="007D10D2" w:rsidRDefault="007D10D2" w:rsidP="007D10D2">
      <w:pPr>
        <w:autoSpaceDE w:val="0"/>
        <w:autoSpaceDN w:val="0"/>
        <w:adjustRightInd w:val="0"/>
        <w:ind w:left="460" w:hanging="460"/>
        <w:rPr>
          <w:rFonts w:ascii="Times New Roman" w:eastAsiaTheme="minorEastAsia" w:hAnsi="Times New Roman"/>
          <w:kern w:val="0"/>
          <w:sz w:val="24"/>
          <w:szCs w:val="24"/>
        </w:rPr>
      </w:pPr>
      <w:r>
        <w:rPr>
          <w:rFonts w:ascii="Times New Roman" w:eastAsiaTheme="minorEastAsia" w:hAnsi="Times New Roman"/>
          <w:color w:val="000000"/>
          <w:kern w:val="0"/>
          <w:sz w:val="20"/>
          <w:szCs w:val="20"/>
        </w:rPr>
        <w:t xml:space="preserve"> 3. </w:t>
      </w:r>
      <w:bookmarkStart w:id="3" w:name="_nebAF756026_05D9_4F6B_9149_FA97C49243FF"/>
      <w:r>
        <w:rPr>
          <w:rFonts w:ascii="Times New Roman" w:eastAsiaTheme="minorEastAsia" w:hAnsi="Times New Roman"/>
          <w:color w:val="000000"/>
          <w:kern w:val="0"/>
          <w:sz w:val="20"/>
          <w:szCs w:val="20"/>
        </w:rPr>
        <w:t xml:space="preserve">Jiang, B. et al. Prevalence, Incidence, Prognosis, Early Stroke Risk, and Stroke-Related Prognostic Factors of Definite Or Probable Transient Ischemic Attacks in China, 2013. </w:t>
      </w:r>
      <w:r>
        <w:rPr>
          <w:rFonts w:ascii="Times New Roman" w:eastAsiaTheme="minorEastAsia" w:hAnsi="Times New Roman"/>
          <w:i/>
          <w:iCs/>
          <w:color w:val="000000"/>
          <w:kern w:val="0"/>
          <w:sz w:val="20"/>
          <w:szCs w:val="20"/>
        </w:rPr>
        <w:t>Front. Neurol.</w:t>
      </w:r>
      <w:r>
        <w:rPr>
          <w:rFonts w:ascii="Times New Roman" w:eastAsiaTheme="minorEastAsia" w:hAnsi="Times New Roman"/>
          <w:color w:val="000000"/>
          <w:kern w:val="0"/>
          <w:sz w:val="20"/>
          <w:szCs w:val="20"/>
        </w:rPr>
        <w:t xml:space="preserve"> </w:t>
      </w:r>
      <w:r>
        <w:rPr>
          <w:rFonts w:ascii="Times New Roman" w:eastAsiaTheme="minorEastAsia" w:hAnsi="Times New Roman"/>
          <w:b/>
          <w:bCs/>
          <w:color w:val="000000"/>
          <w:kern w:val="0"/>
          <w:sz w:val="20"/>
          <w:szCs w:val="20"/>
        </w:rPr>
        <w:t>8</w:t>
      </w:r>
      <w:r>
        <w:rPr>
          <w:rFonts w:ascii="Times New Roman" w:eastAsiaTheme="minorEastAsia" w:hAnsi="Times New Roman"/>
          <w:color w:val="000000"/>
          <w:kern w:val="0"/>
          <w:sz w:val="20"/>
          <w:szCs w:val="20"/>
        </w:rPr>
        <w:t>, 309 (2017).</w:t>
      </w:r>
      <w:bookmarkEnd w:id="3"/>
    </w:p>
    <w:p w14:paraId="75E8BE3B" w14:textId="2325EB45" w:rsidR="007D10D2" w:rsidRDefault="007D10D2" w:rsidP="007D10D2">
      <w:pPr>
        <w:autoSpaceDE w:val="0"/>
        <w:autoSpaceDN w:val="0"/>
        <w:adjustRightInd w:val="0"/>
        <w:ind w:left="460" w:hanging="460"/>
        <w:rPr>
          <w:rFonts w:ascii="Times New Roman" w:eastAsiaTheme="minorEastAsia" w:hAnsi="Times New Roman"/>
          <w:kern w:val="0"/>
          <w:sz w:val="24"/>
          <w:szCs w:val="24"/>
        </w:rPr>
      </w:pPr>
      <w:r>
        <w:rPr>
          <w:rFonts w:ascii="Times New Roman" w:eastAsiaTheme="minorEastAsia" w:hAnsi="Times New Roman"/>
          <w:color w:val="000000"/>
          <w:kern w:val="0"/>
          <w:sz w:val="20"/>
          <w:szCs w:val="20"/>
        </w:rPr>
        <w:t xml:space="preserve"> 4. </w:t>
      </w:r>
      <w:bookmarkStart w:id="4" w:name="_neb74088D00_B214_4E5D_A453_F90EB0DAB3C4"/>
      <w:r w:rsidRPr="007D10D2">
        <w:rPr>
          <w:rFonts w:ascii="Times New Roman" w:hAnsi="Times New Roman"/>
          <w:color w:val="000000"/>
          <w:kern w:val="0"/>
          <w:sz w:val="20"/>
          <w:szCs w:val="20"/>
        </w:rPr>
        <w:t>Huang KW</w:t>
      </w:r>
      <w:r>
        <w:rPr>
          <w:rFonts w:ascii="Times New Roman" w:hAnsi="Times New Roman" w:hint="eastAsia"/>
          <w:color w:val="000000"/>
          <w:kern w:val="0"/>
          <w:sz w:val="20"/>
          <w:szCs w:val="20"/>
        </w:rPr>
        <w:t>.</w:t>
      </w:r>
      <w:r w:rsidRPr="007D10D2">
        <w:rPr>
          <w:rFonts w:ascii="Times New Roman" w:eastAsiaTheme="minorEastAsia" w:hAnsi="Times New Roman"/>
          <w:color w:val="000000"/>
          <w:kern w:val="0"/>
          <w:sz w:val="20"/>
          <w:szCs w:val="20"/>
        </w:rPr>
        <w:t xml:space="preserve"> </w:t>
      </w:r>
      <w:r>
        <w:rPr>
          <w:rFonts w:ascii="Times New Roman" w:eastAsiaTheme="minorEastAsia" w:hAnsi="Times New Roman"/>
          <w:color w:val="000000"/>
          <w:kern w:val="0"/>
          <w:sz w:val="20"/>
          <w:szCs w:val="20"/>
        </w:rPr>
        <w:t>et al.</w:t>
      </w:r>
      <w:r w:rsidRPr="007D10D2">
        <w:rPr>
          <w:rFonts w:ascii="Times New Roman" w:hAnsi="Times New Roman"/>
          <w:color w:val="000000"/>
          <w:kern w:val="0"/>
          <w:sz w:val="20"/>
          <w:szCs w:val="20"/>
        </w:rPr>
        <w:t xml:space="preserve"> Relationship between hyperhomocysteinemia and transient ischemic attack and prognosis. Guangdong Medicine</w:t>
      </w:r>
      <w:bookmarkEnd w:id="4"/>
      <w:r>
        <w:rPr>
          <w:rFonts w:ascii="Times New Roman" w:eastAsiaTheme="minorEastAsia" w:hAnsi="Times New Roman"/>
          <w:color w:val="000000"/>
          <w:kern w:val="0"/>
          <w:sz w:val="20"/>
          <w:szCs w:val="20"/>
        </w:rPr>
        <w:t xml:space="preserve">. </w:t>
      </w:r>
      <w:r>
        <w:rPr>
          <w:rFonts w:ascii="Times New Roman" w:eastAsiaTheme="minorEastAsia" w:hAnsi="Times New Roman"/>
          <w:b/>
          <w:bCs/>
          <w:color w:val="000000"/>
          <w:kern w:val="0"/>
          <w:sz w:val="20"/>
          <w:szCs w:val="20"/>
        </w:rPr>
        <w:t>36</w:t>
      </w:r>
      <w:r>
        <w:rPr>
          <w:rFonts w:ascii="Times New Roman" w:eastAsiaTheme="minorEastAsia" w:hAnsi="Times New Roman"/>
          <w:color w:val="000000"/>
          <w:kern w:val="0"/>
          <w:sz w:val="20"/>
          <w:szCs w:val="20"/>
        </w:rPr>
        <w:t>, 1568-1570 (2015).</w:t>
      </w:r>
    </w:p>
    <w:p w14:paraId="7CD6C44F" w14:textId="735A7B75" w:rsidR="007D10D2" w:rsidRDefault="007D10D2" w:rsidP="007D10D2">
      <w:pPr>
        <w:autoSpaceDE w:val="0"/>
        <w:autoSpaceDN w:val="0"/>
        <w:adjustRightInd w:val="0"/>
        <w:ind w:left="460" w:hanging="460"/>
        <w:rPr>
          <w:rFonts w:ascii="Times New Roman" w:eastAsiaTheme="minorEastAsia" w:hAnsi="Times New Roman"/>
          <w:kern w:val="0"/>
          <w:sz w:val="24"/>
          <w:szCs w:val="24"/>
        </w:rPr>
      </w:pPr>
      <w:r>
        <w:rPr>
          <w:rFonts w:ascii="Times New Roman" w:eastAsiaTheme="minorEastAsia" w:hAnsi="Times New Roman"/>
          <w:color w:val="000000"/>
          <w:kern w:val="0"/>
          <w:sz w:val="20"/>
          <w:szCs w:val="20"/>
        </w:rPr>
        <w:t xml:space="preserve"> 5. </w:t>
      </w:r>
      <w:bookmarkStart w:id="5" w:name="_neb063D1E13_077C_40D7_AA98_D9733DFB4E60"/>
      <w:r>
        <w:rPr>
          <w:rFonts w:ascii="Times New Roman" w:eastAsiaTheme="minorEastAsia" w:hAnsi="Times New Roman"/>
          <w:color w:val="000000"/>
          <w:kern w:val="0"/>
          <w:sz w:val="20"/>
          <w:szCs w:val="20"/>
        </w:rPr>
        <w:t xml:space="preserve">Wu, X. et al. Association of Homocysteine Level with Risk of Stroke: A Dose-Response Meta-Analysis of Prospective Cohort Studies. </w:t>
      </w:r>
      <w:r>
        <w:rPr>
          <w:rFonts w:ascii="Times New Roman" w:eastAsiaTheme="minorEastAsia" w:hAnsi="Times New Roman"/>
          <w:i/>
          <w:iCs/>
          <w:color w:val="000000"/>
          <w:kern w:val="0"/>
          <w:sz w:val="20"/>
          <w:szCs w:val="20"/>
        </w:rPr>
        <w:t>Nutr. Metab. Carbiovasc. Dis.</w:t>
      </w:r>
      <w:r>
        <w:rPr>
          <w:rFonts w:ascii="Times New Roman" w:eastAsiaTheme="minorEastAsia" w:hAnsi="Times New Roman"/>
          <w:color w:val="000000"/>
          <w:kern w:val="0"/>
          <w:sz w:val="20"/>
          <w:szCs w:val="20"/>
        </w:rPr>
        <w:t xml:space="preserve"> </w:t>
      </w:r>
      <w:r>
        <w:rPr>
          <w:rFonts w:ascii="Times New Roman" w:eastAsiaTheme="minorEastAsia" w:hAnsi="Times New Roman"/>
          <w:b/>
          <w:bCs/>
          <w:color w:val="000000"/>
          <w:kern w:val="0"/>
          <w:sz w:val="20"/>
          <w:szCs w:val="20"/>
        </w:rPr>
        <w:t>30</w:t>
      </w:r>
      <w:r>
        <w:rPr>
          <w:rFonts w:ascii="Times New Roman" w:eastAsiaTheme="minorEastAsia" w:hAnsi="Times New Roman"/>
          <w:color w:val="000000"/>
          <w:kern w:val="0"/>
          <w:sz w:val="20"/>
          <w:szCs w:val="20"/>
        </w:rPr>
        <w:t>, 1861-1869 (2020).</w:t>
      </w:r>
      <w:bookmarkEnd w:id="5"/>
    </w:p>
    <w:p w14:paraId="5635F3AC" w14:textId="275869FB" w:rsidR="007D10D2" w:rsidRDefault="007D10D2" w:rsidP="007D10D2">
      <w:pPr>
        <w:autoSpaceDE w:val="0"/>
        <w:autoSpaceDN w:val="0"/>
        <w:adjustRightInd w:val="0"/>
        <w:ind w:left="460" w:hanging="460"/>
        <w:rPr>
          <w:rFonts w:ascii="Times New Roman" w:eastAsiaTheme="minorEastAsia" w:hAnsi="Times New Roman"/>
          <w:kern w:val="0"/>
          <w:sz w:val="24"/>
          <w:szCs w:val="24"/>
        </w:rPr>
      </w:pPr>
      <w:r>
        <w:rPr>
          <w:rFonts w:ascii="Times New Roman" w:eastAsiaTheme="minorEastAsia" w:hAnsi="Times New Roman"/>
          <w:color w:val="000000"/>
          <w:kern w:val="0"/>
          <w:sz w:val="20"/>
          <w:szCs w:val="20"/>
        </w:rPr>
        <w:t xml:space="preserve"> 6. </w:t>
      </w:r>
      <w:bookmarkStart w:id="6" w:name="_nebB3E0E093_BD43_4E5C_8262_74ED97B3C5F9"/>
      <w:r w:rsidRPr="007D10D2">
        <w:rPr>
          <w:rFonts w:ascii="Times New Roman" w:hAnsi="Times New Roman"/>
          <w:color w:val="000000"/>
          <w:kern w:val="0"/>
          <w:sz w:val="20"/>
          <w:szCs w:val="20"/>
        </w:rPr>
        <w:t xml:space="preserve">(IHME) I F H M A E. GBD compare data visualization. https://vizhub.healthdata.org/gbd-results/. 20208. </w:t>
      </w:r>
      <w:bookmarkEnd w:id="6"/>
    </w:p>
    <w:p w14:paraId="6ED1F9C1" w14:textId="3856C1ED" w:rsidR="007D10D2" w:rsidRDefault="007D10D2" w:rsidP="007D10D2">
      <w:pPr>
        <w:autoSpaceDE w:val="0"/>
        <w:autoSpaceDN w:val="0"/>
        <w:adjustRightInd w:val="0"/>
        <w:ind w:left="460" w:hanging="460"/>
        <w:rPr>
          <w:rFonts w:ascii="Times New Roman" w:eastAsiaTheme="minorEastAsia" w:hAnsi="Times New Roman"/>
          <w:kern w:val="0"/>
          <w:sz w:val="24"/>
          <w:szCs w:val="24"/>
        </w:rPr>
      </w:pPr>
      <w:r>
        <w:rPr>
          <w:rFonts w:ascii="Times New Roman" w:eastAsiaTheme="minorEastAsia" w:hAnsi="Times New Roman"/>
          <w:color w:val="000000"/>
          <w:kern w:val="0"/>
          <w:sz w:val="20"/>
          <w:szCs w:val="20"/>
        </w:rPr>
        <w:t xml:space="preserve"> 7. </w:t>
      </w:r>
      <w:bookmarkStart w:id="7" w:name="_neb58E49A49_269B_4F72_9CF4_3A3E569DB062"/>
      <w:r>
        <w:rPr>
          <w:rFonts w:ascii="Times New Roman" w:eastAsiaTheme="minorEastAsia" w:hAnsi="Times New Roman"/>
          <w:color w:val="000000"/>
          <w:kern w:val="0"/>
          <w:sz w:val="20"/>
          <w:szCs w:val="20"/>
        </w:rPr>
        <w:t xml:space="preserve">Li, Y. et al. Folic Acid Supplementation and the Risk of Cardiovascular Diseases: A Meta-Analysis of Randomized Controlled Trials. </w:t>
      </w:r>
      <w:r>
        <w:rPr>
          <w:rFonts w:ascii="Times New Roman" w:eastAsiaTheme="minorEastAsia" w:hAnsi="Times New Roman"/>
          <w:i/>
          <w:iCs/>
          <w:color w:val="000000"/>
          <w:kern w:val="0"/>
          <w:sz w:val="20"/>
          <w:szCs w:val="20"/>
        </w:rPr>
        <w:t>J. Am. Heart Assoc.</w:t>
      </w:r>
      <w:r>
        <w:rPr>
          <w:rFonts w:ascii="Times New Roman" w:eastAsiaTheme="minorEastAsia" w:hAnsi="Times New Roman"/>
          <w:color w:val="000000"/>
          <w:kern w:val="0"/>
          <w:sz w:val="20"/>
          <w:szCs w:val="20"/>
        </w:rPr>
        <w:t xml:space="preserve"> </w:t>
      </w:r>
      <w:r>
        <w:rPr>
          <w:rFonts w:ascii="Times New Roman" w:eastAsiaTheme="minorEastAsia" w:hAnsi="Times New Roman"/>
          <w:b/>
          <w:bCs/>
          <w:color w:val="000000"/>
          <w:kern w:val="0"/>
          <w:sz w:val="20"/>
          <w:szCs w:val="20"/>
        </w:rPr>
        <w:t>5</w:t>
      </w:r>
      <w:r>
        <w:rPr>
          <w:rFonts w:ascii="Times New Roman" w:eastAsiaTheme="minorEastAsia" w:hAnsi="Times New Roman"/>
          <w:color w:val="000000"/>
          <w:kern w:val="0"/>
          <w:sz w:val="20"/>
          <w:szCs w:val="20"/>
        </w:rPr>
        <w:t>, (2016).</w:t>
      </w:r>
      <w:bookmarkEnd w:id="7"/>
    </w:p>
    <w:p w14:paraId="08674D04" w14:textId="616D4757" w:rsidR="007D10D2" w:rsidRDefault="007D10D2" w:rsidP="007D10D2">
      <w:pPr>
        <w:autoSpaceDE w:val="0"/>
        <w:autoSpaceDN w:val="0"/>
        <w:adjustRightInd w:val="0"/>
        <w:ind w:left="460" w:hanging="460"/>
        <w:rPr>
          <w:rFonts w:ascii="Times New Roman" w:eastAsiaTheme="minorEastAsia" w:hAnsi="Times New Roman"/>
          <w:kern w:val="0"/>
          <w:sz w:val="24"/>
          <w:szCs w:val="24"/>
        </w:rPr>
      </w:pPr>
      <w:r>
        <w:rPr>
          <w:rFonts w:ascii="Times New Roman" w:eastAsiaTheme="minorEastAsia" w:hAnsi="Times New Roman"/>
          <w:color w:val="000000"/>
          <w:kern w:val="0"/>
          <w:sz w:val="20"/>
          <w:szCs w:val="20"/>
        </w:rPr>
        <w:t xml:space="preserve"> 8. </w:t>
      </w:r>
      <w:bookmarkStart w:id="8" w:name="_nebAF99901A_A285_4BD6_B6C2_5FD8AA8507D9"/>
      <w:r>
        <w:rPr>
          <w:rFonts w:ascii="Times New Roman" w:eastAsiaTheme="minorEastAsia" w:hAnsi="Times New Roman"/>
          <w:color w:val="000000"/>
          <w:kern w:val="0"/>
          <w:sz w:val="20"/>
          <w:szCs w:val="20"/>
        </w:rPr>
        <w:t>Xiu, L. L. et al. Low and High Homocysteine are Associated with Mortality Independent of B</w:t>
      </w:r>
      <w:r>
        <w:rPr>
          <w:rFonts w:ascii="Times New Roman" w:eastAsiaTheme="minorEastAsia" w:hAnsi="Times New Roman" w:hint="eastAsia"/>
          <w:color w:val="000000"/>
          <w:kern w:val="0"/>
          <w:sz w:val="20"/>
          <w:szCs w:val="20"/>
        </w:rPr>
        <w:t xml:space="preserve"> </w:t>
      </w:r>
      <w:r>
        <w:rPr>
          <w:rFonts w:ascii="Times New Roman" w:eastAsiaTheme="minorEastAsia" w:hAnsi="Times New Roman"/>
          <w:color w:val="000000"/>
          <w:kern w:val="0"/>
          <w:sz w:val="20"/>
          <w:szCs w:val="20"/>
        </w:rPr>
        <w:t xml:space="preserve">Group Vitamins but Interactive with Cognitive Status in a Free-Living Elderly Cohort. </w:t>
      </w:r>
      <w:r>
        <w:rPr>
          <w:rFonts w:ascii="Times New Roman" w:eastAsiaTheme="minorEastAsia" w:hAnsi="Times New Roman"/>
          <w:i/>
          <w:iCs/>
          <w:color w:val="000000"/>
          <w:kern w:val="0"/>
          <w:sz w:val="20"/>
          <w:szCs w:val="20"/>
        </w:rPr>
        <w:t>Nutr. Res.</w:t>
      </w:r>
      <w:r>
        <w:rPr>
          <w:rFonts w:ascii="Times New Roman" w:eastAsiaTheme="minorEastAsia" w:hAnsi="Times New Roman"/>
          <w:color w:val="000000"/>
          <w:kern w:val="0"/>
          <w:sz w:val="20"/>
          <w:szCs w:val="20"/>
        </w:rPr>
        <w:t xml:space="preserve"> </w:t>
      </w:r>
      <w:r>
        <w:rPr>
          <w:rFonts w:ascii="Times New Roman" w:eastAsiaTheme="minorEastAsia" w:hAnsi="Times New Roman"/>
          <w:b/>
          <w:bCs/>
          <w:color w:val="000000"/>
          <w:kern w:val="0"/>
          <w:sz w:val="20"/>
          <w:szCs w:val="20"/>
        </w:rPr>
        <w:t>32</w:t>
      </w:r>
      <w:r>
        <w:rPr>
          <w:rFonts w:ascii="Times New Roman" w:eastAsiaTheme="minorEastAsia" w:hAnsi="Times New Roman"/>
          <w:color w:val="000000"/>
          <w:kern w:val="0"/>
          <w:sz w:val="20"/>
          <w:szCs w:val="20"/>
        </w:rPr>
        <w:t>, 928-939 (2012).</w:t>
      </w:r>
      <w:bookmarkEnd w:id="8"/>
    </w:p>
    <w:p w14:paraId="7E023524" w14:textId="47FFF209" w:rsidR="007D10D2" w:rsidRDefault="007D10D2" w:rsidP="007D10D2">
      <w:pPr>
        <w:autoSpaceDE w:val="0"/>
        <w:autoSpaceDN w:val="0"/>
        <w:adjustRightInd w:val="0"/>
        <w:ind w:left="460" w:hanging="460"/>
        <w:rPr>
          <w:rFonts w:ascii="Times New Roman" w:eastAsiaTheme="minorEastAsia" w:hAnsi="Times New Roman"/>
          <w:kern w:val="0"/>
          <w:sz w:val="24"/>
          <w:szCs w:val="24"/>
        </w:rPr>
      </w:pPr>
      <w:r>
        <w:rPr>
          <w:rFonts w:ascii="Times New Roman" w:eastAsiaTheme="minorEastAsia" w:hAnsi="Times New Roman"/>
          <w:color w:val="000000"/>
          <w:kern w:val="0"/>
          <w:sz w:val="20"/>
          <w:szCs w:val="20"/>
        </w:rPr>
        <w:t xml:space="preserve"> 9. </w:t>
      </w:r>
      <w:bookmarkStart w:id="9" w:name="_neb7944DCE7_B3A8_49A1_84F2_319641AF390A"/>
      <w:r>
        <w:rPr>
          <w:rFonts w:ascii="Times New Roman" w:eastAsiaTheme="minorEastAsia" w:hAnsi="Times New Roman"/>
          <w:color w:val="000000"/>
          <w:kern w:val="0"/>
          <w:sz w:val="20"/>
          <w:szCs w:val="20"/>
        </w:rPr>
        <w:t xml:space="preserve">Lioutas, V. A. et al. Incidence of Transient Ischemic Attack and Association with Long-Term Risk of Stroke. </w:t>
      </w:r>
      <w:r>
        <w:rPr>
          <w:rFonts w:ascii="Times New Roman" w:eastAsiaTheme="minorEastAsia" w:hAnsi="Times New Roman"/>
          <w:i/>
          <w:iCs/>
          <w:color w:val="000000"/>
          <w:kern w:val="0"/>
          <w:sz w:val="20"/>
          <w:szCs w:val="20"/>
        </w:rPr>
        <w:t>Jama.</w:t>
      </w:r>
      <w:r>
        <w:rPr>
          <w:rFonts w:ascii="Times New Roman" w:eastAsiaTheme="minorEastAsia" w:hAnsi="Times New Roman"/>
          <w:color w:val="000000"/>
          <w:kern w:val="0"/>
          <w:sz w:val="20"/>
          <w:szCs w:val="20"/>
        </w:rPr>
        <w:t xml:space="preserve"> </w:t>
      </w:r>
      <w:r>
        <w:rPr>
          <w:rFonts w:ascii="Times New Roman" w:eastAsiaTheme="minorEastAsia" w:hAnsi="Times New Roman"/>
          <w:b/>
          <w:bCs/>
          <w:color w:val="000000"/>
          <w:kern w:val="0"/>
          <w:sz w:val="20"/>
          <w:szCs w:val="20"/>
        </w:rPr>
        <w:t>325</w:t>
      </w:r>
      <w:r>
        <w:rPr>
          <w:rFonts w:ascii="Times New Roman" w:eastAsiaTheme="minorEastAsia" w:hAnsi="Times New Roman"/>
          <w:color w:val="000000"/>
          <w:kern w:val="0"/>
          <w:sz w:val="20"/>
          <w:szCs w:val="20"/>
        </w:rPr>
        <w:t>, 373-381 (2021).</w:t>
      </w:r>
      <w:bookmarkEnd w:id="9"/>
    </w:p>
    <w:p w14:paraId="35BDAA1A" w14:textId="67A56045" w:rsidR="007D10D2" w:rsidRDefault="007D10D2" w:rsidP="007D10D2">
      <w:pPr>
        <w:autoSpaceDE w:val="0"/>
        <w:autoSpaceDN w:val="0"/>
        <w:adjustRightInd w:val="0"/>
        <w:ind w:left="460" w:hanging="460"/>
        <w:rPr>
          <w:rFonts w:ascii="Times New Roman" w:eastAsiaTheme="minorEastAsia" w:hAnsi="Times New Roman"/>
          <w:kern w:val="0"/>
          <w:sz w:val="24"/>
          <w:szCs w:val="24"/>
        </w:rPr>
      </w:pPr>
      <w:r>
        <w:rPr>
          <w:rFonts w:ascii="Times New Roman" w:eastAsiaTheme="minorEastAsia" w:hAnsi="Times New Roman"/>
          <w:color w:val="000000"/>
          <w:kern w:val="0"/>
          <w:sz w:val="20"/>
          <w:szCs w:val="20"/>
        </w:rPr>
        <w:t xml:space="preserve">10. </w:t>
      </w:r>
      <w:r w:rsidRPr="007D10D2">
        <w:rPr>
          <w:rFonts w:ascii="Times New Roman" w:hAnsi="Times New Roman"/>
          <w:color w:val="000000"/>
          <w:kern w:val="0"/>
          <w:sz w:val="20"/>
          <w:szCs w:val="20"/>
        </w:rPr>
        <w:t>Chinese Stroke Center. Chinese Stroke Prevention and Treatment Report 2016. 2016.http://202.38.153.203:9958/healthcare/topicanalysis_report</w:t>
      </w:r>
      <w:r>
        <w:rPr>
          <w:rFonts w:ascii="Times New Roman" w:hAnsi="Times New Roman" w:hint="eastAsia"/>
          <w:color w:val="000000"/>
          <w:kern w:val="0"/>
          <w:sz w:val="20"/>
          <w:szCs w:val="20"/>
        </w:rPr>
        <w:t>(2023)</w:t>
      </w:r>
      <w:r w:rsidRPr="007D10D2">
        <w:rPr>
          <w:rFonts w:ascii="Times New Roman" w:hAnsi="Times New Roman"/>
          <w:color w:val="000000"/>
          <w:kern w:val="0"/>
          <w:sz w:val="20"/>
          <w:szCs w:val="20"/>
        </w:rPr>
        <w:t>.</w:t>
      </w:r>
    </w:p>
    <w:p w14:paraId="48338362" w14:textId="40F510D2" w:rsidR="007D10D2" w:rsidRDefault="007D10D2" w:rsidP="007D10D2">
      <w:pPr>
        <w:autoSpaceDE w:val="0"/>
        <w:autoSpaceDN w:val="0"/>
        <w:adjustRightInd w:val="0"/>
        <w:ind w:left="460" w:hanging="460"/>
        <w:rPr>
          <w:rFonts w:ascii="Times New Roman" w:eastAsiaTheme="minorEastAsia" w:hAnsi="Times New Roman"/>
          <w:kern w:val="0"/>
          <w:sz w:val="24"/>
          <w:szCs w:val="24"/>
        </w:rPr>
      </w:pPr>
      <w:r>
        <w:rPr>
          <w:rFonts w:ascii="Times New Roman" w:eastAsiaTheme="minorEastAsia" w:hAnsi="Times New Roman"/>
          <w:color w:val="000000"/>
          <w:kern w:val="0"/>
          <w:sz w:val="20"/>
          <w:szCs w:val="20"/>
        </w:rPr>
        <w:t xml:space="preserve">11. </w:t>
      </w:r>
      <w:bookmarkStart w:id="10" w:name="_neb7B5C6C93_E1CB_4A38_B48D_FB291650F908"/>
      <w:r>
        <w:rPr>
          <w:rFonts w:ascii="Times New Roman" w:eastAsiaTheme="minorEastAsia" w:hAnsi="Times New Roman"/>
          <w:color w:val="000000"/>
          <w:kern w:val="0"/>
          <w:sz w:val="20"/>
          <w:szCs w:val="20"/>
        </w:rPr>
        <w:t xml:space="preserve">Chutoo, P. et al. LongTerm Survival After a First Transient Ischaemic Attack in England: A Retrospective Matched Cohort Study. </w:t>
      </w:r>
      <w:r>
        <w:rPr>
          <w:rFonts w:ascii="Times New Roman" w:eastAsiaTheme="minorEastAsia" w:hAnsi="Times New Roman"/>
          <w:i/>
          <w:iCs/>
          <w:color w:val="000000"/>
          <w:kern w:val="0"/>
          <w:sz w:val="20"/>
          <w:szCs w:val="20"/>
        </w:rPr>
        <w:t>J. Stroke Cerebrovasc. Dis.</w:t>
      </w:r>
      <w:r>
        <w:rPr>
          <w:rFonts w:ascii="Times New Roman" w:eastAsiaTheme="minorEastAsia" w:hAnsi="Times New Roman"/>
          <w:color w:val="000000"/>
          <w:kern w:val="0"/>
          <w:sz w:val="20"/>
          <w:szCs w:val="20"/>
        </w:rPr>
        <w:t xml:space="preserve"> </w:t>
      </w:r>
      <w:r>
        <w:rPr>
          <w:rFonts w:ascii="Times New Roman" w:eastAsiaTheme="minorEastAsia" w:hAnsi="Times New Roman"/>
          <w:b/>
          <w:bCs/>
          <w:color w:val="000000"/>
          <w:kern w:val="0"/>
          <w:sz w:val="20"/>
          <w:szCs w:val="20"/>
        </w:rPr>
        <w:t>31</w:t>
      </w:r>
      <w:r>
        <w:rPr>
          <w:rFonts w:ascii="Times New Roman" w:eastAsiaTheme="minorEastAsia" w:hAnsi="Times New Roman"/>
          <w:color w:val="000000"/>
          <w:kern w:val="0"/>
          <w:sz w:val="20"/>
          <w:szCs w:val="20"/>
        </w:rPr>
        <w:t>, 106663 (2022).</w:t>
      </w:r>
      <w:bookmarkEnd w:id="10"/>
    </w:p>
    <w:p w14:paraId="6F6E7E4E" w14:textId="212C9FEC" w:rsidR="0097404C" w:rsidRPr="007D10D2" w:rsidRDefault="00865821" w:rsidP="00865821">
      <w:pPr>
        <w:rPr>
          <w:rFonts w:ascii="Times New Roman" w:hAnsi="Times New Roman"/>
          <w:color w:val="000000"/>
          <w:kern w:val="0"/>
          <w:sz w:val="20"/>
          <w:szCs w:val="20"/>
        </w:rPr>
      </w:pPr>
      <w:r w:rsidRPr="00304F6E">
        <w:rPr>
          <w:rFonts w:ascii="Times New Roman" w:hAnsi="Times New Roman"/>
          <w:color w:val="000000"/>
          <w:kern w:val="0"/>
          <w:sz w:val="20"/>
          <w:szCs w:val="20"/>
        </w:rPr>
        <w:fldChar w:fldCharType="end"/>
      </w:r>
    </w:p>
    <w:sectPr w:rsidR="0097404C" w:rsidRPr="007D10D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9F069D" w14:textId="77777777" w:rsidR="00175224" w:rsidRDefault="00175224" w:rsidP="005D2D3C">
      <w:r>
        <w:separator/>
      </w:r>
    </w:p>
  </w:endnote>
  <w:endnote w:type="continuationSeparator" w:id="0">
    <w:p w14:paraId="48DB87FE" w14:textId="77777777" w:rsidR="00175224" w:rsidRDefault="00175224" w:rsidP="005D2D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egoe UI">
    <w:altName w:val="苹方-简"/>
    <w:panose1 w:val="020B0502040204020203"/>
    <w:charset w:val="00"/>
    <w:family w:val="swiss"/>
    <w:pitch w:val="variable"/>
    <w:sig w:usb0="E4002EFF" w:usb1="C000E47F"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E2168F" w14:textId="77777777" w:rsidR="00175224" w:rsidRDefault="00175224" w:rsidP="005D2D3C">
      <w:r>
        <w:separator/>
      </w:r>
    </w:p>
  </w:footnote>
  <w:footnote w:type="continuationSeparator" w:id="0">
    <w:p w14:paraId="1A3CD644" w14:textId="77777777" w:rsidR="00175224" w:rsidRDefault="00175224" w:rsidP="005D2D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bordersDoNotSurroundHeader/>
  <w:bordersDoNotSurroundFooter/>
  <w:proofState w:spelling="clean" w:grammar="clean"/>
  <w:documentProtection w:edit="trackedChanges" w:enforcement="0"/>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jkxYzNkNThkMGI5NjU2MGE3ZTRmMmUwYjVkNGU3MjEifQ=="/>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 w:name="NE.Ref{17993919-11E8-4F77-B330-EF754E6C21A7}" w:val=" ADDIN NE.Ref.{17993919-11E8-4F77-B330-EF754E6C21A7}&lt;Citation&gt;&lt;Group&gt;&lt;References&gt;&lt;Item&gt;&lt;ID&gt;579&lt;/ID&gt;&lt;UID&gt;{5969F0EC-44E1-4118-A632-14F05E5AD0F0}&lt;/UID&gt;&lt;Title&gt;Prevalence of Hyperhomocysteinemia in China: An Updated Meta-Analysis&lt;/Title&gt;&lt;Template&gt;Journal Article&lt;/Template&gt;&lt;Star&gt;0&lt;/Star&gt;&lt;Tag&gt;5&lt;/Tag&gt;&lt;Author&gt;Zeng, Y; Li, F F; Yuan, S Q; Tang, H K; Zhou, J H; He, Q Y; Baker, J S; Dong, Y H; Yang, Y D&lt;/Author&gt;&lt;Year&gt;2021&lt;/Year&gt;&lt;Details&gt;&lt;_accession_num&gt;34681058&lt;/_accession_num&gt;&lt;_author_adr&gt;Key Laboratory of Molecular Epidemiology of Hunan Province, School of Medicine,  Hunan Normal University, Changsha 410081, China.; Centre for Health and Exercise Science Research, Hong Kong Baptist University,  Kowloon Tong, Hong Kong 999077, China.; Centre for Health and Exercise Science Research, Department of Sport, Physical  Education and Health, Hong Kong Baptist University, Kowloon Tong, Hong Kong  999077, China.; Key Laboratory of Molecular Epidemiology of Hunan Province, School of Medicine,  Hunan Normal University, Changsha 410081, China.; Key Laboratory of Molecular Epidemiology of Hunan Province, School of Medicine,  Hunan Normal University, Changsha 410081, China.; Key Laboratory of Molecular Epidemiology of Hunan Province, School of Medicine,  Hunan Normal University, Changsha 410081, China.; Key Laboratory of Molecular Epidemiology of Hunan Province, School of Medicine,  Hunan Normal University, Changsha 410081, China.; Centre for Health and Exercise Science Research, Hong Kong Baptist University,  Kowloon Tong, Hong Kong 999077, China.; Centre for Health and Exercise Science Research, Department of Sport, Physical  Education and Health, Hong Kong Baptist University, Kowloon Tong, Hong Kong  999077, China.; Institute of Child and Adolescent Health, School of Public Health, Peking  University Health Science Center, Beijing 100191, China.; Key Laboratory of Molecular Epidemiology of Hunan Province, School of Medicine,  Hunan Normal University, Changsha 410081, China.&lt;/_author_adr&gt;&lt;_collection_scope&gt;SCIE&lt;/_collection_scope&gt;&lt;_created&gt;65410406&lt;/_created&gt;&lt;_date&gt;2021-09-26&lt;/_date&gt;&lt;_date_display&gt;2021 Sep 26&lt;/_date_display&gt;&lt;_db_updated&gt;PubMed&lt;/_db_updated&gt;&lt;_doi&gt;10.3390/biology10100959&lt;/_doi&gt;&lt;_impact_factor&gt;   4.200&lt;/_impact_factor&gt;&lt;_isbn&gt;2079-7737 (Print); 2079-7737 (Electronic); 2079-7737 (Linking)&lt;/_isbn&gt;&lt;_issue&gt;10&lt;/_issue&gt;&lt;_journal&gt;Biology (Basel)&lt;/_journal&gt;&lt;_keywords&gt;China; hyperhomocysteinemia; prevalence; updated meta-analysis&lt;/_keywords&gt;&lt;_language&gt;eng&lt;/_language&gt;&lt;_modified&gt;65412089&lt;/_modified&gt;&lt;_social_category&gt;生物学(3)&lt;/_social_category&gt;&lt;_tertiary_title&gt;Biology&lt;/_tertiary_title&gt;&lt;_type_work&gt;Journal Article; Review&lt;/_type_work&gt;&lt;_url&gt;http://www.ncbi.nlm.nih.gov/entrez/query.fcgi?cmd=Retrieve&amp;amp;db=pubmed&amp;amp;dopt=Abstract&amp;amp;list_uids=34681058&amp;amp;query_hl=1&lt;/_url&gt;&lt;_volume&gt;10&lt;/_volume&gt;&lt;/Details&gt;&lt;Extra&gt;&lt;DBUID&gt;{03752FAB-B361-4F66-989B-C711D9502F78}&lt;/DBUID&gt;&lt;/Extra&gt;&lt;/Item&gt;&lt;/References&gt;&lt;/Group&gt;&lt;Group&gt;&lt;References&gt;&lt;Item&gt;&lt;ID&gt;566&lt;/ID&gt;&lt;UID&gt;{063D1E13-077C-40D7-AA98-D9733DFB4E60}&lt;/UID&gt;&lt;Title&gt;Association of homocysteine level with risk of stroke: A dose-response  meta-analysis of prospective cohort studies&lt;/Title&gt;&lt;Template&gt;Journal Article&lt;/Template&gt;&lt;Star&gt;0&lt;/Star&gt;&lt;Tag&gt;5&lt;/Tag&gt;&lt;Author&gt;Wu, X; Zhou, Q; Chen, Q; Li, Q; Guo, C; Tian, G; Qie, R; Han, M; Huang, S; Li, Y; Yang, X; Zhao, Y; Feng, Y; Liu, D; Qin, P; Hu, D; Zhang, M&lt;/Author&gt;&lt;Year&gt;2020&lt;/Year&gt;&lt;Details&gt;&lt;_accession_num&gt;32912796&lt;/_accession_num&gt;&lt;_author_adr&gt;Department of Epidemiology and Health Statistics, School of Public Health,  Shenzhen University Health Science Center, Shenzhen, Guangdong, People&amp;apos;s Republic  of China.; Department of Epidemiology and Health Statistics, School of Public Health,  Shenzhen University Health Science Center, Shenzhen, Guangdong, People&amp;apos;s Republic  of China.; Department of Mental Health, Bao&amp;apos;an Chronic Diseases Prevent and Cure Hospital,  Shenzhen, Guangdong, People&amp;apos;s Republic of China.; Department of Epidemiology and Health Statistics, College of Public Health,  Zhengzhou University, Henan, People&amp;apos;s Republic of China.; Department of Epidemiology and Health Statistics, College of Public Health,  Zhengzhou University, Henan, People&amp;apos;s Republic of China.; Department of Epidemiology and Health Statistics, College of Public Health,  Zhengzhou University, Henan, People&amp;apos;s Republic of China.; Department of Epidemiology and Health Statistics, College of Public Health,  Zhengzhou University, Henan, People&amp;apos;s Republic of China.; Department of Mental Health, Bao&amp;apos;an Chronic Diseases Prevent and Cure Hospital,  Shenzhen, Guangdong, People&amp;apos;s Republic of China.; Department of Mental Health, Bao&amp;apos;an Chronic Diseases Prevent and Cure Hospital,  Shenzhen, Guangdong, People&amp;apos;s Republic of China.; Department of Mental Health, Bao&amp;apos;an Chronic Diseases Prevent and Cure Hospital,  Shenzhen, Guangdong, People&amp;apos;s Republic of China.; Department of Epidemiology and Health Statistics, College of Public Health,  Zhengzhou University, Henan, People&amp;apos;s Republic of China.; Department of Epidemiology and Health Statistics, College of Public Health,  Zhengzhou University, Henan, People&amp;apos;s Republic of China.; Department of Epidemiology and Health Statistics, College of Public Health,  Zhengzhou University, Henan, People&amp;apos;s Republic of China.; Department of Epidemiology and Health Statistics, College of Public Health,  Zhengzhou University, Henan, People&amp;apos;s Republic of China.; Department of Epidemiology and Health Statistics, School of Public Health,  Shenzhen University Health Science Center, Shenzhen, Guangdong, People&amp;apos;s Republic  of China.; Department of Epidemiology and Health Statistics, School of Public Health,  Shenzhen University Health Science Center, Shenzhen, Guangdong, People&amp;apos;s Republic  of China; Department of Mental Health, Bao&amp;apos;an Chronic Diseases Prevent and Cure  Hospital, Shenzhen, Guangdong, People&amp;apos;s Republic of China; Department of  Epidemiology and Health Statistics, College of Public Health, Zhengzhou  University, Henan, People&amp;apos;s Republic of China.; Department of Epidemiology and Health Statistics, School of Public Health,  Shenzhen University Health Science Center, Shenzhen, Guangdong, People&amp;apos;s Republic  of China. Electronic address: zhangming1720@sina.com.&lt;/_author_adr&gt;&lt;_collection_scope&gt;SCIE&lt;/_collection_scope&gt;&lt;_created&gt;65410316&lt;/_created&gt;&lt;_date&gt;2020-10-30&lt;/_date&gt;&lt;_date_display&gt;2020 Oct 30&lt;/_date_display&gt;&lt;_db_updated&gt;PubMed&lt;/_db_updated&gt;&lt;_doi&gt;10.1016/j.numecd.2020.07.026&lt;/_doi&gt;&lt;_impact_factor&gt;   3.900&lt;/_impact_factor&gt;&lt;_isbn&gt;1590-3729 (Electronic); 0939-4753 (Linking)&lt;/_isbn&gt;&lt;_issue&gt;11&lt;/_issue&gt;&lt;_journal&gt;Nutr Metab Cardiovasc Dis&lt;/_journal&gt;&lt;_keywords&gt;Dose-response; Homocysteine; Meta-analysis; Prospective cohort studies; Stroke&lt;/_keywords&gt;&lt;_language&gt;eng&lt;/_language&gt;&lt;_modified&gt;65412087&lt;/_modified&gt;&lt;_ori_publication&gt;Copyright (c) 2020 The Italian Diabetes Society, the Italian Society for the Study _x000d__x000a_      of Atherosclerosis, the Italian Society of Human Nutrition and the Department of _x000d__x000a_      Clinical Medicine and Surgery, Federico II University. Published by Elsevier B.V. _x000d__x000a_      All rights reserved.&lt;/_ori_publication&gt;&lt;_pages&gt;1861-1869&lt;/_pages&gt;&lt;_social_category&gt;心脏和心血管系统(3) &amp;amp; 内分泌学与代谢(3) &amp;amp; 营养学(3)&lt;/_social_category&gt;&lt;_subject_headings&gt;Aged; Biomarkers/blood; Female; Homocysteine/*blood; Humans; Hyperhomocysteinemia/*blood/diagnosis/epidemiology; Male; Middle Aged; Prospective Studies; Risk Assessment; Risk Factors; Stroke/diagnosis/*epidemiology; Up-Regulation&lt;/_subject_headings&gt;&lt;_tertiary_title&gt;Nutrition, metabolism, and cardiovascular diseases : NMCD&lt;/_tertiary_title&gt;&lt;_type_work&gt;Journal Article; Meta-Analysis; Research Support, Non-U.S. Gov&amp;apos;t; Systematic Review&lt;/_type_work&gt;&lt;_url&gt;http://www.ncbi.nlm.nih.gov/entrez/query.fcgi?cmd=Retrieve&amp;amp;db=pubmed&amp;amp;dopt=Abstract&amp;amp;list_uids=32912796&amp;amp;query_hl=1&lt;/_url&gt;&lt;_volume&gt;30&lt;/_volume&gt;&lt;/Details&gt;&lt;Extra&gt;&lt;DBUID&gt;{03752FAB-B361-4F66-989B-C711D9502F78}&lt;/DBUID&gt;&lt;/Extra&gt;&lt;/Item&gt;&lt;/References&gt;&lt;/Group&gt;&lt;Group&gt;&lt;References&gt;&lt;Item&gt;&lt;ID&gt;574&lt;/ID&gt;&lt;UID&gt;{B3E0E093-BD43-4E5C-8262-74ED97B3C5F9}&lt;/UID&gt;&lt;Title&gt;短暂性脑缺血发作的住院费用构成及其影响因素分析&lt;/Title&gt;&lt;Template&gt;Thesis&lt;/Template&gt;&lt;Star&gt;0&lt;/Star&gt;&lt;Tag&gt;5&lt;/Tag&gt;&lt;Author&gt;张婷婷&lt;/Author&gt;&lt;Year&gt;2010&lt;/Year&gt;&lt;Details&gt;&lt;_cited_count&gt;1&lt;/_cited_count&gt;&lt;_created&gt;65410383&lt;/_created&gt;&lt;_db_updated&gt;CNKI - Reference&lt;/_db_updated&gt;&lt;_keywords&gt;短暂性脑缺血发作;住院费用;影响因素;多元线性回归分析&lt;/_keywords&gt;&lt;_modified&gt;65412090&lt;/_modified&gt;&lt;_pages&gt;33&lt;/_pages&gt;&lt;_publisher&gt;大连医科大学&lt;/_publisher&gt;&lt;_tertiary_author&gt;赵杰&lt;/_tertiary_author&gt;&lt;_url&gt;https://kns.cnki.net/kcms2/article/abstract?v=FC2wxXHna7pURa_2SQea9PMDx9FnJ4hg9azV3EyGUagyLbPeTAwJs4EQXx6iBwjrCIW_oyv7yjPcDqJFMfk_GG2hx97RlUUGKNM0OfsDtWgEA_LgfZ7kETOszsqh2bDV5ujcYrg1pYWLXblgIv8WaQ==&amp;amp;uniplatform=NZKPT&amp;amp;language=CHS&lt;/_url&gt;&lt;_volume&gt;硕士&lt;/_volume&gt;&lt;_translated_author&gt;Zhang, Ting ting&lt;/_translated_author&gt;&lt;_translated_tertiary_author&gt;Zhao, Jie&lt;/_translated_tertiary_author&gt;&lt;/Details&gt;&lt;Extra&gt;&lt;DBUID&gt;{03752FAB-B361-4F66-989B-C711D9502F78}&lt;/DBUID&gt;&lt;/Extra&gt;&lt;/Item&gt;&lt;/References&gt;&lt;/Group&gt;&lt;Group&gt;&lt;References&gt;&lt;Item&gt;&lt;ID&gt;567&lt;/ID&gt;&lt;UID&gt;{58E49A49-269B-4F72-9CF4-3A3E569DB062}&lt;/UID&gt;&lt;Title&gt;Folic Acid Supplementation and the Risk of Cardiovascular Diseases: A  Meta-Analysis of Randomized Controlled Trials&lt;/Title&gt;&lt;Template&gt;Journal Article&lt;/Template&gt;&lt;Star&gt;0&lt;/Star&gt;&lt;Tag&gt;5&lt;/Tag&gt;&lt;Author&gt;Li, Y; Huang, T; Zheng, Y; Muka, T; Troup, J; Hu, F B&lt;/Author&gt;&lt;Year&gt;2016&lt;/Year&gt;&lt;Details&gt;&lt;_accession_num&gt;27528407&lt;/_accession_num&gt;&lt;_author_adr&gt;Department of Nutrition, Harvard T.H. Chan School of Public Health, Boston, MA.; Department of Nutrition, Harvard T.H. Chan School of Public Health, Boston, MA  Channing Division of Network Medicine, Department of Medicine, Brigham and  Women&amp;apos;s Hospital, Harvard Medical School, Boston, MA.; Department of Nutrition, Harvard T.H. Chan School of Public Health, Boston, MA.; Department of Epidemiology, Erasmus MC, Rotterdam, The Netherlands.; Department of Epidemiology, Erasmus MC, Rotterdam, The Netherlands.; Department of Nutrition, Harvard T.H. Chan School of Public Health, Boston, MA  Department of Epidemiology, Harvard T.H. Chan School of Public Health, Boston, MA  Channing Division of Network Medicine, Department of Medicine, Brigham and  Women&amp;apos;s Hospital, Harvard Medical School, Boston, MA nhbfh@channing.harvard.edu.&lt;/_author_adr&gt;&lt;_collection_scope&gt;SCIE&lt;/_collection_scope&gt;&lt;_created&gt;65410319&lt;/_created&gt;&lt;_date&gt;2016-08-15&lt;/_date&gt;&lt;_date_display&gt;2016 Aug 15&lt;/_date_display&gt;&lt;_db_updated&gt;PubMed&lt;/_db_updated&gt;&lt;_doi&gt;10.1161/JAHA.116.003768&lt;/_doi&gt;&lt;_impact_factor&gt;   5.400&lt;/_impact_factor&gt;&lt;_isbn&gt;2047-9980 (Electronic); 2047-9980 (Linking)&lt;/_isbn&gt;&lt;_issue&gt;8&lt;/_issue&gt;&lt;_journal&gt;J Am Heart Assoc&lt;/_journal&gt;&lt;_keywords&gt;cardiovascular disease prevention; folate; stroke prevention&lt;/_keywords&gt;&lt;_language&gt;eng&lt;/_language&gt;&lt;_modified&gt;65412087&lt;/_modified&gt;&lt;_ori_publication&gt;(c) 2016 The Authors. Published on behalf of the American Heart Association, Inc., _x000d__x000a_      by Wiley Blackwell.&lt;/_ori_publication&gt;&lt;_social_category&gt;心脏和心血管系统(2)&lt;/_social_category&gt;&lt;_subject_headings&gt;Aged; Cardiovascular Diseases/*prevention &amp;amp; control; Coronary Disease/prevention &amp;amp; control; Dietary Supplements; Female; Folic Acid/*administration &amp;amp; dosage; Humans; Hyperhomocysteinemia/*prevention &amp;amp; control; Male; Middle Aged; Randomized Controlled Trials as Topic; Risk Factors; Stroke/prevention &amp;amp; control&lt;/_subject_headings&gt;&lt;_tertiary_title&gt;Journal of the American Heart Association&lt;/_tertiary_title&gt;&lt;_type_work&gt;Journal Article; Meta-Analysis; Research Support, Non-U.S. Gov&amp;apos;t; Review&lt;/_type_work&gt;&lt;_url&gt;http://www.ncbi.nlm.nih.gov/entrez/query.fcgi?cmd=Retrieve&amp;amp;db=pubmed&amp;amp;dopt=Abstract&amp;amp;list_uids=27528407&amp;amp;query_hl=1&lt;/_url&gt;&lt;_volume&gt;5&lt;/_volume&gt;&lt;/Details&gt;&lt;Extra&gt;&lt;DBUID&gt;{03752FAB-B361-4F66-989B-C711D9502F78}&lt;/DBUID&gt;&lt;/Extra&gt;&lt;/Item&gt;&lt;/References&gt;&lt;/Group&gt;&lt;/Citation&gt;_x000a_"/>
    <w:docVar w:name="NE.Ref{2B269B7A-397E-4B79-ACCC-2457F74F51E6}" w:val=" ADDIN NE.Ref.{2B269B7A-397E-4B79-ACCC-2457F74F51E6}&lt;Citation&gt;&lt;Group&gt;&lt;References&gt;&lt;Item&gt;&lt;ID&gt;579&lt;/ID&gt;&lt;UID&gt;{5969F0EC-44E1-4118-A632-14F05E5AD0F0}&lt;/UID&gt;&lt;Title&gt;Prevalence of Hyperhomocysteinemia in China: An Updated Meta-Analysis&lt;/Title&gt;&lt;Template&gt;Journal Article&lt;/Template&gt;&lt;Star&gt;0&lt;/Star&gt;&lt;Tag&gt;5&lt;/Tag&gt;&lt;Author&gt;Zeng, Y; Li, F F; Yuan, S Q; Tang, H K; Zhou, J H; He, Q Y; Baker, J S; Dong, Y H; Yang, Y D&lt;/Author&gt;&lt;Year&gt;2021&lt;/Year&gt;&lt;Details&gt;&lt;_accession_num&gt;34681058&lt;/_accession_num&gt;&lt;_author_adr&gt;Key Laboratory of Molecular Epidemiology of Hunan Province, School of Medicine,  Hunan Normal University, Changsha 410081, China.; Centre for Health and Exercise Science Research, Hong Kong Baptist University,  Kowloon Tong, Hong Kong 999077, China.; Centre for Health and Exercise Science Research, Department of Sport, Physical  Education and Health, Hong Kong Baptist University, Kowloon Tong, Hong Kong  999077, China.; Key Laboratory of Molecular Epidemiology of Hunan Province, School of Medicine,  Hunan Normal University, Changsha 410081, China.; Key Laboratory of Molecular Epidemiology of Hunan Province, School of Medicine,  Hunan Normal University, Changsha 410081, China.; Key Laboratory of Molecular Epidemiology of Hunan Province, School of Medicine,  Hunan Normal University, Changsha 410081, China.; Key Laboratory of Molecular Epidemiology of Hunan Province, School of Medicine,  Hunan Normal University, Changsha 410081, China.; Centre for Health and Exercise Science Research, Hong Kong Baptist University,  Kowloon Tong, Hong Kong 999077, China.; Centre for Health and Exercise Science Research, Department of Sport, Physical  Education and Health, Hong Kong Baptist University, Kowloon Tong, Hong Kong  999077, China.; Institute of Child and Adolescent Health, School of Public Health, Peking  University Health Science Center, Beijing 100191, China.; Key Laboratory of Molecular Epidemiology of Hunan Province, School of Medicine,  Hunan Normal University, Changsha 410081, China.&lt;/_author_adr&gt;&lt;_collection_scope&gt;SCIE&lt;/_collection_scope&gt;&lt;_created&gt;65410406&lt;/_created&gt;&lt;_date&gt;2021-09-26&lt;/_date&gt;&lt;_date_display&gt;2021 Sep 26&lt;/_date_display&gt;&lt;_db_updated&gt;PubMed&lt;/_db_updated&gt;&lt;_doi&gt;10.3390/biology10100959&lt;/_doi&gt;&lt;_impact_factor&gt;   4.200&lt;/_impact_factor&gt;&lt;_isbn&gt;2079-7737 (Print); 2079-7737 (Electronic); 2079-7737 (Linking)&lt;/_isbn&gt;&lt;_issue&gt;10&lt;/_issue&gt;&lt;_journal&gt;Biology (Basel)&lt;/_journal&gt;&lt;_keywords&gt;China; hyperhomocysteinemia; prevalence; updated meta-analysis&lt;/_keywords&gt;&lt;_language&gt;eng&lt;/_language&gt;&lt;_modified&gt;65412089&lt;/_modified&gt;&lt;_social_category&gt;生物学(3)&lt;/_social_category&gt;&lt;_tertiary_title&gt;Biology&lt;/_tertiary_title&gt;&lt;_type_work&gt;Journal Article; Review&lt;/_type_work&gt;&lt;_url&gt;http://www.ncbi.nlm.nih.gov/entrez/query.fcgi?cmd=Retrieve&amp;amp;db=pubmed&amp;amp;dopt=Abstract&amp;amp;list_uids=34681058&amp;amp;query_hl=1&lt;/_url&gt;&lt;_volume&gt;10&lt;/_volume&gt;&lt;/Details&gt;&lt;Extra&gt;&lt;DBUID&gt;{03752FAB-B361-4F66-989B-C711D9502F78}&lt;/DBUID&gt;&lt;/Extra&gt;&lt;/Item&gt;&lt;/References&gt;&lt;/Group&gt;&lt;Group&gt;&lt;References&gt;&lt;Item&gt;&lt;ID&gt;566&lt;/ID&gt;&lt;UID&gt;{063D1E13-077C-40D7-AA98-D9733DFB4E60}&lt;/UID&gt;&lt;Title&gt;Association of homocysteine level with risk of stroke: A dose-response  meta-analysis of prospective cohort studies&lt;/Title&gt;&lt;Template&gt;Journal Article&lt;/Template&gt;&lt;Star&gt;0&lt;/Star&gt;&lt;Tag&gt;5&lt;/Tag&gt;&lt;Author&gt;Wu, X; Zhou, Q; Chen, Q; Li, Q; Guo, C; Tian, G; Qie, R; Han, M; Huang, S; Li, Y; Yang, X; Zhao, Y; Feng, Y; Liu, D; Qin, P; Hu, D; Zhang, M&lt;/Author&gt;&lt;Year&gt;2020&lt;/Year&gt;&lt;Details&gt;&lt;_accession_num&gt;32912796&lt;/_accession_num&gt;&lt;_author_adr&gt;Department of Epidemiology and Health Statistics, School of Public Health,  Shenzhen University Health Science Center, Shenzhen, Guangdong, People&amp;apos;s Republic  of China.; Department of Epidemiology and Health Statistics, School of Public Health,  Shenzhen University Health Science Center, Shenzhen, Guangdong, People&amp;apos;s Republic  of China.; Department of Mental Health, Bao&amp;apos;an Chronic Diseases Prevent and Cure Hospital,  Shenzhen, Guangdong, People&amp;apos;s Republic of China.; Department of Epidemiology and Health Statistics, College of Public Health,  Zhengzhou University, Henan, People&amp;apos;s Republic of China.; Department of Epidemiology and Health Statistics, College of Public Health,  Zhengzhou University, Henan, People&amp;apos;s Republic of China.; Department of Epidemiology and Health Statistics, College of Public Health,  Zhengzhou University, Henan, People&amp;apos;s Republic of China.; Department of Epidemiology and Health Statistics, College of Public Health,  Zhengzhou University, Henan, People&amp;apos;s Republic of China.; Department of Mental Health, Bao&amp;apos;an Chronic Diseases Prevent and Cure Hospital,  Shenzhen, Guangdong, People&amp;apos;s Republic of China.; Department of Mental Health, Bao&amp;apos;an Chronic Diseases Prevent and Cure Hospital,  Shenzhen, Guangdong, People&amp;apos;s Republic of China.; Department of Mental Health, Bao&amp;apos;an Chronic Diseases Prevent and Cure Hospital,  Shenzhen, Guangdong, People&amp;apos;s Republic of China.; Department of Epidemiology and Health Statistics, College of Public Health,  Zhengzhou University, Henan, People&amp;apos;s Republic of China.; Department of Epidemiology and Health Statistics, College of Public Health,  Zhengzhou University, Henan, People&amp;apos;s Republic of China.; Department of Epidemiology and Health Statistics, College of Public Health,  Zhengzhou University, Henan, People&amp;apos;s Republic of China.; Department of Epidemiology and Health Statistics, College of Public Health,  Zhengzhou University, Henan, People&amp;apos;s Republic of China.; Department of Epidemiology and Health Statistics, School of Public Health,  Shenzhen University Health Science Center, Shenzhen, Guangdong, People&amp;apos;s Republic  of China.; Department of Epidemiology and Health Statistics, School of Public Health,  Shenzhen University Health Science Center, Shenzhen, Guangdong, People&amp;apos;s Republic  of China; Department of Mental Health, Bao&amp;apos;an Chronic Diseases Prevent and Cure  Hospital, Shenzhen, Guangdong, People&amp;apos;s Republic of China; Department of  Epidemiology and Health Statistics, College of Public Health, Zhengzhou  University, Henan, People&amp;apos;s Republic of China.; Department of Epidemiology and Health Statistics, School of Public Health,  Shenzhen University Health Science Center, Shenzhen, Guangdong, People&amp;apos;s Republic  of China. Electronic address: zhangming1720@sina.com.&lt;/_author_adr&gt;&lt;_collection_scope&gt;SCIE&lt;/_collection_scope&gt;&lt;_created&gt;65410316&lt;/_created&gt;&lt;_date&gt;2020-10-30&lt;/_date&gt;&lt;_date_display&gt;2020 Oct 30&lt;/_date_display&gt;&lt;_db_updated&gt;PubMed&lt;/_db_updated&gt;&lt;_doi&gt;10.1016/j.numecd.2020.07.026&lt;/_doi&gt;&lt;_impact_factor&gt;   3.900&lt;/_impact_factor&gt;&lt;_isbn&gt;1590-3729 (Electronic); 0939-4753 (Linking)&lt;/_isbn&gt;&lt;_issue&gt;11&lt;/_issue&gt;&lt;_journal&gt;Nutr Metab Cardiovasc Dis&lt;/_journal&gt;&lt;_keywords&gt;Dose-response; Homocysteine; Meta-analysis; Prospective cohort studies; Stroke&lt;/_keywords&gt;&lt;_language&gt;eng&lt;/_language&gt;&lt;_modified&gt;65412087&lt;/_modified&gt;&lt;_ori_publication&gt;Copyright (c) 2020 The Italian Diabetes Society, the Italian Society for the Study _x000d__x000a_      of Atherosclerosis, the Italian Society of Human Nutrition and the Department of _x000d__x000a_      Clinical Medicine and Surgery, Federico II University. Published by Elsevier B.V. _x000d__x000a_      All rights reserved.&lt;/_ori_publication&gt;&lt;_pages&gt;1861-1869&lt;/_pages&gt;&lt;_social_category&gt;心脏和心血管系统(3) &amp;amp; 内分泌学与代谢(3) &amp;amp; 营养学(3)&lt;/_social_category&gt;&lt;_subject_headings&gt;Aged; Biomarkers/blood; Female; Homocysteine/*blood; Humans; Hyperhomocysteinemia/*blood/diagnosis/epidemiology; Male; Middle Aged; Prospective Studies; Risk Assessment; Risk Factors; Stroke/diagnosis/*epidemiology; Up-Regulation&lt;/_subject_headings&gt;&lt;_tertiary_title&gt;Nutrition, metabolism, and cardiovascular diseases : NMCD&lt;/_tertiary_title&gt;&lt;_type_work&gt;Journal Article; Meta-Analysis; Research Support, Non-U.S. Gov&amp;apos;t; Systematic Review&lt;/_type_work&gt;&lt;_url&gt;http://www.ncbi.nlm.nih.gov/entrez/query.fcgi?cmd=Retrieve&amp;amp;db=pubmed&amp;amp;dopt=Abstract&amp;amp;list_uids=32912796&amp;amp;query_hl=1&lt;/_url&gt;&lt;_volume&gt;30&lt;/_volume&gt;&lt;/Details&gt;&lt;Extra&gt;&lt;DBUID&gt;{03752FAB-B361-4F66-989B-C711D9502F78}&lt;/DBUID&gt;&lt;/Extra&gt;&lt;/Item&gt;&lt;/References&gt;&lt;/Group&gt;&lt;Group&gt;&lt;References&gt;&lt;Item&gt;&lt;ID&gt;574&lt;/ID&gt;&lt;UID&gt;{B3E0E093-BD43-4E5C-8262-74ED97B3C5F9}&lt;/UID&gt;&lt;Title&gt;短暂性脑缺血发作的住院费用构成及其影响因素分析&lt;/Title&gt;&lt;Template&gt;Thesis&lt;/Template&gt;&lt;Star&gt;0&lt;/Star&gt;&lt;Tag&gt;5&lt;/Tag&gt;&lt;Author&gt;张婷婷&lt;/Author&gt;&lt;Year&gt;2010&lt;/Year&gt;&lt;Details&gt;&lt;_cited_count&gt;1&lt;/_cited_count&gt;&lt;_created&gt;65410383&lt;/_created&gt;&lt;_db_updated&gt;CNKI - Reference&lt;/_db_updated&gt;&lt;_keywords&gt;短暂性脑缺血发作;住院费用;影响因素;多元线性回归分析&lt;/_keywords&gt;&lt;_modified&gt;65412090&lt;/_modified&gt;&lt;_pages&gt;33&lt;/_pages&gt;&lt;_publisher&gt;大连医科大学&lt;/_publisher&gt;&lt;_tertiary_author&gt;赵杰&lt;/_tertiary_author&gt;&lt;_url&gt;https://kns.cnki.net/kcms2/article/abstract?v=FC2wxXHna7pURa_2SQea9PMDx9FnJ4hg9azV3EyGUagyLbPeTAwJs4EQXx6iBwjrCIW_oyv7yjPcDqJFMfk_GG2hx97RlUUGKNM0OfsDtWgEA_LgfZ7kETOszsqh2bDV5ujcYrg1pYWLXblgIv8WaQ==&amp;amp;uniplatform=NZKPT&amp;amp;language=CHS&lt;/_url&gt;&lt;_volume&gt;硕士&lt;/_volume&gt;&lt;_translated_author&gt;Zhang, Ting ting&lt;/_translated_author&gt;&lt;_translated_tertiary_author&gt;Zhao, Jie&lt;/_translated_tertiary_author&gt;&lt;/Details&gt;&lt;Extra&gt;&lt;DBUID&gt;{03752FAB-B361-4F66-989B-C711D9502F78}&lt;/DBUID&gt;&lt;/Extra&gt;&lt;/Item&gt;&lt;/References&gt;&lt;/Group&gt;&lt;/Citation&gt;_x000a_"/>
    <w:docVar w:name="NE.Ref{340F0A98-4CC7-4ED0-8E17-A2A11DDA5354}" w:val=" ADDIN NE.Ref.{340F0A98-4CC7-4ED0-8E17-A2A11DDA5354}&lt;Citation&gt;&lt;Group&gt;&lt;References&gt;&lt;Item&gt;&lt;ID&gt;579&lt;/ID&gt;&lt;UID&gt;{5969F0EC-44E1-4118-A632-14F05E5AD0F0}&lt;/UID&gt;&lt;Title&gt;Prevalence of Hyperhomocysteinemia in China: An Updated Meta-Analysis&lt;/Title&gt;&lt;Template&gt;Journal Article&lt;/Template&gt;&lt;Star&gt;0&lt;/Star&gt;&lt;Tag&gt;5&lt;/Tag&gt;&lt;Author&gt;Zeng, Y; Li, F F; Yuan, S Q; Tang, H K; Zhou, J H; He, Q Y; Baker, J S; Dong, Y H; Yang, Y D&lt;/Author&gt;&lt;Year&gt;2021&lt;/Year&gt;&lt;Details&gt;&lt;_accession_num&gt;34681058&lt;/_accession_num&gt;&lt;_author_adr&gt;Key Laboratory of Molecular Epidemiology of Hunan Province, School of Medicine,  Hunan Normal University, Changsha 410081, China.; Centre for Health and Exercise Science Research, Hong Kong Baptist University,  Kowloon Tong, Hong Kong 999077, China.; Centre for Health and Exercise Science Research, Department of Sport, Physical  Education and Health, Hong Kong Baptist University, Kowloon Tong, Hong Kong  999077, China.; Key Laboratory of Molecular Epidemiology of Hunan Province, School of Medicine,  Hunan Normal University, Changsha 410081, China.; Key Laboratory of Molecular Epidemiology of Hunan Province, School of Medicine,  Hunan Normal University, Changsha 410081, China.; Key Laboratory of Molecular Epidemiology of Hunan Province, School of Medicine,  Hunan Normal University, Changsha 410081, China.; Key Laboratory of Molecular Epidemiology of Hunan Province, School of Medicine,  Hunan Normal University, Changsha 410081, China.; Centre for Health and Exercise Science Research, Hong Kong Baptist University,  Kowloon Tong, Hong Kong 999077, China.; Centre for Health and Exercise Science Research, Department of Sport, Physical  Education and Health, Hong Kong Baptist University, Kowloon Tong, Hong Kong  999077, China.; Institute of Child and Adolescent Health, School of Public Health, Peking  University Health Science Center, Beijing 100191, China.; Key Laboratory of Molecular Epidemiology of Hunan Province, School of Medicine,  Hunan Normal University, Changsha 410081, China.&lt;/_author_adr&gt;&lt;_collection_scope&gt;SCIE&lt;/_collection_scope&gt;&lt;_created&gt;65410406&lt;/_created&gt;&lt;_date&gt;2021-09-26&lt;/_date&gt;&lt;_date_display&gt;2021 Sep 26&lt;/_date_display&gt;&lt;_db_updated&gt;PubMed&lt;/_db_updated&gt;&lt;_doi&gt;10.3390/biology10100959&lt;/_doi&gt;&lt;_impact_factor&gt;   4.200&lt;/_impact_factor&gt;&lt;_isbn&gt;2079-7737 (Print); 2079-7737 (Electronic); 2079-7737 (Linking)&lt;/_isbn&gt;&lt;_issue&gt;10&lt;/_issue&gt;&lt;_journal&gt;Biology (Basel)&lt;/_journal&gt;&lt;_keywords&gt;China; hyperhomocysteinemia; prevalence; updated meta-analysis&lt;/_keywords&gt;&lt;_language&gt;eng&lt;/_language&gt;&lt;_modified&gt;65412089&lt;/_modified&gt;&lt;_social_category&gt;生物学(3)&lt;/_social_category&gt;&lt;_tertiary_title&gt;Biology&lt;/_tertiary_title&gt;&lt;_type_work&gt;Journal Article; Review&lt;/_type_work&gt;&lt;_url&gt;http://www.ncbi.nlm.nih.gov/entrez/query.fcgi?cmd=Retrieve&amp;amp;db=pubmed&amp;amp;dopt=Abstract&amp;amp;list_uids=34681058&amp;amp;query_hl=1&lt;/_url&gt;&lt;_volume&gt;10&lt;/_volume&gt;&lt;/Details&gt;&lt;Extra&gt;&lt;DBUID&gt;{03752FAB-B361-4F66-989B-C711D9502F78}&lt;/DBUID&gt;&lt;/Extra&gt;&lt;/Item&gt;&lt;/References&gt;&lt;/Group&gt;&lt;Group&gt;&lt;References&gt;&lt;Item&gt;&lt;ID&gt;565&lt;/ID&gt;&lt;UID&gt;{AF756026-05D9-4F6B-9149-FA97C49243FF}&lt;/UID&gt;&lt;Title&gt;Prevalence, Incidence, Prognosis, Early Stroke Risk, and Stroke-Related  Prognostic Factors of Definite or Probable Transient Ischemic Attacks in China,  2013&lt;/Title&gt;&lt;Template&gt;Journal Article&lt;/Template&gt;&lt;Star&gt;0&lt;/Star&gt;&lt;Tag&gt;5&lt;/Tag&gt;&lt;Author&gt;Jiang, B; Sun, H; Ru, X; Sun, D; Chen, Z; Liu, H; Li, Y; Zhang, M; Wang, L; Wang, L; Wu, S; Wang, W&lt;/Author&gt;&lt;Year&gt;2017&lt;/Year&gt;&lt;Details&gt;&lt;_accession_num&gt;28713329&lt;/_accession_num&gt;&lt;_author_adr&gt;Department of Neuroepidemiology, Beijing Neurosurgical Institute, Beijing Tiantan  Hospital, Capital Medical University, Beijing, China.; Beijing Municipal Key Laboratory of Clinical Epidemiology, Beijing, China.; Department of Neuroepidemiology, Beijing Neurosurgical Institute, Beijing Tiantan  Hospital, Capital Medical University, Beijing, China.; Beijing Municipal Key Laboratory of Clinical Epidemiology, Beijing, China.; Department of Neuroepidemiology, Beijing Neurosurgical Institute, Beijing Tiantan  Hospital, Capital Medical University, Beijing, China.; Beijing Municipal Key Laboratory of Clinical Epidemiology, Beijing, China.; Department of Neuroepidemiology, Beijing Neurosurgical Institute, Beijing Tiantan  Hospital, Capital Medical University, Beijing, China.; Beijing Municipal Key Laboratory of Clinical Epidemiology, Beijing, China.; Department of Neuroepidemiology, Beijing Neurosurgical Institute, Beijing Tiantan  Hospital, Capital Medical University, Beijing, China.; Beijing Municipal Key Laboratory of Clinical Epidemiology, Beijing, China.; Department of Neuroepidemiology, Beijing Neurosurgical Institute, Beijing Tiantan  Hospital, Capital Medical University, Beijing, China.; Beijing Municipal Key Laboratory of Clinical Epidemiology, Beijing, China.; National Office for Cerebrovascular Diseases (CVD) Prevention and Control in  China, Beijing, China.; National Center for Chronic and Non-communicable Disease Control and Prevention,  Chinese Center for Disease Control and Prevention, Beijing, China.; National Center for Chronic and Non-communicable Disease Control and Prevention,  Chinese Center for Disease Control and Prevention, Beijing, China.; National Center for Chronic and Non-communicable Disease Control and Prevention,  Chinese Center for Disease Control and Prevention, Beijing, China.; National Center for Chronic and Non-communicable Disease Control and Prevention,  Chinese Center for Disease Control and Prevention, Beijing, China.; Department of Neuroepidemiology, Beijing Neurosurgical Institute, Beijing Tiantan  Hospital, Capital Medical University, Beijing, China.; Beijing Municipal Key Laboratory of Clinical Epidemiology, Beijing, China.; Department of Neuroepidemiology, Beijing Neurosurgical Institute, Beijing Tiantan  Hospital, Capital Medical University, Beijing, China.; Beijing Municipal Key Laboratory of Clinical Epidemiology, Beijing, China.; National Office for Cerebrovascular Diseases (CVD) Prevention and Control in  China, Beijing, China.&lt;/_author_adr&gt;&lt;_collection_scope&gt;SCIE&lt;/_collection_scope&gt;&lt;_created&gt;65410309&lt;/_created&gt;&lt;_date&gt;2017-01-20&lt;/_date&gt;&lt;_date_display&gt;2017&lt;/_date_display&gt;&lt;_db_updated&gt;PubMed&lt;/_db_updated&gt;&lt;_doi&gt;10.3389/fneur.2017.00309&lt;/_doi&gt;&lt;_impact_factor&gt;   3.400&lt;/_impact_factor&gt;&lt;_isbn&gt;1664-2295 (Print); 1664-2295 (Electronic); 1664-2295 (Linking)&lt;/_isbn&gt;&lt;_journal&gt;Front Neurol&lt;/_journal&gt;&lt;_keywords&gt;incidence; prevalence; prognosis; prognostic factors; stroke; transient ischemic attacks&lt;/_keywords&gt;&lt;_language&gt;eng&lt;/_language&gt;&lt;_modified&gt;65412080&lt;/_modified&gt;&lt;_pages&gt;309&lt;/_pages&gt;&lt;_social_category&gt;临床神经病学(3) &amp;amp; 神经科学(3)&lt;/_social_category&gt;&lt;_tertiary_title&gt;Frontiers in neurology&lt;/_tertiary_title&gt;&lt;_type_work&gt;Journal Article&lt;/_type_work&gt;&lt;_url&gt;http://www.ncbi.nlm.nih.gov/entrez/query.fcgi?cmd=Retrieve&amp;amp;db=pubmed&amp;amp;dopt=Abstract&amp;amp;list_uids=28713329&amp;amp;query_hl=1&lt;/_url&gt;&lt;_volume&gt;8&lt;/_volume&gt;&lt;/Details&gt;&lt;Extra&gt;&lt;DBUID&gt;{03752FAB-B361-4F66-989B-C711D9502F78}&lt;/DBUID&gt;&lt;/Extra&gt;&lt;/Item&gt;&lt;/References&gt;&lt;/Group&gt;&lt;Group&gt;&lt;References&gt;&lt;Item&gt;&lt;ID&gt;564&lt;/ID&gt;&lt;UID&gt;{74088D00-B214-4E5D-A453-F90EB0DAB3C4}&lt;/UID&gt;&lt;Title&gt;高同型半胱氨酸血症与短暂性脑缺血发作及预后的关系&lt;/Title&gt;&lt;Template&gt;Journal Article&lt;/Template&gt;&lt;Star&gt;0&lt;/Star&gt;&lt;Tag&gt;5&lt;/Tag&gt;&lt;Author&gt;黄铿伟; 魏越浩; 黄毓华; 张深山; 林雪莹; 曾宪杰&lt;/Author&gt;&lt;Year&gt;2015&lt;/Year&gt;&lt;Details&gt;&lt;_author_aff&gt;广东省潮州市潮州医院神经内科;&lt;/_author_aff&gt;&lt;_cited_count&gt;12&lt;/_cited_count&gt;&lt;_created&gt;65410306&lt;/_created&gt;&lt;_date&gt;2015-05-25&lt;/_date&gt;&lt;_db_updated&gt;CNKI - Reference&lt;/_db_updated&gt;&lt;_issue&gt;10&lt;/_issue&gt;&lt;_journal&gt;广东医学&lt;/_journal&gt;&lt;_keywords&gt;高同型半胱氨酸血症;短暂性脑缺血发作;预后&lt;/_keywords&gt;&lt;_modified&gt;65412080&lt;/_modified&gt;&lt;_pages&gt;1568-1570&lt;/_pages&gt;&lt;_url&gt;https://link.cnki.net/doi/10.13820/j.cnki.gdyx.2015.10.028&lt;/_url&gt;&lt;_volume&gt;36&lt;/_volume&gt;&lt;_translated_author&gt;Huang, Keng wei;Wei, Yue hao;Huang, Yu hua;Zhang, Shen shan;Lin, Xue ying;Ceng, Xian jie&lt;/_translated_author&gt;&lt;/Details&gt;&lt;Extra&gt;&lt;DBUID&gt;{03752FAB-B361-4F66-989B-C711D9502F78}&lt;/DBUID&gt;&lt;/Extra&gt;&lt;/Item&gt;&lt;/References&gt;&lt;/Group&gt;&lt;/Citation&gt;_x000a_"/>
    <w:docVar w:name="NE.Ref{5A88A707-2E13-45A1-8E87-43119FDC9141}" w:val=" ADDIN NE.Ref.{5A88A707-2E13-45A1-8E87-43119FDC9141}&lt;Citation&gt;&lt;Group&gt;&lt;References&gt;&lt;Item&gt;&lt;ID&gt;574&lt;/ID&gt;&lt;UID&gt;{B3E0E093-BD43-4E5C-8262-74ED97B3C5F9}&lt;/UID&gt;&lt;Title&gt;短暂性脑缺血发作的住院费用构成及其影响因素分析&lt;/Title&gt;&lt;Template&gt;Thesis&lt;/Template&gt;&lt;Star&gt;0&lt;/Star&gt;&lt;Tag&gt;5&lt;/Tag&gt;&lt;Author&gt;张婷婷&lt;/Author&gt;&lt;Year&gt;2010&lt;/Year&gt;&lt;Details&gt;&lt;_cited_count&gt;1&lt;/_cited_count&gt;&lt;_created&gt;65410383&lt;/_created&gt;&lt;_db_updated&gt;CNKI - Reference&lt;/_db_updated&gt;&lt;_keywords&gt;短暂性脑缺血发作;住院费用;影响因素;多元线性回归分析&lt;/_keywords&gt;&lt;_modified&gt;65412090&lt;/_modified&gt;&lt;_pages&gt;33&lt;/_pages&gt;&lt;_publisher&gt;大连医科大学&lt;/_publisher&gt;&lt;_tertiary_author&gt;赵杰&lt;/_tertiary_author&gt;&lt;_url&gt;https://kns.cnki.net/kcms2/article/abstract?v=FC2wxXHna7pURa_2SQea9PMDx9FnJ4hg9azV3EyGUagyLbPeTAwJs4EQXx6iBwjrCIW_oyv7yjPcDqJFMfk_GG2hx97RlUUGKNM0OfsDtWgEA_LgfZ7kETOszsqh2bDV5ujcYrg1pYWLXblgIv8WaQ==&amp;amp;uniplatform=NZKPT&amp;amp;language=CHS&lt;/_url&gt;&lt;_volume&gt;硕士&lt;/_volume&gt;&lt;_translated_author&gt;Zhang, Ting ting&lt;/_translated_author&gt;&lt;_translated_tertiary_author&gt;Zhao, Jie&lt;/_translated_tertiary_author&gt;&lt;/Details&gt;&lt;Extra&gt;&lt;DBUID&gt;{03752FAB-B361-4F66-989B-C711D9502F78}&lt;/DBUID&gt;&lt;/Extra&gt;&lt;/Item&gt;&lt;/References&gt;&lt;/Group&gt;&lt;Group&gt;&lt;References&gt;&lt;Item&gt;&lt;ID&gt;578&lt;/ID&gt;&lt;UID&gt;{17AEC0A4-9796-48C2-BBC8-ADDCC677C830}&lt;/UID&gt;&lt;Title&gt;脑卒中患者健康相关生命质量及影响因素研究&lt;/Title&gt;&lt;Template&gt;Journal Article&lt;/Template&gt;&lt;Star&gt;0&lt;/Star&gt;&lt;Tag&gt;5&lt;/Tag&gt;&lt;Author&gt;邓清文; 刘文彬&lt;/Author&gt;&lt;Year&gt;2020&lt;/Year&gt;&lt;Details&gt;&lt;_author_aff&gt;福建医科大学公共卫生学院;&lt;/_author_aff&gt;&lt;_cited_count&gt;12&lt;/_cited_count&gt;&lt;_created&gt;65410405&lt;/_created&gt;&lt;_date&gt;2020-10-30&lt;/_date&gt;&lt;_db_updated&gt;CNKI - Reference&lt;/_db_updated&gt;&lt;_issue&gt;05&lt;/_issue&gt;&lt;_journal&gt;南京医科大学学报(社会科学版)&lt;/_journal&gt;&lt;_keywords&gt;脑卒中;健康相关生命质量;健康效用值;EQ-5D量表;影响因素&lt;/_keywords&gt;&lt;_modified&gt;65412090&lt;/_modified&gt;&lt;_pages&gt;459-463&lt;/_pages&gt;&lt;_url&gt;https://kns.cnki.net/kcms2/article/abstract?v=FC2wxXHna7orgCZ3WoSvtOGwH5oYkh7vG2CqCnQEfaU6Y-IcKpIz3GMAgr8GwjWOhObYjRn0aZ5SgjuZ8AtWipBNuGjDgdE-Uy7vuH0CYJnj-wdLcDaErhc1jfA2uMKNTSqMDnZdrQn0XrZ7l3Kkfw==&amp;amp;uniplatform=NZKPT&amp;amp;language=CHS&lt;/_url&gt;&lt;_volume&gt;20&lt;/_volume&gt;&lt;_translated_author&gt;Deng, Qing wen;Liu, Wen bin&lt;/_translated_author&gt;&lt;/Details&gt;&lt;Extra&gt;&lt;DBUID&gt;{03752FAB-B361-4F66-989B-C711D9502F78}&lt;/DBUID&gt;&lt;/Extra&gt;&lt;/Item&gt;&lt;/References&gt;&lt;/Group&gt;&lt;Group&gt;&lt;References&gt;&lt;Item&gt;&lt;ID&gt;570&lt;/ID&gt;&lt;UID&gt;{7B5C6C93-E1CB-4A38-B48D-FB291650F908}&lt;/UID&gt;&lt;Title&gt;Long term survival after a first transient ischaemic attack in England: A  retrospective matched cohort study&lt;/Title&gt;&lt;Template&gt;Journal Article&lt;/Template&gt;&lt;Star&gt;0&lt;/Star&gt;&lt;Tag&gt;5&lt;/Tag&gt;&lt;Author&gt;Chutoo, P; Kulinskaya, E; Bakbergenuly, I; Steel, N; Pchejetski, D; Brown, B&lt;/Author&gt;&lt;Year&gt;2022&lt;/Year&gt;&lt;Details&gt;&lt;_accession_num&gt;35907306&lt;/_accession_num&gt;&lt;_author_adr&gt;School of Computing Science, University of East Anglia, Norwich Research Park,  Norwich, United Kingdom. Electronic address: P.Chutoo@uea.ac.uk.; School of Computing Science, University of East Anglia, Norwich Research Park,  Norwich, United Kingdom.; School of Computing Science, University of East Anglia, Norwich Research Park,  Norwich, United Kingdom.; Norwich Medical School, University of East Anglia, Norwich Research Park,  Norwich, United Kingdom.; Norwich Medical School, University of East Anglia, Norwich Research Park,  Norwich, United Kingdom.; School of Computing Science, University of East Anglia, Norwich Research Park,  Norwich, United Kingdom.&lt;/_author_adr&gt;&lt;_collection_scope&gt;SCIE&lt;/_collection_scope&gt;&lt;_created&gt;65410356&lt;/_created&gt;&lt;_date&gt;2022-09-01&lt;/_date&gt;&lt;_date_display&gt;2022 Sep&lt;/_date_display&gt;&lt;_db_updated&gt;PubMed&lt;/_db_updated&gt;&lt;_doi&gt;10.1016/j.jstrokecerebrovasdis.2022.106663&lt;/_doi&gt;&lt;_impact_factor&gt;   2.500&lt;/_impact_factor&gt;&lt;_isbn&gt;1532-8511 (Electronic); 1052-3057 (Linking)&lt;/_isbn&gt;&lt;_issue&gt;9&lt;/_issue&gt;&lt;_journal&gt;J Stroke Cerebrovasc Dis&lt;/_journal&gt;&lt;_keywords&gt;Antiplatelets; General practice; Multiple Imputation; The Health Improvement Network (THIN) database; Weibull-Cox model&lt;/_keywords&gt;&lt;_language&gt;eng&lt;/_language&gt;&lt;_modified&gt;65411302&lt;/_modified&gt;&lt;_ori_publication&gt;Copyright (c) 2022 The Author(s). Published by Elsevier Inc. All rights reserved.&lt;/_ori_publication&gt;&lt;_pages&gt;106663&lt;/_pages&gt;&lt;_social_category&gt;神经科学(4) &amp;amp; 外周血管病(4)&lt;/_social_category&gt;&lt;_subject_headings&gt;Aspirin/therapeutic use; Cohort Studies; Humans; *Ischemic Attack, Transient/complications/diagnosis/therapy; Platelet Aggregation Inhibitors/therapeutic use; Retrospective Studies; *Stroke/drug therapy/therapy&lt;/_subject_headings&gt;&lt;_tertiary_title&gt;Journal of stroke and cerebrovascular diseases : the official journal of National _x000d__x000a_      Stroke Association&lt;/_tertiary_title&gt;&lt;_type_work&gt;Journal Article&lt;/_type_work&gt;&lt;_url&gt;http://www.ncbi.nlm.nih.gov/entrez/query.fcgi?cmd=Retrieve&amp;amp;db=pubmed&amp;amp;dopt=Abstract&amp;amp;list_uids=35907306&amp;amp;query_hl=1&lt;/_url&gt;&lt;_volume&gt;31&lt;/_volume&gt;&lt;/Details&gt;&lt;Extra&gt;&lt;DBUID&gt;{03752FAB-B361-4F66-989B-C711D9502F78}&lt;/DBUID&gt;&lt;/Extra&gt;&lt;/Item&gt;&lt;/References&gt;&lt;/Group&gt;&lt;/Citation&gt;_x000a_"/>
    <w:docVar w:name="NE.Ref{5CD98AA6-0E72-41B2-9967-628406210985}" w:val=" ADDIN NE.Ref.{5CD98AA6-0E72-41B2-9967-628406210985}&lt;Citation&gt;&lt;Group&gt;&lt;References&gt;&lt;Item&gt;&lt;ID&gt;574&lt;/ID&gt;&lt;UID&gt;{B3E0E093-BD43-4E5C-8262-74ED97B3C5F9}&lt;/UID&gt;&lt;Title&gt;短暂性脑缺血发作的住院费用构成及其影响因素分析&lt;/Title&gt;&lt;Template&gt;Thesis&lt;/Template&gt;&lt;Star&gt;0&lt;/Star&gt;&lt;Tag&gt;5&lt;/Tag&gt;&lt;Author&gt;张婷婷&lt;/Author&gt;&lt;Year&gt;2010&lt;/Year&gt;&lt;Details&gt;&lt;_cited_count&gt;1&lt;/_cited_count&gt;&lt;_created&gt;65410383&lt;/_created&gt;&lt;_db_updated&gt;CNKI - Reference&lt;/_db_updated&gt;&lt;_keywords&gt;短暂性脑缺血发作;住院费用;影响因素;多元线性回归分析&lt;/_keywords&gt;&lt;_modified&gt;65412090&lt;/_modified&gt;&lt;_pages&gt;33&lt;/_pages&gt;&lt;_publisher&gt;大连医科大学&lt;/_publisher&gt;&lt;_tertiary_author&gt;赵杰&lt;/_tertiary_author&gt;&lt;_url&gt;https://kns.cnki.net/kcms2/article/abstract?v=FC2wxXHna7pURa_2SQea9PMDx9FnJ4hg9azV3EyGUagyLbPeTAwJs4EQXx6iBwjrCIW_oyv7yjPcDqJFMfk_GG2hx97RlUUGKNM0OfsDtWgEA_LgfZ7kETOszsqh2bDV5ujcYrg1pYWLXblgIv8WaQ==&amp;amp;uniplatform=NZKPT&amp;amp;language=CHS&lt;/_url&gt;&lt;_volume&gt;硕士&lt;/_volume&gt;&lt;_translated_author&gt;Zhang, Ting ting&lt;/_translated_author&gt;&lt;_translated_tertiary_author&gt;Zhao, Jie&lt;/_translated_tertiary_author&gt;&lt;/Details&gt;&lt;Extra&gt;&lt;DBUID&gt;{03752FAB-B361-4F66-989B-C711D9502F78}&lt;/DBUID&gt;&lt;/Extra&gt;&lt;/Item&gt;&lt;/References&gt;&lt;/Group&gt;&lt;/Citation&gt;_x000a_"/>
    <w:docVar w:name="NE.Ref{850B7714-6BEC-4418-984D-FE909AC61638}" w:val=" ADDIN NE.Ref.{850B7714-6BEC-4418-984D-FE909AC61638}&lt;Citation&gt;&lt;Group&gt;&lt;References&gt;&lt;Item&gt;&lt;ID&gt;579&lt;/ID&gt;&lt;UID&gt;{5969F0EC-44E1-4118-A632-14F05E5AD0F0}&lt;/UID&gt;&lt;Title&gt;Prevalence of Hyperhomocysteinemia in China: An Updated Meta-Analysis&lt;/Title&gt;&lt;Template&gt;Journal Article&lt;/Template&gt;&lt;Star&gt;0&lt;/Star&gt;&lt;Tag&gt;5&lt;/Tag&gt;&lt;Author&gt;Zeng, Y; Li, F F; Yuan, S Q; Tang, H K; Zhou, J H; He, Q Y; Baker, J S; Dong, Y H; Yang, Y D&lt;/Author&gt;&lt;Year&gt;2021&lt;/Year&gt;&lt;Details&gt;&lt;_accession_num&gt;34681058&lt;/_accession_num&gt;&lt;_author_adr&gt;Key Laboratory of Molecular Epidemiology of Hunan Province, School of Medicine,  Hunan Normal University, Changsha 410081, China.; Centre for Health and Exercise Science Research, Hong Kong Baptist University,  Kowloon Tong, Hong Kong 999077, China.; Centre for Health and Exercise Science Research, Department of Sport, Physical  Education and Health, Hong Kong Baptist University, Kowloon Tong, Hong Kong  999077, China.; Key Laboratory of Molecular Epidemiology of Hunan Province, School of Medicine,  Hunan Normal University, Changsha 410081, China.; Key Laboratory of Molecular Epidemiology of Hunan Province, School of Medicine,  Hunan Normal University, Changsha 410081, China.; Key Laboratory of Molecular Epidemiology of Hunan Province, School of Medicine,  Hunan Normal University, Changsha 410081, China.; Key Laboratory of Molecular Epidemiology of Hunan Province, School of Medicine,  Hunan Normal University, Changsha 410081, China.; Centre for Health and Exercise Science Research, Hong Kong Baptist University,  Kowloon Tong, Hong Kong 999077, China.; Centre for Health and Exercise Science Research, Department of Sport, Physical  Education and Health, Hong Kong Baptist University, Kowloon Tong, Hong Kong  999077, China.; Institute of Child and Adolescent Health, School of Public Health, Peking  University Health Science Center, Beijing 100191, China.; Key Laboratory of Molecular Epidemiology of Hunan Province, School of Medicine,  Hunan Normal University, Changsha 410081, China.&lt;/_author_adr&gt;&lt;_collection_scope&gt;SCIE&lt;/_collection_scope&gt;&lt;_created&gt;65410406&lt;/_created&gt;&lt;_date&gt;2021-09-26&lt;/_date&gt;&lt;_date_display&gt;2021 Sep 26&lt;/_date_display&gt;&lt;_db_updated&gt;PubMed&lt;/_db_updated&gt;&lt;_doi&gt;10.3390/biology10100959&lt;/_doi&gt;&lt;_impact_factor&gt;   4.200&lt;/_impact_factor&gt;&lt;_isbn&gt;2079-7737 (Print); 2079-7737 (Electronic); 2079-7737 (Linking)&lt;/_isbn&gt;&lt;_issue&gt;10&lt;/_issue&gt;&lt;_journal&gt;Biology (Basel)&lt;/_journal&gt;&lt;_keywords&gt;China; hyperhomocysteinemia; prevalence; updated meta-analysis&lt;/_keywords&gt;&lt;_language&gt;eng&lt;/_language&gt;&lt;_modified&gt;65412072&lt;/_modified&gt;&lt;_social_category&gt;生物学(3)&lt;/_social_category&gt;&lt;_tertiary_title&gt;Biology&lt;/_tertiary_title&gt;&lt;_type_work&gt;Journal Article; Review&lt;/_type_work&gt;&lt;_url&gt;http://www.ncbi.nlm.nih.gov/entrez/query.fcgi?cmd=Retrieve&amp;amp;db=pubmed&amp;amp;dopt=Abstract&amp;amp;list_uids=34681058&amp;amp;query_hl=1&lt;/_url&gt;&lt;_volume&gt;10&lt;/_volume&gt;&lt;/Details&gt;&lt;Extra&gt;&lt;DBUID&gt;{03752FAB-B361-4F66-989B-C711D9502F78}&lt;/DBUID&gt;&lt;/Extra&gt;&lt;/Item&gt;&lt;/References&gt;&lt;/Group&gt;&lt;/Citation&gt;_x000a_"/>
    <w:docVar w:name="NE.Ref{866EE7AF-1BC1-49DD-8622-EBB68FF2E01A}" w:val=" ADDIN NE.Ref.{866EE7AF-1BC1-49DD-8622-EBB68FF2E01A}&lt;Citation&gt;&lt;Group&gt;&lt;References&gt;&lt;Item&gt;&lt;ID&gt;563&lt;/ID&gt;&lt;UID&gt;{A5209E77-D813-45AE-82E1-CA7C3ED058DD}&lt;/UID&gt;&lt;Title&gt;Association of Obesity with the Risk of Hyperhomocysteinemia among the Chinese  Community Residents: A Prospective Cohort Study in Shanghai, China&lt;/Title&gt;&lt;Template&gt;Journal Article&lt;/Template&gt;&lt;Star&gt;0&lt;/Star&gt;&lt;Tag&gt;5&lt;/Tag&gt;&lt;Author&gt;Xiang, Y; Zhao, Q; Wang, N; Yu, Y; Wang, R; Zhang, Y; Cui, S; Wu, Y; Liu, X; Jiang, Y; Yu, Y; Zhao, G&lt;/Author&gt;&lt;Year&gt;2021&lt;/Year&gt;&lt;Details&gt;&lt;_accession_num&gt;34684648&lt;/_accession_num&gt;&lt;_author_adr&gt;The Key Laboratory of Public Health Safety of Ministry of Education, Department  of Epidemiology, School of Public Health, Fudan University, Shanghai 200032,  China.; The Key Laboratory of Public Health Safety of Ministry of Education, Department  of Epidemiology, School of Public Health, Fudan University, Shanghai 200032,  China.; The Key Laboratory of Public Health Safety of Ministry of Education, Department  of Epidemiology, School of Public Health, Fudan University, Shanghai 200032,  China.; The Key Laboratory of Public Health Safety of Ministry of Education, Department  of Epidemiology, School of Public Health, Fudan University, Shanghai 200032,  China.; Songjiang District Center for Disease Control and Prevention, Shanghai 201600,  China.; Department of Epidemiology, School of Public Health, Shanxi Medical University,  Taiyuan 030001, China.; The Key Laboratory of Public Health Safety of Ministry of Education, Department  of Epidemiology, School of Public Health, Fudan University, Shanghai 200032,  China.; Songjiang District Center for Disease Control and Prevention, Shanghai 201600,  China.; The Key Laboratory of Public Health Safety of Ministry of Education, Department  of Epidemiology, School of Public Health, Fudan University, Shanghai 200032,  China.; Songjiang District Center for Disease Control and Prevention, Shanghai 201600,  China.; The Key Laboratory of Public Health Safety of Ministry of Education, Department  of Biostatistics, School of Public Health, Fudan University, Shanghai 200032,  China.; The Key Laboratory of Public Health Safety of Ministry of Education, Department  of Epidemiology, School of Public Health, Fudan University, Shanghai 200032,  China.&lt;/_author_adr&gt;&lt;_collection_scope&gt;SCIE&lt;/_collection_scope&gt;&lt;_created&gt;65410296&lt;/_created&gt;&lt;_date&gt;2021-10-18&lt;/_date&gt;&lt;_date_display&gt;2021 Oct 18&lt;/_date_display&gt;&lt;_db_updated&gt;PubMed&lt;/_db_updated&gt;&lt;_doi&gt;10.3390/nu13103648&lt;/_doi&gt;&lt;_impact_factor&gt;   5.900&lt;/_impact_factor&gt;&lt;_isbn&gt;2072-6643 (Electronic); 2072-6643 (Linking)&lt;/_isbn&gt;&lt;_issue&gt;10&lt;/_issue&gt;&lt;_journal&gt;Nutrients&lt;/_journal&gt;&lt;_keywords&gt;Chinese community residents; cohort study; hyperhomocysteinemia; obesity&lt;/_keywords&gt;&lt;_language&gt;eng&lt;/_language&gt;&lt;_modified&gt;65412075&lt;/_modified&gt;&lt;_social_category&gt;营养学(2)&lt;/_social_category&gt;&lt;_subject_headings&gt;Adult; Aged; *Asian People; Body Mass Index; Cohort Studies; Confidence Intervals; Female; Humans; Hyperhomocysteinemia/*complications; Male; Middle Aged; Nonlinear Dynamics; Obesity/*complications; *Residence Characteristics; Waist Circumference; Young Adult&lt;/_subject_headings&gt;&lt;_tertiary_title&gt;Nutrients&lt;/_tertiary_title&gt;&lt;_type_work&gt;Journal Article&lt;/_type_work&gt;&lt;_url&gt;http://www.ncbi.nlm.nih.gov/entrez/query.fcgi?cmd=Retrieve&amp;amp;db=pubmed&amp;amp;dopt=Abstract&amp;amp;list_uids=34684648&amp;amp;query_hl=1&lt;/_url&gt;&lt;_volume&gt;13&lt;/_volume&gt;&lt;/Details&gt;&lt;Extra&gt;&lt;DBUID&gt;{03752FAB-B361-4F66-989B-C711D9502F78}&lt;/DBUID&gt;&lt;/Extra&gt;&lt;/Item&gt;&lt;/References&gt;&lt;/Group&gt;&lt;/Citation&gt;_x000a_"/>
    <w:docVar w:name="NE.Ref{88E43DAF-8646-49A0-876E-C9C56FBC50B0}" w:val=" ADDIN NE.Ref.{88E43DAF-8646-49A0-876E-C9C56FBC50B0}&lt;Citation&gt;&lt;Group&gt;&lt;References&gt;&lt;Item&gt;&lt;ID&gt;574&lt;/ID&gt;&lt;UID&gt;{B3E0E093-BD43-4E5C-8262-74ED97B3C5F9}&lt;/UID&gt;&lt;Title&gt;短暂性脑缺血发作的住院费用构成及其影响因素分析&lt;/Title&gt;&lt;Template&gt;Thesis&lt;/Template&gt;&lt;Star&gt;0&lt;/Star&gt;&lt;Tag&gt;5&lt;/Tag&gt;&lt;Author&gt;张婷婷&lt;/Author&gt;&lt;Year&gt;2010&lt;/Year&gt;&lt;Details&gt;&lt;_cited_count&gt;1&lt;/_cited_count&gt;&lt;_created&gt;65410383&lt;/_created&gt;&lt;_db_updated&gt;CNKI - Reference&lt;/_db_updated&gt;&lt;_keywords&gt;短暂性脑缺血发作;住院费用;影响因素;多元线性回归分析&lt;/_keywords&gt;&lt;_modified&gt;65412090&lt;/_modified&gt;&lt;_pages&gt;33&lt;/_pages&gt;&lt;_publisher&gt;大连医科大学&lt;/_publisher&gt;&lt;_tertiary_author&gt;赵杰&lt;/_tertiary_author&gt;&lt;_url&gt;https://kns.cnki.net/kcms2/article/abstract?v=FC2wxXHna7pURa_2SQea9PMDx9FnJ4hg9azV3EyGUagyLbPeTAwJs4EQXx6iBwjrCIW_oyv7yjPcDqJFMfk_GG2hx97RlUUGKNM0OfsDtWgEA_LgfZ7kETOszsqh2bDV5ujcYrg1pYWLXblgIv8WaQ==&amp;amp;uniplatform=NZKPT&amp;amp;language=CHS&lt;/_url&gt;&lt;_volume&gt;硕士&lt;/_volume&gt;&lt;_translated_author&gt;Zhang, Ting ting&lt;/_translated_author&gt;&lt;_translated_tertiary_author&gt;Zhao, Jie&lt;/_translated_tertiary_author&gt;&lt;/Details&gt;&lt;Extra&gt;&lt;DBUID&gt;{03752FAB-B361-4F66-989B-C711D9502F78}&lt;/DBUID&gt;&lt;/Extra&gt;&lt;/Item&gt;&lt;/References&gt;&lt;/Group&gt;&lt;/Citation&gt;_x000a_"/>
    <w:docVar w:name="NE.Ref{8BB2C4CE-F23A-4782-A84F-980E843025E9}" w:val=" ADDIN NE.Ref.{8BB2C4CE-F23A-4782-A84F-980E843025E9}&lt;Citation&gt;&lt;Group&gt;&lt;References&gt;&lt;Item&gt;&lt;ID&gt;566&lt;/ID&gt;&lt;UID&gt;{063D1E13-077C-40D7-AA98-D9733DFB4E60}&lt;/UID&gt;&lt;Title&gt;Association of homocysteine level with risk of stroke: A dose-response  meta-analysis of prospective cohort studies&lt;/Title&gt;&lt;Template&gt;Journal Article&lt;/Template&gt;&lt;Star&gt;0&lt;/Star&gt;&lt;Tag&gt;5&lt;/Tag&gt;&lt;Author&gt;Wu, X; Zhou, Q; Chen, Q; Li, Q; Guo, C; Tian, G; Qie, R; Han, M; Huang, S; Li, Y; Yang, X; Zhao, Y; Feng, Y; Liu, D; Qin, P; Hu, D; Zhang, M&lt;/Author&gt;&lt;Year&gt;2020&lt;/Year&gt;&lt;Details&gt;&lt;_accession_num&gt;32912796&lt;/_accession_num&gt;&lt;_author_adr&gt;Department of Epidemiology and Health Statistics, School of Public Health,  Shenzhen University Health Science Center, Shenzhen, Guangdong, People&amp;apos;s Republic  of China.; Department of Epidemiology and Health Statistics, School of Public Health,  Shenzhen University Health Science Center, Shenzhen, Guangdong, People&amp;apos;s Republic  of China.; Department of Mental Health, Bao&amp;apos;an Chronic Diseases Prevent and Cure Hospital,  Shenzhen, Guangdong, People&amp;apos;s Republic of China.; Department of Epidemiology and Health Statistics, College of Public Health,  Zhengzhou University, Henan, People&amp;apos;s Republic of China.; Department of Epidemiology and Health Statistics, College of Public Health,  Zhengzhou University, Henan, People&amp;apos;s Republic of China.; Department of Epidemiology and Health Statistics, College of Public Health,  Zhengzhou University, Henan, People&amp;apos;s Republic of China.; Department of Epidemiology and Health Statistics, College of Public Health,  Zhengzhou University, Henan, People&amp;apos;s Republic of China.; Department of Mental Health, Bao&amp;apos;an Chronic Diseases Prevent and Cure Hospital,  Shenzhen, Guangdong, People&amp;apos;s Republic of China.; Department of Mental Health, Bao&amp;apos;an Chronic Diseases Prevent and Cure Hospital,  Shenzhen, Guangdong, People&amp;apos;s Republic of China.; Department of Mental Health, Bao&amp;apos;an Chronic Diseases Prevent and Cure Hospital,  Shenzhen, Guangdong, People&amp;apos;s Republic of China.; Department of Epidemiology and Health Statistics, College of Public Health,  Zhengzhou University, Henan, People&amp;apos;s Republic of China.; Department of Epidemiology and Health Statistics, College of Public Health,  Zhengzhou University, Henan, People&amp;apos;s Republic of China.; Department of Epidemiology and Health Statistics, College of Public Health,  Zhengzhou University, Henan, People&amp;apos;s Republic of China.; Department of Epidemiology and Health Statistics, College of Public Health,  Zhengzhou University, Henan, People&amp;apos;s Republic of China.; Department of Epidemiology and Health Statistics, School of Public Health,  Shenzhen University Health Science Center, Shenzhen, Guangdong, People&amp;apos;s Republic  of China.; Department of Epidemiology and Health Statistics, School of Public Health,  Shenzhen University Health Science Center, Shenzhen, Guangdong, People&amp;apos;s Republic  of China; Department of Mental Health, Bao&amp;apos;an Chronic Diseases Prevent and Cure  Hospital, Shenzhen, Guangdong, People&amp;apos;s Republic of China; Department of  Epidemiology and Health Statistics, College of Public Health, Zhengzhou  University, Henan, People&amp;apos;s Republic of China.; Department of Epidemiology and Health Statistics, School of Public Health,  Shenzhen University Health Science Center, Shenzhen, Guangdong, People&amp;apos;s Republic  of China. Electronic address: zhangming1720@sina.com.&lt;/_author_adr&gt;&lt;_collection_scope&gt;SCIE&lt;/_collection_scope&gt;&lt;_created&gt;65410316&lt;/_created&gt;&lt;_date&gt;2020-10-30&lt;/_date&gt;&lt;_date_display&gt;2020 Oct 30&lt;/_date_display&gt;&lt;_db_updated&gt;PubMed&lt;/_db_updated&gt;&lt;_doi&gt;10.1016/j.numecd.2020.07.026&lt;/_doi&gt;&lt;_impact_factor&gt;   3.900&lt;/_impact_factor&gt;&lt;_isbn&gt;1590-3729 (Electronic); 0939-4753 (Linking)&lt;/_isbn&gt;&lt;_issue&gt;11&lt;/_issue&gt;&lt;_journal&gt;Nutr Metab Cardiovasc Dis&lt;/_journal&gt;&lt;_keywords&gt;Dose-response; Homocysteine; Meta-analysis; Prospective cohort studies; Stroke&lt;/_keywords&gt;&lt;_language&gt;eng&lt;/_language&gt;&lt;_modified&gt;65412078&lt;/_modified&gt;&lt;_ori_publication&gt;Copyright (c) 2020 The Italian Diabetes Society, the Italian Society for the Study _x000d__x000a_      of Atherosclerosis, the Italian Society of Human Nutrition and the Department of _x000d__x000a_      Clinical Medicine and Surgery, Federico II University. Published by Elsevier B.V. _x000d__x000a_      All rights reserved.&lt;/_ori_publication&gt;&lt;_pages&gt;1861-1869&lt;/_pages&gt;&lt;_social_category&gt;心脏和心血管系统(3) &amp;amp; 内分泌学与代谢(3) &amp;amp; 营养学(3)&lt;/_social_category&gt;&lt;_subject_headings&gt;Aged; Biomarkers/blood; Female; Homocysteine/*blood; Humans; Hyperhomocysteinemia/*blood/diagnosis/epidemiology; Male; Middle Aged; Prospective Studies; Risk Assessment; Risk Factors; Stroke/diagnosis/*epidemiology; Up-Regulation&lt;/_subject_headings&gt;&lt;_tertiary_title&gt;Nutrition, metabolism, and cardiovascular diseases : NMCD&lt;/_tertiary_title&gt;&lt;_type_work&gt;Journal Article; Meta-Analysis; Research Support, Non-U.S. Gov&amp;apos;t; Systematic Review&lt;/_type_work&gt;&lt;_url&gt;http://www.ncbi.nlm.nih.gov/entrez/query.fcgi?cmd=Retrieve&amp;amp;db=pubmed&amp;amp;dopt=Abstract&amp;amp;list_uids=32912796&amp;amp;query_hl=1&lt;/_url&gt;&lt;_volume&gt;30&lt;/_volume&gt;&lt;/Details&gt;&lt;Extra&gt;&lt;DBUID&gt;{03752FAB-B361-4F66-989B-C711D9502F78}&lt;/DBUID&gt;&lt;/Extra&gt;&lt;/Item&gt;&lt;/References&gt;&lt;/Group&gt;&lt;Group&gt;&lt;References&gt;&lt;Item&gt;&lt;ID&gt;567&lt;/ID&gt;&lt;UID&gt;{58E49A49-269B-4F72-9CF4-3A3E569DB062}&lt;/UID&gt;&lt;Title&gt;Folic Acid Supplementation and the Risk of Cardiovascular Diseases: A  Meta-Analysis of Randomized Controlled Trials&lt;/Title&gt;&lt;Template&gt;Journal Article&lt;/Template&gt;&lt;Star&gt;0&lt;/Star&gt;&lt;Tag&gt;5&lt;/Tag&gt;&lt;Author&gt;Li, Y; Huang, T; Zheng, Y; Muka, T; Troup, J; Hu, F B&lt;/Author&gt;&lt;Year&gt;2016&lt;/Year&gt;&lt;Details&gt;&lt;_accession_num&gt;27528407&lt;/_accession_num&gt;&lt;_author_adr&gt;Department of Nutrition, Harvard T.H. Chan School of Public Health, Boston, MA.; Department of Nutrition, Harvard T.H. Chan School of Public Health, Boston, MA  Channing Division of Network Medicine, Department of Medicine, Brigham and  Women&amp;apos;s Hospital, Harvard Medical School, Boston, MA.; Department of Nutrition, Harvard T.H. Chan School of Public Health, Boston, MA.; Department of Epidemiology, Erasmus MC, Rotterdam, The Netherlands.; Department of Epidemiology, Erasmus MC, Rotterdam, The Netherlands.; Department of Nutrition, Harvard T.H. Chan School of Public Health, Boston, MA  Department of Epidemiology, Harvard T.H. Chan School of Public Health, Boston, MA  Channing Division of Network Medicine, Department of Medicine, Brigham and  Women&amp;apos;s Hospital, Harvard Medical School, Boston, MA nhbfh@channing.harvard.edu.&lt;/_author_adr&gt;&lt;_collection_scope&gt;SCIE&lt;/_collection_scope&gt;&lt;_created&gt;65410319&lt;/_created&gt;&lt;_date&gt;2016-08-15&lt;/_date&gt;&lt;_date_display&gt;2016 Aug 15&lt;/_date_display&gt;&lt;_db_updated&gt;PubMed&lt;/_db_updated&gt;&lt;_doi&gt;10.1161/JAHA.116.003768&lt;/_doi&gt;&lt;_impact_factor&gt;   5.400&lt;/_impact_factor&gt;&lt;_isbn&gt;2047-9980 (Electronic); 2047-9980 (Linking)&lt;/_isbn&gt;&lt;_issue&gt;8&lt;/_issue&gt;&lt;_journal&gt;J Am Heart Assoc&lt;/_journal&gt;&lt;_keywords&gt;cardiovascular disease prevention; folate; stroke prevention&lt;/_keywords&gt;&lt;_language&gt;eng&lt;/_language&gt;&lt;_modified&gt;65412085&lt;/_modified&gt;&lt;_ori_publication&gt;(c) 2016 The Authors. Published on behalf of the American Heart Association, Inc., _x000d__x000a_      by Wiley Blackwell.&lt;/_ori_publication&gt;&lt;_social_category&gt;心脏和心血管系统(2)&lt;/_social_category&gt;&lt;_subject_headings&gt;Aged; Cardiovascular Diseases/*prevention &amp;amp; control; Coronary Disease/prevention &amp;amp; control; Dietary Supplements; Female; Folic Acid/*administration &amp;amp; dosage; Humans; Hyperhomocysteinemia/*prevention &amp;amp; control; Male; Middle Aged; Randomized Controlled Trials as Topic; Risk Factors; Stroke/prevention &amp;amp; control&lt;/_subject_headings&gt;&lt;_tertiary_title&gt;Journal of the American Heart Association&lt;/_tertiary_title&gt;&lt;_type_work&gt;Journal Article; Meta-Analysis; Research Support, Non-U.S. Gov&amp;apos;t; Review&lt;/_type_work&gt;&lt;_url&gt;http://www.ncbi.nlm.nih.gov/entrez/query.fcgi?cmd=Retrieve&amp;amp;db=pubmed&amp;amp;dopt=Abstract&amp;amp;list_uids=27528407&amp;amp;query_hl=1&lt;/_url&gt;&lt;_volume&gt;5&lt;/_volume&gt;&lt;/Details&gt;&lt;Extra&gt;&lt;DBUID&gt;{03752FAB-B361-4F66-989B-C711D9502F78}&lt;/DBUID&gt;&lt;/Extra&gt;&lt;/Item&gt;&lt;/References&gt;&lt;/Group&gt;&lt;Group&gt;&lt;References&gt;&lt;Item&gt;&lt;ID&gt;579&lt;/ID&gt;&lt;UID&gt;{5969F0EC-44E1-4118-A632-14F05E5AD0F0}&lt;/UID&gt;&lt;Title&gt;Prevalence of Hyperhomocysteinemia in China: An Updated Meta-Analysis&lt;/Title&gt;&lt;Template&gt;Journal Article&lt;/Template&gt;&lt;Star&gt;0&lt;/Star&gt;&lt;Tag&gt;5&lt;/Tag&gt;&lt;Author&gt;Zeng, Y; Li, F F; Yuan, S Q; Tang, H K; Zhou, J H; He, Q Y; Baker, J S; Dong, Y H; Yang, Y D&lt;/Author&gt;&lt;Year&gt;2021&lt;/Year&gt;&lt;Details&gt;&lt;_accession_num&gt;34681058&lt;/_accession_num&gt;&lt;_author_adr&gt;Key Laboratory of Molecular Epidemiology of Hunan Province, School of Medicine,  Hunan Normal University, Changsha 410081, China.; Centre for Health and Exercise Science Research, Hong Kong Baptist University,  Kowloon Tong, Hong Kong 999077, China.; Centre for Health and Exercise Science Research, Department of Sport, Physical  Education and Health, Hong Kong Baptist University, Kowloon Tong, Hong Kong  999077, China.; Key Laboratory of Molecular Epidemiology of Hunan Province, School of Medicine,  Hunan Normal University, Changsha 410081, China.; Key Laboratory of Molecular Epidemiology of Hunan Province, School of Medicine,  Hunan Normal University, Changsha 410081, China.; Key Laboratory of Molecular Epidemiology of Hunan Province, School of Medicine,  Hunan Normal University, Changsha 410081, China.; Key Laboratory of Molecular Epidemiology of Hunan Province, School of Medicine,  Hunan Normal University, Changsha 410081, China.; Centre for Health and Exercise Science Research, Hong Kong Baptist University,  Kowloon Tong, Hong Kong 999077, China.; Centre for Health and Exercise Science Research, Department of Sport, Physical  Education and Health, Hong Kong Baptist University, Kowloon Tong, Hong Kong  999077, China.; Institute of Child and Adolescent Health, School of Public Health, Peking  University Health Science Center, Beijing 100191, China.; Key Laboratory of Molecular Epidemiology of Hunan Province, School of Medicine,  Hunan Normal University, Changsha 410081, China.&lt;/_author_adr&gt;&lt;_collection_scope&gt;SCIE&lt;/_collection_scope&gt;&lt;_created&gt;65410406&lt;/_created&gt;&lt;_date&gt;2021-09-26&lt;/_date&gt;&lt;_date_display&gt;2021 Sep 26&lt;/_date_display&gt;&lt;_db_updated&gt;PubMed&lt;/_db_updated&gt;&lt;_doi&gt;10.3390/biology10100959&lt;/_doi&gt;&lt;_impact_factor&gt;   4.200&lt;/_impact_factor&gt;&lt;_isbn&gt;2079-7737 (Print); 2079-7737 (Electronic); 2079-7737 (Linking)&lt;/_isbn&gt;&lt;_issue&gt;10&lt;/_issue&gt;&lt;_journal&gt;Biology (Basel)&lt;/_journal&gt;&lt;_keywords&gt;China; hyperhomocysteinemia; prevalence; updated meta-analysis&lt;/_keywords&gt;&lt;_language&gt;eng&lt;/_language&gt;&lt;_modified&gt;65412077&lt;/_modified&gt;&lt;_social_category&gt;生物学(3)&lt;/_social_category&gt;&lt;_tertiary_title&gt;Biology&lt;/_tertiary_title&gt;&lt;_type_work&gt;Journal Article; Review&lt;/_type_work&gt;&lt;_url&gt;http://www.ncbi.nlm.nih.gov/entrez/query.fcgi?cmd=Retrieve&amp;amp;db=pubmed&amp;amp;dopt=Abstract&amp;amp;list_uids=34681058&amp;amp;query_hl=1&lt;/_url&gt;&lt;_volume&gt;10&lt;/_volume&gt;&lt;/Details&gt;&lt;Extra&gt;&lt;DBUID&gt;{03752FAB-B361-4F66-989B-C711D9502F78}&lt;/DBUID&gt;&lt;/Extra&gt;&lt;/Item&gt;&lt;/References&gt;&lt;/Group&gt;&lt;/Citation&gt;_x000a_"/>
    <w:docVar w:name="NE.Ref{AD14F9EA-E0E5-44BB-944B-7C8D0EFD70CC}" w:val=" ADDIN NE.Ref.{AD14F9EA-E0E5-44BB-944B-7C8D0EFD70CC}&lt;Citation&gt;&lt;Group&gt;&lt;References&gt;&lt;Item&gt;&lt;ID&gt;579&lt;/ID&gt;&lt;UID&gt;{5969F0EC-44E1-4118-A632-14F05E5AD0F0}&lt;/UID&gt;&lt;Title&gt;Prevalence of Hyperhomocysteinemia in China: An Updated Meta-Analysis&lt;/Title&gt;&lt;Template&gt;Journal Article&lt;/Template&gt;&lt;Star&gt;0&lt;/Star&gt;&lt;Tag&gt;5&lt;/Tag&gt;&lt;Author&gt;Zeng, Y; Li, F F; Yuan, S Q; Tang, H K; Zhou, J H; He, Q Y; Baker, J S; Dong, Y H; Yang, Y D&lt;/Author&gt;&lt;Year&gt;2021&lt;/Year&gt;&lt;Details&gt;&lt;_accession_num&gt;34681058&lt;/_accession_num&gt;&lt;_author_adr&gt;Key Laboratory of Molecular Epidemiology of Hunan Province, School of Medicine,  Hunan Normal University, Changsha 410081, China.; Centre for Health and Exercise Science Research, Hong Kong Baptist University,  Kowloon Tong, Hong Kong 999077, China.; Centre for Health and Exercise Science Research, Department of Sport, Physical  Education and Health, Hong Kong Baptist University, Kowloon Tong, Hong Kong  999077, China.; Key Laboratory of Molecular Epidemiology of Hunan Province, School of Medicine,  Hunan Normal University, Changsha 410081, China.; Key Laboratory of Molecular Epidemiology of Hunan Province, School of Medicine,  Hunan Normal University, Changsha 410081, China.; Key Laboratory of Molecular Epidemiology of Hunan Province, School of Medicine,  Hunan Normal University, Changsha 410081, China.; Key Laboratory of Molecular Epidemiology of Hunan Province, School of Medicine,  Hunan Normal University, Changsha 410081, China.; Centre for Health and Exercise Science Research, Hong Kong Baptist University,  Kowloon Tong, Hong Kong 999077, China.; Centre for Health and Exercise Science Research, Department of Sport, Physical  Education and Health, Hong Kong Baptist University, Kowloon Tong, Hong Kong  999077, China.; Institute of Child and Adolescent Health, School of Public Health, Peking  University Health Science Center, Beijing 100191, China.; Key Laboratory of Molecular Epidemiology of Hunan Province, School of Medicine,  Hunan Normal University, Changsha 410081, China.&lt;/_author_adr&gt;&lt;_collection_scope&gt;SCIE&lt;/_collection_scope&gt;&lt;_created&gt;65410406&lt;/_created&gt;&lt;_date&gt;2021-09-26&lt;/_date&gt;&lt;_date_display&gt;2021 Sep 26&lt;/_date_display&gt;&lt;_db_updated&gt;PubMed&lt;/_db_updated&gt;&lt;_doi&gt;10.3390/biology10100959&lt;/_doi&gt;&lt;_impact_factor&gt;   4.200&lt;/_impact_factor&gt;&lt;_isbn&gt;2079-7737 (Print); 2079-7737 (Electronic); 2079-7737 (Linking)&lt;/_isbn&gt;&lt;_issue&gt;10&lt;/_issue&gt;&lt;_journal&gt;Biology (Basel)&lt;/_journal&gt;&lt;_keywords&gt;China; hyperhomocysteinemia; prevalence; updated meta-analysis&lt;/_keywords&gt;&lt;_language&gt;eng&lt;/_language&gt;&lt;_modified&gt;65412089&lt;/_modified&gt;&lt;_social_category&gt;生物学(3)&lt;/_social_category&gt;&lt;_tertiary_title&gt;Biology&lt;/_tertiary_title&gt;&lt;_type_work&gt;Journal Article; Review&lt;/_type_work&gt;&lt;_url&gt;http://www.ncbi.nlm.nih.gov/entrez/query.fcgi?cmd=Retrieve&amp;amp;db=pubmed&amp;amp;dopt=Abstract&amp;amp;list_uids=34681058&amp;amp;query_hl=1&lt;/_url&gt;&lt;_volume&gt;10&lt;/_volume&gt;&lt;/Details&gt;&lt;Extra&gt;&lt;DBUID&gt;{03752FAB-B361-4F66-989B-C711D9502F78}&lt;/DBUID&gt;&lt;/Extra&gt;&lt;/Item&gt;&lt;/References&gt;&lt;/Group&gt;&lt;Group&gt;&lt;References&gt;&lt;Item&gt;&lt;ID&gt;574&lt;/ID&gt;&lt;UID&gt;{B3E0E093-BD43-4E5C-8262-74ED97B3C5F9}&lt;/UID&gt;&lt;Title&gt;短暂性脑缺血发作的住院费用构成及其影响因素分析&lt;/Title&gt;&lt;Template&gt;Thesis&lt;/Template&gt;&lt;Star&gt;0&lt;/Star&gt;&lt;Tag&gt;5&lt;/Tag&gt;&lt;Author&gt;张婷婷&lt;/Author&gt;&lt;Year&gt;2010&lt;/Year&gt;&lt;Details&gt;&lt;_cited_count&gt;1&lt;/_cited_count&gt;&lt;_created&gt;65410383&lt;/_created&gt;&lt;_db_updated&gt;CNKI - Reference&lt;/_db_updated&gt;&lt;_keywords&gt;短暂性脑缺血发作;住院费用;影响因素;多元线性回归分析&lt;/_keywords&gt;&lt;_modified&gt;65412090&lt;/_modified&gt;&lt;_pages&gt;33&lt;/_pages&gt;&lt;_publisher&gt;大连医科大学&lt;/_publisher&gt;&lt;_tertiary_author&gt;赵杰&lt;/_tertiary_author&gt;&lt;_url&gt;https://kns.cnki.net/kcms2/article/abstract?v=FC2wxXHna7pURa_2SQea9PMDx9FnJ4hg9azV3EyGUagyLbPeTAwJs4EQXx6iBwjrCIW_oyv7yjPcDqJFMfk_GG2hx97RlUUGKNM0OfsDtWgEA_LgfZ7kETOszsqh2bDV5ujcYrg1pYWLXblgIv8WaQ==&amp;amp;uniplatform=NZKPT&amp;amp;language=CHS&lt;/_url&gt;&lt;_volume&gt;硕士&lt;/_volume&gt;&lt;_translated_author&gt;Zhang, Ting ting&lt;/_translated_author&gt;&lt;_translated_tertiary_author&gt;Zhao, Jie&lt;/_translated_tertiary_author&gt;&lt;/Details&gt;&lt;Extra&gt;&lt;DBUID&gt;{03752FAB-B361-4F66-989B-C711D9502F78}&lt;/DBUID&gt;&lt;/Extra&gt;&lt;/Item&gt;&lt;/References&gt;&lt;/Group&gt;&lt;Group&gt;&lt;References&gt;&lt;Item&gt;&lt;ID&gt;568&lt;/ID&gt;&lt;UID&gt;{AF99901A-A285-4BD6-B6C2-5FD8AA8507D9}&lt;/UID&gt;&lt;Title&gt;Low and high homocysteine are associated with mortality independent of B group  vitamins but interactive with cognitive status in a free-living elderly cohort&lt;/Title&gt;&lt;Template&gt;Journal Article&lt;/Template&gt;&lt;Star&gt;0&lt;/Star&gt;&lt;Tag&gt;5&lt;/Tag&gt;&lt;Author&gt;Xiu, L L; Lee, M S; Wahlqvist, M L; Chen, R C; Huang, Y C; Chen, K J; Li, D&lt;/Author&gt;&lt;Year&gt;2012&lt;/Year&gt;&lt;Details&gt;&lt;_accession_num&gt;23244538&lt;/_accession_num&gt;&lt;_author_adr&gt;Department of Food and Nutritional Science, Zhejiang University, Hangzhou,  Zhejiang, China.&lt;/_author_adr&gt;&lt;_collection_scope&gt;SCIE&lt;/_collection_scope&gt;&lt;_created&gt;65410351&lt;/_created&gt;&lt;_date&gt;2012-12-01&lt;/_date&gt;&lt;_date_display&gt;2012 Dec&lt;/_date_display&gt;&lt;_db_updated&gt;PubMed&lt;/_db_updated&gt;&lt;_doi&gt;10.1016/j.nutres.2012.09.005&lt;/_doi&gt;&lt;_impact_factor&gt;   4.500&lt;/_impact_factor&gt;&lt;_isbn&gt;1879-0739 (Electronic); 0271-5317 (Linking)&lt;/_isbn&gt;&lt;_issue&gt;12&lt;/_issue&gt;&lt;_journal&gt;Nutr Res&lt;/_journal&gt;&lt;_language&gt;eng&lt;/_language&gt;&lt;_modified&gt;65412089&lt;/_modified&gt;&lt;_ori_publication&gt;Copyright (c) 2012 Elsevier Inc. All rights reserved.&lt;/_ori_publication&gt;&lt;_pages&gt;928-39&lt;/_pages&gt;&lt;_social_category&gt;营养学(3)&lt;/_social_category&gt;&lt;_subject_headings&gt;Adult; Aged; Aged, 80 and over; Alcohol Drinking; Biomarkers/blood; *Cause of Death; *Cognition; Cognition Disorders/blood/complications/*mortality; Diet; Female; Homocysteine/*blood; Humans; Hyperhomocysteinemia/blood/complications/*mortality; Male; Mortality, Premature; Proportional Hazards Models; Smoking; Socioeconomic Factors; Surveys and Questionnaires; Vitamin B Complex/*blood; Vitamin B Deficiency/blood/complications/*mortality&lt;/_subject_headings&gt;&lt;_tertiary_title&gt;Nutrition research (New York, N.Y.)&lt;/_tertiary_title&gt;&lt;_type_work&gt;Journal Article&lt;/_type_work&gt;&lt;_url&gt;http://www.ncbi.nlm.nih.gov/entrez/query.fcgi?cmd=Retrieve&amp;amp;db=pubmed&amp;amp;dopt=Abstract&amp;amp;list_uids=23244538&amp;amp;query_hl=1&lt;/_url&gt;&lt;_volume&gt;32&lt;/_volume&gt;&lt;/Details&gt;&lt;Extra&gt;&lt;DBUID&gt;{03752FAB-B361-4F66-989B-C711D9502F78}&lt;/DBUID&gt;&lt;/Extra&gt;&lt;/Item&gt;&lt;/References&gt;&lt;/Group&gt;&lt;/Citation&gt;_x000a_"/>
    <w:docVar w:name="NE.Ref{BA2DC711-84FE-435F-A662-C158983CF93D}" w:val=" ADDIN NE.Ref.{BA2DC711-84FE-435F-A662-C158983CF93D}&lt;Citation&gt;&lt;Group&gt;&lt;References&gt;&lt;Item&gt;&lt;ID&gt;574&lt;/ID&gt;&lt;UID&gt;{B3E0E093-BD43-4E5C-8262-74ED97B3C5F9}&lt;/UID&gt;&lt;Title&gt;短暂性脑缺血发作的住院费用构成及其影响因素分析&lt;/Title&gt;&lt;Template&gt;Thesis&lt;/Template&gt;&lt;Star&gt;0&lt;/Star&gt;&lt;Tag&gt;5&lt;/Tag&gt;&lt;Author&gt;张婷婷&lt;/Author&gt;&lt;Year&gt;2010&lt;/Year&gt;&lt;Details&gt;&lt;_cited_count&gt;1&lt;/_cited_count&gt;&lt;_created&gt;65410383&lt;/_created&gt;&lt;_db_updated&gt;CNKI - Reference&lt;/_db_updated&gt;&lt;_keywords&gt;短暂性脑缺血发作;住院费用;影响因素;多元线性回归分析&lt;/_keywords&gt;&lt;_modified&gt;65412090&lt;/_modified&gt;&lt;_pages&gt;33&lt;/_pages&gt;&lt;_publisher&gt;大连医科大学&lt;/_publisher&gt;&lt;_tertiary_author&gt;赵杰&lt;/_tertiary_author&gt;&lt;_url&gt;https://kns.cnki.net/kcms2/article/abstract?v=FC2wxXHna7pURa_2SQea9PMDx9FnJ4hg9azV3EyGUagyLbPeTAwJs4EQXx6iBwjrCIW_oyv7yjPcDqJFMfk_GG2hx97RlUUGKNM0OfsDtWgEA_LgfZ7kETOszsqh2bDV5ujcYrg1pYWLXblgIv8WaQ==&amp;amp;uniplatform=NZKPT&amp;amp;language=CHS&lt;/_url&gt;&lt;_volume&gt;硕士&lt;/_volume&gt;&lt;_translated_author&gt;Zhang, Ting ting&lt;/_translated_author&gt;&lt;_translated_tertiary_author&gt;Zhao, Jie&lt;/_translated_tertiary_author&gt;&lt;/Details&gt;&lt;Extra&gt;&lt;DBUID&gt;{03752FAB-B361-4F66-989B-C711D9502F78}&lt;/DBUID&gt;&lt;/Extra&gt;&lt;/Item&gt;&lt;/References&gt;&lt;/Group&gt;&lt;/Citation&gt;_x000a_"/>
    <w:docVar w:name="NE.Ref{CB88AF3C-CF4B-46C2-8767-2617A2DAD1F1}" w:val=" ADDIN NE.Ref.{CB88AF3C-CF4B-46C2-8767-2617A2DAD1F1}&lt;Citation&gt;&lt;Group&gt;&lt;References&gt;&lt;Item&gt;&lt;ID&gt;579&lt;/ID&gt;&lt;UID&gt;{5969F0EC-44E1-4118-A632-14F05E5AD0F0}&lt;/UID&gt;&lt;Title&gt;Prevalence of Hyperhomocysteinemia in China: An Updated Meta-Analysis&lt;/Title&gt;&lt;Template&gt;Journal Article&lt;/Template&gt;&lt;Star&gt;0&lt;/Star&gt;&lt;Tag&gt;5&lt;/Tag&gt;&lt;Author&gt;Zeng, Y; Li, F F; Yuan, S Q; Tang, H K; Zhou, J H; He, Q Y; Baker, J S; Dong, Y H; Yang, Y D&lt;/Author&gt;&lt;Year&gt;2021&lt;/Year&gt;&lt;Details&gt;&lt;_accession_num&gt;34681058&lt;/_accession_num&gt;&lt;_author_adr&gt;Key Laboratory of Molecular Epidemiology of Hunan Province, School of Medicine,  Hunan Normal University, Changsha 410081, China.; Centre for Health and Exercise Science Research, Hong Kong Baptist University,  Kowloon Tong, Hong Kong 999077, China.; Centre for Health and Exercise Science Research, Department of Sport, Physical  Education and Health, Hong Kong Baptist University, Kowloon Tong, Hong Kong  999077, China.; Key Laboratory of Molecular Epidemiology of Hunan Province, School of Medicine,  Hunan Normal University, Changsha 410081, China.; Key Laboratory of Molecular Epidemiology of Hunan Province, School of Medicine,  Hunan Normal University, Changsha 410081, China.; Key Laboratory of Molecular Epidemiology of Hunan Province, School of Medicine,  Hunan Normal University, Changsha 410081, China.; Key Laboratory of Molecular Epidemiology of Hunan Province, School of Medicine,  Hunan Normal University, Changsha 410081, China.; Centre for Health and Exercise Science Research, Hong Kong Baptist University,  Kowloon Tong, Hong Kong 999077, China.; Centre for Health and Exercise Science Research, Department of Sport, Physical  Education and Health, Hong Kong Baptist University, Kowloon Tong, Hong Kong  999077, China.; Institute of Child and Adolescent Health, School of Public Health, Peking  University Health Science Center, Beijing 100191, China.; Key Laboratory of Molecular Epidemiology of Hunan Province, School of Medicine,  Hunan Normal University, Changsha 410081, China.&lt;/_author_adr&gt;&lt;_collection_scope&gt;SCIE&lt;/_collection_scope&gt;&lt;_created&gt;65410406&lt;/_created&gt;&lt;_date&gt;2021-09-26&lt;/_date&gt;&lt;_date_display&gt;2021 Sep 26&lt;/_date_display&gt;&lt;_db_updated&gt;PubMed&lt;/_db_updated&gt;&lt;_doi&gt;10.3390/biology10100959&lt;/_doi&gt;&lt;_impact_factor&gt;   4.200&lt;/_impact_factor&gt;&lt;_isbn&gt;2079-7737 (Print); 2079-7737 (Electronic); 2079-7737 (Linking)&lt;/_isbn&gt;&lt;_issue&gt;10&lt;/_issue&gt;&lt;_journal&gt;Biology (Basel)&lt;/_journal&gt;&lt;_keywords&gt;China; hyperhomocysteinemia; prevalence; updated meta-analysis&lt;/_keywords&gt;&lt;_language&gt;eng&lt;/_language&gt;&lt;_modified&gt;65412089&lt;/_modified&gt;&lt;_social_category&gt;生物学(3)&lt;/_social_category&gt;&lt;_tertiary_title&gt;Biology&lt;/_tertiary_title&gt;&lt;_type_work&gt;Journal Article; Review&lt;/_type_work&gt;&lt;_url&gt;http://www.ncbi.nlm.nih.gov/entrez/query.fcgi?cmd=Retrieve&amp;amp;db=pubmed&amp;amp;dopt=Abstract&amp;amp;list_uids=34681058&amp;amp;query_hl=1&lt;/_url&gt;&lt;_volume&gt;10&lt;/_volume&gt;&lt;/Details&gt;&lt;Extra&gt;&lt;DBUID&gt;{03752FAB-B361-4F66-989B-C711D9502F78}&lt;/DBUID&gt;&lt;/Extra&gt;&lt;/Item&gt;&lt;/References&gt;&lt;/Group&gt;&lt;Group&gt;&lt;References&gt;&lt;Item&gt;&lt;ID&gt;565&lt;/ID&gt;&lt;UID&gt;{AF756026-05D9-4F6B-9149-FA97C49243FF}&lt;/UID&gt;&lt;Title&gt;Prevalence, Incidence, Prognosis, Early Stroke Risk, and Stroke-Related  Prognostic Factors of Definite or Probable Transient Ischemic Attacks in China,  2013&lt;/Title&gt;&lt;Template&gt;Journal Article&lt;/Template&gt;&lt;Star&gt;0&lt;/Star&gt;&lt;Tag&gt;5&lt;/Tag&gt;&lt;Author&gt;Jiang, B; Sun, H; Ru, X; Sun, D; Chen, Z; Liu, H; Li, Y; Zhang, M; Wang, L; Wang, L; Wu, S; Wang, W&lt;/Author&gt;&lt;Year&gt;2017&lt;/Year&gt;&lt;Details&gt;&lt;_accession_num&gt;28713329&lt;/_accession_num&gt;&lt;_author_adr&gt;Department of Neuroepidemiology, Beijing Neurosurgical Institute, Beijing Tiantan  Hospital, Capital Medical University, Beijing, China.; Beijing Municipal Key Laboratory of Clinical Epidemiology, Beijing, China.; Department of Neuroepidemiology, Beijing Neurosurgical Institute, Beijing Tiantan  Hospital, Capital Medical University, Beijing, China.; Beijing Municipal Key Laboratory of Clinical Epidemiology, Beijing, China.; Department of Neuroepidemiology, Beijing Neurosurgical Institute, Beijing Tiantan  Hospital, Capital Medical University, Beijing, China.; Beijing Municipal Key Laboratory of Clinical Epidemiology, Beijing, China.; Department of Neuroepidemiology, Beijing Neurosurgical Institute, Beijing Tiantan  Hospital, Capital Medical University, Beijing, China.; Beijing Municipal Key Laboratory of Clinical Epidemiology, Beijing, China.; Department of Neuroepidemiology, Beijing Neurosurgical Institute, Beijing Tiantan  Hospital, Capital Medical University, Beijing, China.; Beijing Municipal Key Laboratory of Clinical Epidemiology, Beijing, China.; Department of Neuroepidemiology, Beijing Neurosurgical Institute, Beijing Tiantan  Hospital, Capital Medical University, Beijing, China.; Beijing Municipal Key Laboratory of Clinical Epidemiology, Beijing, China.; National Office for Cerebrovascular Diseases (CVD) Prevention and Control in  China, Beijing, China.; National Center for Chronic and Non-communicable Disease Control and Prevention,  Chinese Center for Disease Control and Prevention, Beijing, China.; National Center for Chronic and Non-communicable Disease Control and Prevention,  Chinese Center for Disease Control and Prevention, Beijing, China.; National Center for Chronic and Non-communicable Disease Control and Prevention,  Chinese Center for Disease Control and Prevention, Beijing, China.; National Center for Chronic and Non-communicable Disease Control and Prevention,  Chinese Center for Disease Control and Prevention, Beijing, China.; Department of Neuroepidemiology, Beijing Neurosurgical Institute, Beijing Tiantan  Hospital, Capital Medical University, Beijing, China.; Beijing Municipal Key Laboratory of Clinical Epidemiology, Beijing, China.; Department of Neuroepidemiology, Beijing Neurosurgical Institute, Beijing Tiantan  Hospital, Capital Medical University, Beijing, China.; Beijing Municipal Key Laboratory of Clinical Epidemiology, Beijing, China.; National Office for Cerebrovascular Diseases (CVD) Prevention and Control in  China, Beijing, China.&lt;/_author_adr&gt;&lt;_collection_scope&gt;SCIE&lt;/_collection_scope&gt;&lt;_created&gt;65410309&lt;/_created&gt;&lt;_date&gt;2017-01-20&lt;/_date&gt;&lt;_date_display&gt;2017&lt;/_date_display&gt;&lt;_db_updated&gt;PubMed&lt;/_db_updated&gt;&lt;_doi&gt;10.3389/fneur.2017.00309&lt;/_doi&gt;&lt;_impact_factor&gt;   3.400&lt;/_impact_factor&gt;&lt;_isbn&gt;1664-2295 (Print); 1664-2295 (Electronic); 1664-2295 (Linking)&lt;/_isbn&gt;&lt;_journal&gt;Front Neurol&lt;/_journal&gt;&lt;_keywords&gt;incidence; prevalence; prognosis; prognostic factors; stroke; transient ischemic attacks&lt;/_keywords&gt;&lt;_language&gt;eng&lt;/_language&gt;&lt;_modified&gt;65412080&lt;/_modified&gt;&lt;_pages&gt;309&lt;/_pages&gt;&lt;_social_category&gt;临床神经病学(3) &amp;amp; 神经科学(3)&lt;/_social_category&gt;&lt;_tertiary_title&gt;Frontiers in neurology&lt;/_tertiary_title&gt;&lt;_type_work&gt;Journal Article&lt;/_type_work&gt;&lt;_url&gt;http://www.ncbi.nlm.nih.gov/entrez/query.fcgi?cmd=Retrieve&amp;amp;db=pubmed&amp;amp;dopt=Abstract&amp;amp;list_uids=28713329&amp;amp;query_hl=1&lt;/_url&gt;&lt;_volume&gt;8&lt;/_volume&gt;&lt;/Details&gt;&lt;Extra&gt;&lt;DBUID&gt;{03752FAB-B361-4F66-989B-C711D9502F78}&lt;/DBUID&gt;&lt;/Extra&gt;&lt;/Item&gt;&lt;/References&gt;&lt;/Group&gt;&lt;Group&gt;&lt;References&gt;&lt;Item&gt;&lt;ID&gt;564&lt;/ID&gt;&lt;UID&gt;{74088D00-B214-4E5D-A453-F90EB0DAB3C4}&lt;/UID&gt;&lt;Title&gt;高同型半胱氨酸血症与短暂性脑缺血发作及预后的关系&lt;/Title&gt;&lt;Template&gt;Journal Article&lt;/Template&gt;&lt;Star&gt;0&lt;/Star&gt;&lt;Tag&gt;5&lt;/Tag&gt;&lt;Author&gt;黄铿伟; 魏越浩; 黄毓华; 张深山; 林雪莹; 曾宪杰&lt;/Author&gt;&lt;Year&gt;2015&lt;/Year&gt;&lt;Details&gt;&lt;_author_aff&gt;广东省潮州市潮州医院神经内科;&lt;/_author_aff&gt;&lt;_cited_count&gt;12&lt;/_cited_count&gt;&lt;_created&gt;65410306&lt;/_created&gt;&lt;_date&gt;2015-05-25&lt;/_date&gt;&lt;_db_updated&gt;CNKI - Reference&lt;/_db_updated&gt;&lt;_issue&gt;10&lt;/_issue&gt;&lt;_journal&gt;广东医学&lt;/_journal&gt;&lt;_keywords&gt;高同型半胱氨酸血症;短暂性脑缺血发作;预后&lt;/_keywords&gt;&lt;_modified&gt;65412080&lt;/_modified&gt;&lt;_pages&gt;1568-1570&lt;/_pages&gt;&lt;_url&gt;https://link.cnki.net/doi/10.13820/j.cnki.gdyx.2015.10.028&lt;/_url&gt;&lt;_volume&gt;36&lt;/_volume&gt;&lt;_translated_author&gt;Huang, Keng wei;Wei, Yue hao;Huang, Yu hua;Zhang, Shen shan;Lin, Xue ying;Ceng, Xian jie&lt;/_translated_author&gt;&lt;/Details&gt;&lt;Extra&gt;&lt;DBUID&gt;{03752FAB-B361-4F66-989B-C711D9502F78}&lt;/DBUID&gt;&lt;/Extra&gt;&lt;/Item&gt;&lt;/References&gt;&lt;/Group&gt;&lt;/Citation&gt;_x000a_"/>
    <w:docVar w:name="NE.Ref{EB7C30E8-1B65-4AE4-AF8F-A3738271E5FC}" w:val=" ADDIN NE.Ref.{EB7C30E8-1B65-4AE4-AF8F-A3738271E5FC}&lt;Citation&gt;&lt;Group&gt;&lt;References&gt;&lt;Item&gt;&lt;ID&gt;566&lt;/ID&gt;&lt;UID&gt;{063D1E13-077C-40D7-AA98-D9733DFB4E60}&lt;/UID&gt;&lt;Title&gt;Association of homocysteine level with risk of stroke: A dose-response  meta-analysis of prospective cohort studies&lt;/Title&gt;&lt;Template&gt;Journal Article&lt;/Template&gt;&lt;Star&gt;0&lt;/Star&gt;&lt;Tag&gt;5&lt;/Tag&gt;&lt;Author&gt;Wu, X; Zhou, Q; Chen, Q; Li, Q; Guo, C; Tian, G; Qie, R; Han, M; Huang, S; Li, Y; Yang, X; Zhao, Y; Feng, Y; Liu, D; Qin, P; Hu, D; Zhang, M&lt;/Author&gt;&lt;Year&gt;2020&lt;/Year&gt;&lt;Details&gt;&lt;_accession_num&gt;32912796&lt;/_accession_num&gt;&lt;_author_adr&gt;Department of Epidemiology and Health Statistics, School of Public Health,  Shenzhen University Health Science Center, Shenzhen, Guangdong, People&amp;apos;s Republic  of China.; Department of Epidemiology and Health Statistics, School of Public Health,  Shenzhen University Health Science Center, Shenzhen, Guangdong, People&amp;apos;s Republic  of China.; Department of Mental Health, Bao&amp;apos;an Chronic Diseases Prevent and Cure Hospital,  Shenzhen, Guangdong, People&amp;apos;s Republic of China.; Department of Epidemiology and Health Statistics, College of Public Health,  Zhengzhou University, Henan, People&amp;apos;s Republic of China.; Department of Epidemiology and Health Statistics, College of Public Health,  Zhengzhou University, Henan, People&amp;apos;s Republic of China.; Department of Epidemiology and Health Statistics, College of Public Health,  Zhengzhou University, Henan, People&amp;apos;s Republic of China.; Department of Epidemiology and Health Statistics, College of Public Health,  Zhengzhou University, Henan, People&amp;apos;s Republic of China.; Department of Mental Health, Bao&amp;apos;an Chronic Diseases Prevent and Cure Hospital,  Shenzhen, Guangdong, People&amp;apos;s Republic of China.; Department of Mental Health, Bao&amp;apos;an Chronic Diseases Prevent and Cure Hospital,  Shenzhen, Guangdong, People&amp;apos;s Republic of China.; Department of Mental Health, Bao&amp;apos;an Chronic Diseases Prevent and Cure Hospital,  Shenzhen, Guangdong, People&amp;apos;s Republic of China.; Department of Epidemiology and Health Statistics, College of Public Health,  Zhengzhou University, Henan, People&amp;apos;s Republic of China.; Department of Epidemiology and Health Statistics, College of Public Health,  Zhengzhou University, Henan, People&amp;apos;s Republic of China.; Department of Epidemiology and Health Statistics, College of Public Health,  Zhengzhou University, Henan, People&amp;apos;s Republic of China.; Department of Epidemiology and Health Statistics, College of Public Health,  Zhengzhou University, Henan, People&amp;apos;s Republic of China.; Department of Epidemiology and Health Statistics, School of Public Health,  Shenzhen University Health Science Center, Shenzhen, Guangdong, People&amp;apos;s Republic  of China.; Department of Epidemiology and Health Statistics, School of Public Health,  Shenzhen University Health Science Center, Shenzhen, Guangdong, People&amp;apos;s Republic  of China; Department of Mental Health, Bao&amp;apos;an Chronic Diseases Prevent and Cure  Hospital, Shenzhen, Guangdong, People&amp;apos;s Republic of China; Department of  Epidemiology and Health Statistics, College of Public Health, Zhengzhou  University, Henan, People&amp;apos;s Republic of China.; Department of Epidemiology and Health Statistics, School of Public Health,  Shenzhen University Health Science Center, Shenzhen, Guangdong, People&amp;apos;s Republic  of China. Electronic address: zhangming1720@sina.com.&lt;/_author_adr&gt;&lt;_collection_scope&gt;SCIE&lt;/_collection_scope&gt;&lt;_created&gt;65410316&lt;/_created&gt;&lt;_date&gt;2020-10-30&lt;/_date&gt;&lt;_date_display&gt;2020 Oct 30&lt;/_date_display&gt;&lt;_db_updated&gt;PubMed&lt;/_db_updated&gt;&lt;_doi&gt;10.1016/j.numecd.2020.07.026&lt;/_doi&gt;&lt;_impact_factor&gt;   3.900&lt;/_impact_factor&gt;&lt;_isbn&gt;1590-3729 (Electronic); 0939-4753 (Linking)&lt;/_isbn&gt;&lt;_issue&gt;11&lt;/_issue&gt;&lt;_journal&gt;Nutr Metab Cardiovasc Dis&lt;/_journal&gt;&lt;_keywords&gt;Dose-response; Homocysteine; Meta-analysis; Prospective cohort studies; Stroke&lt;/_keywords&gt;&lt;_language&gt;eng&lt;/_language&gt;&lt;_modified&gt;65412078&lt;/_modified&gt;&lt;_ori_publication&gt;Copyright (c) 2020 The Italian Diabetes Society, the Italian Society for the Study _x000d__x000a_      of Atherosclerosis, the Italian Society of Human Nutrition and the Department of _x000d__x000a_      Clinical Medicine and Surgery, Federico II University. Published by Elsevier B.V. _x000d__x000a_      All rights reserved.&lt;/_ori_publication&gt;&lt;_pages&gt;1861-1869&lt;/_pages&gt;&lt;_social_category&gt;心脏和心血管系统(3) &amp;amp; 内分泌学与代谢(3) &amp;amp; 营养学(3)&lt;/_social_category&gt;&lt;_subject_headings&gt;Aged; Biomarkers/blood; Female; Homocysteine/*blood; Humans; Hyperhomocysteinemia/*blood/diagnosis/epidemiology; Male; Middle Aged; Prospective Studies; Risk Assessment; Risk Factors; Stroke/diagnosis/*epidemiology; Up-Regulation&lt;/_subject_headings&gt;&lt;_tertiary_title&gt;Nutrition, metabolism, and cardiovascular diseases : NMCD&lt;/_tertiary_title&gt;&lt;_type_work&gt;Journal Article; Meta-Analysis; Research Support, Non-U.S. Gov&amp;apos;t; Systematic Review&lt;/_type_work&gt;&lt;_url&gt;http://www.ncbi.nlm.nih.gov/entrez/query.fcgi?cmd=Retrieve&amp;amp;db=pubmed&amp;amp;dopt=Abstract&amp;amp;list_uids=32912796&amp;amp;query_hl=1&lt;/_url&gt;&lt;_volume&gt;30&lt;/_volume&gt;&lt;/Details&gt;&lt;Extra&gt;&lt;DBUID&gt;{03752FAB-B361-4F66-989B-C711D9502F78}&lt;/DBUID&gt;&lt;/Extra&gt;&lt;/Item&gt;&lt;/References&gt;&lt;/Group&gt;&lt;Group&gt;&lt;References&gt;&lt;Item&gt;&lt;ID&gt;567&lt;/ID&gt;&lt;UID&gt;{58E49A49-269B-4F72-9CF4-3A3E569DB062}&lt;/UID&gt;&lt;Title&gt;Folic Acid Supplementation and the Risk of Cardiovascular Diseases: A  Meta-Analysis of Randomized Controlled Trials&lt;/Title&gt;&lt;Template&gt;Journal Article&lt;/Template&gt;&lt;Star&gt;0&lt;/Star&gt;&lt;Tag&gt;5&lt;/Tag&gt;&lt;Author&gt;Li, Y; Huang, T; Zheng, Y; Muka, T; Troup, J; Hu, F B&lt;/Author&gt;&lt;Year&gt;2016&lt;/Year&gt;&lt;Details&gt;&lt;_accession_num&gt;27528407&lt;/_accession_num&gt;&lt;_author_adr&gt;Department of Nutrition, Harvard T.H. Chan School of Public Health, Boston, MA.; Department of Nutrition, Harvard T.H. Chan School of Public Health, Boston, MA  Channing Division of Network Medicine, Department of Medicine, Brigham and  Women&amp;apos;s Hospital, Harvard Medical School, Boston, MA.; Department of Nutrition, Harvard T.H. Chan School of Public Health, Boston, MA.; Department of Epidemiology, Erasmus MC, Rotterdam, The Netherlands.; Department of Epidemiology, Erasmus MC, Rotterdam, The Netherlands.; Department of Nutrition, Harvard T.H. Chan School of Public Health, Boston, MA  Department of Epidemiology, Harvard T.H. Chan School of Public Health, Boston, MA  Channing Division of Network Medicine, Department of Medicine, Brigham and  Women&amp;apos;s Hospital, Harvard Medical School, Boston, MA nhbfh@channing.harvard.edu.&lt;/_author_adr&gt;&lt;_collection_scope&gt;SCIE&lt;/_collection_scope&gt;&lt;_created&gt;65410319&lt;/_created&gt;&lt;_date&gt;2016-08-15&lt;/_date&gt;&lt;_date_display&gt;2016 Aug 15&lt;/_date_display&gt;&lt;_db_updated&gt;PubMed&lt;/_db_updated&gt;&lt;_doi&gt;10.1161/JAHA.116.003768&lt;/_doi&gt;&lt;_impact_factor&gt;   5.400&lt;/_impact_factor&gt;&lt;_isbn&gt;2047-9980 (Electronic); 2047-9980 (Linking)&lt;/_isbn&gt;&lt;_issue&gt;8&lt;/_issue&gt;&lt;_journal&gt;J Am Heart Assoc&lt;/_journal&gt;&lt;_keywords&gt;cardiovascular disease prevention; folate; stroke prevention&lt;/_keywords&gt;&lt;_language&gt;eng&lt;/_language&gt;&lt;_modified&gt;65412084&lt;/_modified&gt;&lt;_ori_publication&gt;(c) 2016 The Authors. Published on behalf of the American Heart Association, Inc., _x000d__x000a_      by Wiley Blackwell.&lt;/_ori_publication&gt;&lt;_social_category&gt;心脏和心血管系统(2)&lt;/_social_category&gt;&lt;_subject_headings&gt;Aged; Cardiovascular Diseases/*prevention &amp;amp; control; Coronary Disease/prevention &amp;amp; control; Dietary Supplements; Female; Folic Acid/*administration &amp;amp; dosage; Humans; Hyperhomocysteinemia/*prevention &amp;amp; control; Male; Middle Aged; Randomized Controlled Trials as Topic; Risk Factors; Stroke/prevention &amp;amp; control&lt;/_subject_headings&gt;&lt;_tertiary_title&gt;Journal of the American Heart Association&lt;/_tertiary_title&gt;&lt;_type_work&gt;Journal Article; Meta-Analysis; Research Support, Non-U.S. Gov&amp;apos;t; Review&lt;/_type_work&gt;&lt;_url&gt;http://www.ncbi.nlm.nih.gov/entrez/query.fcgi?cmd=Retrieve&amp;amp;db=pubmed&amp;amp;dopt=Abstract&amp;amp;list_uids=27528407&amp;amp;query_hl=1&lt;/_url&gt;&lt;_volume&gt;5&lt;/_volume&gt;&lt;/Details&gt;&lt;Extra&gt;&lt;DBUID&gt;{03752FAB-B361-4F66-989B-C711D9502F78}&lt;/DBUID&gt;&lt;/Extra&gt;&lt;/Item&gt;&lt;/References&gt;&lt;/Group&gt;&lt;Group&gt;&lt;References&gt;&lt;Item&gt;&lt;ID&gt;579&lt;/ID&gt;&lt;UID&gt;{5969F0EC-44E1-4118-A632-14F05E5AD0F0}&lt;/UID&gt;&lt;Title&gt;Prevalence of Hyperhomocysteinemia in China: An Updated Meta-Analysis&lt;/Title&gt;&lt;Template&gt;Journal Article&lt;/Template&gt;&lt;Star&gt;0&lt;/Star&gt;&lt;Tag&gt;5&lt;/Tag&gt;&lt;Author&gt;Zeng, Y; Li, F F; Yuan, S Q; Tang, H K; Zhou, J H; He, Q Y; Baker, J S; Dong, Y H; Yang, Y D&lt;/Author&gt;&lt;Year&gt;2021&lt;/Year&gt;&lt;Details&gt;&lt;_accession_num&gt;34681058&lt;/_accession_num&gt;&lt;_author_adr&gt;Key Laboratory of Molecular Epidemiology of Hunan Province, School of Medicine,  Hunan Normal University, Changsha 410081, China.; Centre for Health and Exercise Science Research, Hong Kong Baptist University,  Kowloon Tong, Hong Kong 999077, China.; Centre for Health and Exercise Science Research, Department of Sport, Physical  Education and Health, Hong Kong Baptist University, Kowloon Tong, Hong Kong  999077, China.; Key Laboratory of Molecular Epidemiology of Hunan Province, School of Medicine,  Hunan Normal University, Changsha 410081, China.; Key Laboratory of Molecular Epidemiology of Hunan Province, School of Medicine,  Hunan Normal University, Changsha 410081, China.; Key Laboratory of Molecular Epidemiology of Hunan Province, School of Medicine,  Hunan Normal University, Changsha 410081, China.; Key Laboratory of Molecular Epidemiology of Hunan Province, School of Medicine,  Hunan Normal University, Changsha 410081, China.; Centre for Health and Exercise Science Research, Hong Kong Baptist University,  Kowloon Tong, Hong Kong 999077, China.; Centre for Health and Exercise Science Research, Department of Sport, Physical  Education and Health, Hong Kong Baptist University, Kowloon Tong, Hong Kong  999077, China.; Institute of Child and Adolescent Health, School of Public Health, Peking  University Health Science Center, Beijing 100191, China.; Key Laboratory of Molecular Epidemiology of Hunan Province, School of Medicine,  Hunan Normal University, Changsha 410081, China.&lt;/_author_adr&gt;&lt;_collection_scope&gt;SCIE&lt;/_collection_scope&gt;&lt;_created&gt;65410406&lt;/_created&gt;&lt;_date&gt;2021-09-26&lt;/_date&gt;&lt;_date_display&gt;2021 Sep 26&lt;/_date_display&gt;&lt;_db_updated&gt;PubMed&lt;/_db_updated&gt;&lt;_doi&gt;10.3390/biology10100959&lt;/_doi&gt;&lt;_impact_factor&gt;   4.200&lt;/_impact_factor&gt;&lt;_isbn&gt;2079-7737 (Print); 2079-7737 (Electronic); 2079-7737 (Linking)&lt;/_isbn&gt;&lt;_issue&gt;10&lt;/_issue&gt;&lt;_journal&gt;Biology (Basel)&lt;/_journal&gt;&lt;_keywords&gt;China; hyperhomocysteinemia; prevalence; updated meta-analysis&lt;/_keywords&gt;&lt;_language&gt;eng&lt;/_language&gt;&lt;_modified&gt;65412077&lt;/_modified&gt;&lt;_social_category&gt;生物学(3)&lt;/_social_category&gt;&lt;_tertiary_title&gt;Biology&lt;/_tertiary_title&gt;&lt;_type_work&gt;Journal Article; Review&lt;/_type_work&gt;&lt;_url&gt;http://www.ncbi.nlm.nih.gov/entrez/query.fcgi?cmd=Retrieve&amp;amp;db=pubmed&amp;amp;dopt=Abstract&amp;amp;list_uids=34681058&amp;amp;query_hl=1&lt;/_url&gt;&lt;_volume&gt;10&lt;/_volume&gt;&lt;/Details&gt;&lt;Extra&gt;&lt;DBUID&gt;{03752FAB-B361-4F66-989B-C711D9502F78}&lt;/DBUID&gt;&lt;/Extra&gt;&lt;/Item&gt;&lt;/References&gt;&lt;/Group&gt;&lt;Group&gt;&lt;References&gt;&lt;Item&gt;&lt;ID&gt;574&lt;/ID&gt;&lt;UID&gt;{B3E0E093-BD43-4E5C-8262-74ED97B3C5F9}&lt;/UID&gt;&lt;Title&gt;短暂性脑缺血发作的住院费用构成及其影响因素分析&lt;/Title&gt;&lt;Template&gt;Thesis&lt;/Template&gt;&lt;Star&gt;1&lt;/Star&gt;&lt;Tag&gt;5&lt;/Tag&gt;&lt;Author&gt;张婷婷&lt;/Author&gt;&lt;Year&gt;2010&lt;/Year&gt;&lt;Details&gt;&lt;_cited_count&gt;1&lt;/_cited_count&gt;&lt;_created&gt;65410383&lt;/_created&gt;&lt;_db_updated&gt;CNKI - Reference&lt;/_db_updated&gt;&lt;_keywords&gt;短暂性脑缺血发作;住院费用;影响因素;多元线性回归分析&lt;/_keywords&gt;&lt;_modified&gt;65412078&lt;/_modified&gt;&lt;_pages&gt;33&lt;/_pages&gt;&lt;_publisher&gt;大连医科大学&lt;/_publisher&gt;&lt;_tertiary_author&gt;赵杰&lt;/_tertiary_author&gt;&lt;_url&gt;https://kns.cnki.net/kcms2/article/abstract?v=FC2wxXHna7pURa_2SQea9PMDx9FnJ4hg9azV3EyGUagyLbPeTAwJs4EQXx6iBwjrCIW_oyv7yjPcDqJFMfk_GG2hx97RlUUGKNM0OfsDtWgEA_LgfZ7kETOszsqh2bDV5ujcYrg1pYWLXblgIv8WaQ==&amp;amp;uniplatform=NZKPT&amp;amp;language=CHS&lt;/_url&gt;&lt;_volume&gt;硕士&lt;/_volume&gt;&lt;_translated_author&gt;Zhang, Ting ting&lt;/_translated_author&gt;&lt;_translated_tertiary_author&gt;Zhao, Jie&lt;/_translated_tertiary_author&gt;&lt;/Details&gt;&lt;Extra&gt;&lt;DBUID&gt;{03752FAB-B361-4F66-989B-C711D9502F78}&lt;/DBUID&gt;&lt;/Extra&gt;&lt;/Item&gt;&lt;/References&gt;&lt;/Group&gt;&lt;/Citation&gt;_x000a_"/>
    <w:docVar w:name="NE.Ref{F04814F7-38F2-4A13-BE91-755C9EC4C383}" w:val=" ADDIN NE.Ref.{F04814F7-38F2-4A13-BE91-755C9EC4C383}&lt;Citation&gt;&lt;Group&gt;&lt;References&gt;&lt;Item&gt;&lt;ID&gt;574&lt;/ID&gt;&lt;UID&gt;{B3E0E093-BD43-4E5C-8262-74ED97B3C5F9}&lt;/UID&gt;&lt;Title&gt;短暂性脑缺血发作的住院费用构成及其影响因素分析&lt;/Title&gt;&lt;Template&gt;Thesis&lt;/Template&gt;&lt;Star&gt;0&lt;/Star&gt;&lt;Tag&gt;5&lt;/Tag&gt;&lt;Author&gt;张婷婷&lt;/Author&gt;&lt;Year&gt;2010&lt;/Year&gt;&lt;Details&gt;&lt;_cited_count&gt;1&lt;/_cited_count&gt;&lt;_created&gt;65410383&lt;/_created&gt;&lt;_db_updated&gt;CNKI - Reference&lt;/_db_updated&gt;&lt;_keywords&gt;短暂性脑缺血发作;住院费用;影响因素;多元线性回归分析&lt;/_keywords&gt;&lt;_modified&gt;65412090&lt;/_modified&gt;&lt;_pages&gt;33&lt;/_pages&gt;&lt;_publisher&gt;大连医科大学&lt;/_publisher&gt;&lt;_tertiary_author&gt;赵杰&lt;/_tertiary_author&gt;&lt;_url&gt;https://kns.cnki.net/kcms2/article/abstract?v=FC2wxXHna7pURa_2SQea9PMDx9FnJ4hg9azV3EyGUagyLbPeTAwJs4EQXx6iBwjrCIW_oyv7yjPcDqJFMfk_GG2hx97RlUUGKNM0OfsDtWgEA_LgfZ7kETOszsqh2bDV5ujcYrg1pYWLXblgIv8WaQ==&amp;amp;uniplatform=NZKPT&amp;amp;language=CHS&lt;/_url&gt;&lt;_volume&gt;硕士&lt;/_volume&gt;&lt;_translated_author&gt;Zhang, Ting ting&lt;/_translated_author&gt;&lt;_translated_tertiary_author&gt;Zhao, Jie&lt;/_translated_tertiary_author&gt;&lt;/Details&gt;&lt;Extra&gt;&lt;DBUID&gt;{03752FAB-B361-4F66-989B-C711D9502F78}&lt;/DBUID&gt;&lt;/Extra&gt;&lt;/Item&gt;&lt;/References&gt;&lt;/Group&gt;&lt;Group&gt;&lt;References&gt;&lt;Item&gt;&lt;ID&gt;569&lt;/ID&gt;&lt;UID&gt;{7944DCE7-B3A8-49A1-84F2-319641AF390A}&lt;/UID&gt;&lt;Title&gt;Incidence of Transient Ischemic Attack and Association With Long-term Risk of  Stroke&lt;/Title&gt;&lt;Template&gt;Journal Article&lt;/Template&gt;&lt;Star&gt;0&lt;/Star&gt;&lt;Tag&gt;5&lt;/Tag&gt;&lt;Author&gt;Lioutas, V A; Ivan, C S; Himali, J J; Aparicio, H J; Leveille, T; Romero, J R; Beiser, A S; Seshadri, S&lt;/Author&gt;&lt;Year&gt;2021&lt;/Year&gt;&lt;Details&gt;&lt;_accession_num&gt;33496774&lt;/_accession_num&gt;&lt;_author_adr&gt;Department of Neurology, Beth Israel Deaconess Medical Center, Harvard Medical  School, Boston, Massachusetts.; Framingham Heart Study, Framingham, Massachusetts.; Department of Neurology, Indiana University School of Medicine, Indianapolis.; Framingham Heart Study, Framingham, Massachusetts.; Department of Biostatistics, Boston University School of Public Health, Boston,  Massachusetts.; Department of Neurology, Boston University School of Medicine, Boston,  Massachusetts.; Glenn Biggs Institute for Alzheimer&amp;apos;s Disease and Neurodegenerative Diseases,  University of Texas Health San Antonio.; Department of Population Health Sciences, Long School of Medicine, University of  Texas Health San Antonio.; Framingham Heart Study, Framingham, Massachusetts.; Department of Neurology, Boston University School of Medicine, Boston,  Massachusetts.; Framingham Heart Study, Framingham, Massachusetts.; Framingham Heart Study, Framingham, Massachusetts.; Department of Neurology, Boston University School of Medicine, Boston,  Massachusetts.; Framingham Heart Study, Framingham, Massachusetts.; Department of Biostatistics, Boston University School of Public Health, Boston,  Massachusetts.; Department of Neurology, Boston University School of Medicine, Boston,  Massachusetts.; Framingham Heart Study, Framingham, Massachusetts.; Department of Neurology, Boston University School of Medicine, Boston,  Massachusetts.; Glenn Biggs Institute for Alzheimer&amp;apos;s Disease and Neurodegenerative Diseases,  University of Texas Health San Antonio.&lt;/_author_adr&gt;&lt;_collection_scope&gt;SCIE&lt;/_collection_scope&gt;&lt;_created&gt;65410355&lt;/_created&gt;&lt;_date&gt;2021-01-26&lt;/_date&gt;&lt;_date_display&gt;2021 Jan 26&lt;/_date_display&gt;&lt;_db_updated&gt;PubMed&lt;/_db_updated&gt;&lt;_doi&gt;10.1001/jama.2020.25071&lt;/_doi&gt;&lt;_impact_factor&gt; 120.700&lt;/_impact_factor&gt;&lt;_isbn&gt;1538-3598 (Electronic); 0098-7484 (Print); 0098-7484 (Linking)&lt;/_isbn&gt;&lt;_issue&gt;4&lt;/_issue&gt;&lt;_journal&gt;JAMA&lt;/_journal&gt;&lt;_language&gt;eng&lt;/_language&gt;&lt;_modified&gt;65412090&lt;/_modified&gt;&lt;_pages&gt;373-381&lt;/_pages&gt;&lt;_social_category&gt;医学：内科(1)&lt;/_social_category&gt;&lt;_subject_headings&gt;Adult; Aged; Aged, 80 and over; Cohort Studies; Female; Humans; Incidence; Ischemic Attack, Transient/*complications/epidemiology; Male; Middle Aged; Retrospective Studies; Risk Factors; Stroke/epidemiology/*etiology&lt;/_subject_headings&gt;&lt;_tertiary_title&gt;JAMA&lt;/_tertiary_title&gt;&lt;_type_work&gt;Journal Article; Research Support, N.I.H., Extramural&lt;/_type_work&gt;&lt;_url&gt;http://www.ncbi.nlm.nih.gov/entrez/query.fcgi?cmd=Retrieve&amp;amp;db=pubmed&amp;amp;dopt=Abstract&amp;amp;list_uids=33496774&amp;amp;query_hl=1&lt;/_url&gt;&lt;_volume&gt;325&lt;/_volume&gt;&lt;/Details&gt;&lt;Extra&gt;&lt;DBUID&gt;{03752FAB-B361-4F66-989B-C711D9502F78}&lt;/DBUID&gt;&lt;/Extra&gt;&lt;/Item&gt;&lt;/References&gt;&lt;/Group&gt;&lt;Group&gt;&lt;References&gt;&lt;Item&gt;&lt;ID&gt;578&lt;/ID&gt;&lt;UID&gt;{17AEC0A4-9796-48C2-BBC8-ADDCC677C830}&lt;/UID&gt;&lt;Title&gt;脑卒中患者健康相关生命质量及影响因素研究&lt;/Title&gt;&lt;Template&gt;Journal Article&lt;/Template&gt;&lt;Star&gt;0&lt;/Star&gt;&lt;Tag&gt;5&lt;/Tag&gt;&lt;Author&gt;邓清文; 刘文彬&lt;/Author&gt;&lt;Year&gt;2020&lt;/Year&gt;&lt;Details&gt;&lt;_author_aff&gt;福建医科大学公共卫生学院;&lt;/_author_aff&gt;&lt;_cited_count&gt;12&lt;/_cited_count&gt;&lt;_created&gt;65410405&lt;/_created&gt;&lt;_date&gt;2020-10-30&lt;/_date&gt;&lt;_db_updated&gt;CNKI - Reference&lt;/_db_updated&gt;&lt;_issue&gt;05&lt;/_issue&gt;&lt;_journal&gt;南京医科大学学报(社会科学版)&lt;/_journal&gt;&lt;_keywords&gt;脑卒中;健康相关生命质量;健康效用值;EQ-5D量表;影响因素&lt;/_keywords&gt;&lt;_modified&gt;65412090&lt;/_modified&gt;&lt;_pages&gt;459-463&lt;/_pages&gt;&lt;_url&gt;https://kns.cnki.net/kcms2/article/abstract?v=FC2wxXHna7orgCZ3WoSvtOGwH5oYkh7vG2CqCnQEfaU6Y-IcKpIz3GMAgr8GwjWOhObYjRn0aZ5SgjuZ8AtWipBNuGjDgdE-Uy7vuH0CYJnj-wdLcDaErhc1jfA2uMKNTSqMDnZdrQn0XrZ7l3Kkfw==&amp;amp;uniplatform=NZKPT&amp;amp;language=CHS&lt;/_url&gt;&lt;_volume&gt;20&lt;/_volume&gt;&lt;_translated_author&gt;Deng, Qing wen;Liu, Wen bin&lt;/_translated_author&gt;&lt;/Details&gt;&lt;Extra&gt;&lt;DBUID&gt;{03752FAB-B361-4F66-989B-C711D9502F78}&lt;/DBUID&gt;&lt;/Extra&gt;&lt;/Item&gt;&lt;/References&gt;&lt;/Group&gt;&lt;/Citation&gt;_x000a_"/>
    <w:docVar w:name="NE.Ref{FCF3AA99-FF54-4919-9979-099B8D834D14}" w:val=" ADDIN NE.Ref.{FCF3AA99-FF54-4919-9979-099B8D834D14}&lt;Citation&gt;&lt;Group&gt;&lt;References&gt;&lt;Item&gt;&lt;ID&gt;579&lt;/ID&gt;&lt;UID&gt;{5969F0EC-44E1-4118-A632-14F05E5AD0F0}&lt;/UID&gt;&lt;Title&gt;Prevalence of Hyperhomocysteinemia in China: An Updated Meta-Analysis&lt;/Title&gt;&lt;Template&gt;Journal Article&lt;/Template&gt;&lt;Star&gt;0&lt;/Star&gt;&lt;Tag&gt;5&lt;/Tag&gt;&lt;Author&gt;Zeng, Y; Li, F F; Yuan, S Q; Tang, H K; Zhou, J H; He, Q Y; Baker, J S; Dong, Y H; Yang, Y D&lt;/Author&gt;&lt;Year&gt;2021&lt;/Year&gt;&lt;Details&gt;&lt;_accession_num&gt;34681058&lt;/_accession_num&gt;&lt;_author_adr&gt;Key Laboratory of Molecular Epidemiology of Hunan Province, School of Medicine,  Hunan Normal University, Changsha 410081, China.; Centre for Health and Exercise Science Research, Hong Kong Baptist University,  Kowloon Tong, Hong Kong 999077, China.; Centre for Health and Exercise Science Research, Department of Sport, Physical  Education and Health, Hong Kong Baptist University, Kowloon Tong, Hong Kong  999077, China.; Key Laboratory of Molecular Epidemiology of Hunan Province, School of Medicine,  Hunan Normal University, Changsha 410081, China.; Key Laboratory of Molecular Epidemiology of Hunan Province, School of Medicine,  Hunan Normal University, Changsha 410081, China.; Key Laboratory of Molecular Epidemiology of Hunan Province, School of Medicine,  Hunan Normal University, Changsha 410081, China.; Key Laboratory of Molecular Epidemiology of Hunan Province, School of Medicine,  Hunan Normal University, Changsha 410081, China.; Centre for Health and Exercise Science Research, Hong Kong Baptist University,  Kowloon Tong, Hong Kong 999077, China.; Centre for Health and Exercise Science Research, Department of Sport, Physical  Education and Health, Hong Kong Baptist University, Kowloon Tong, Hong Kong  999077, China.; Institute of Child and Adolescent Health, School of Public Health, Peking  University Health Science Center, Beijing 100191, China.; Key Laboratory of Molecular Epidemiology of Hunan Province, School of Medicine,  Hunan Normal University, Changsha 410081, China.&lt;/_author_adr&gt;&lt;_collection_scope&gt;SCIE&lt;/_collection_scope&gt;&lt;_created&gt;65410406&lt;/_created&gt;&lt;_date&gt;2021-09-26&lt;/_date&gt;&lt;_date_display&gt;2021 Sep 26&lt;/_date_display&gt;&lt;_db_updated&gt;PubMed&lt;/_db_updated&gt;&lt;_doi&gt;10.3390/biology10100959&lt;/_doi&gt;&lt;_impact_factor&gt;   4.200&lt;/_impact_factor&gt;&lt;_isbn&gt;2079-7737 (Print); 2079-7737 (Electronic); 2079-7737 (Linking)&lt;/_isbn&gt;&lt;_issue&gt;10&lt;/_issue&gt;&lt;_journal&gt;Biology (Basel)&lt;/_journal&gt;&lt;_keywords&gt;China; hyperhomocysteinemia; prevalence; updated meta-analysis&lt;/_keywords&gt;&lt;_language&gt;eng&lt;/_language&gt;&lt;_modified&gt;65412089&lt;/_modified&gt;&lt;_social_category&gt;生物学(3)&lt;/_social_category&gt;&lt;_tertiary_title&gt;Biology&lt;/_tertiary_title&gt;&lt;_type_work&gt;Journal Article; Review&lt;/_type_work&gt;&lt;_url&gt;http://www.ncbi.nlm.nih.gov/entrez/query.fcgi?cmd=Retrieve&amp;amp;db=pubmed&amp;amp;dopt=Abstract&amp;amp;list_uids=34681058&amp;amp;query_hl=1&lt;/_url&gt;&lt;_volume&gt;10&lt;/_volume&gt;&lt;/Details&gt;&lt;Extra&gt;&lt;DBUID&gt;{03752FAB-B361-4F66-989B-C711D9502F78}&lt;/DBUID&gt;&lt;/Extra&gt;&lt;/Item&gt;&lt;/References&gt;&lt;/Group&gt;&lt;Group&gt;&lt;References&gt;&lt;Item&gt;&lt;ID&gt;566&lt;/ID&gt;&lt;UID&gt;{063D1E13-077C-40D7-AA98-D9733DFB4E60}&lt;/UID&gt;&lt;Title&gt;Association of homocysteine level with risk of stroke: A dose-response  meta-analysis of prospective cohort studies&lt;/Title&gt;&lt;Template&gt;Journal Article&lt;/Template&gt;&lt;Star&gt;0&lt;/Star&gt;&lt;Tag&gt;5&lt;/Tag&gt;&lt;Author&gt;Wu, X; Zhou, Q; Chen, Q; Li, Q; Guo, C; Tian, G; Qie, R; Han, M; Huang, S; Li, Y; Yang, X; Zhao, Y; Feng, Y; Liu, D; Qin, P; Hu, D; Zhang, M&lt;/Author&gt;&lt;Year&gt;2020&lt;/Year&gt;&lt;Details&gt;&lt;_accession_num&gt;32912796&lt;/_accession_num&gt;&lt;_author_adr&gt;Department of Epidemiology and Health Statistics, School of Public Health,  Shenzhen University Health Science Center, Shenzhen, Guangdong, People&amp;apos;s Republic  of China.; Department of Epidemiology and Health Statistics, School of Public Health,  Shenzhen University Health Science Center, Shenzhen, Guangdong, People&amp;apos;s Republic  of China.; Department of Mental Health, Bao&amp;apos;an Chronic Diseases Prevent and Cure Hospital,  Shenzhen, Guangdong, People&amp;apos;s Republic of China.; Department of Epidemiology and Health Statistics, College of Public Health,  Zhengzhou University, Henan, People&amp;apos;s Republic of China.; Department of Epidemiology and Health Statistics, College of Public Health,  Zhengzhou University, Henan, People&amp;apos;s Republic of China.; Department of Epidemiology and Health Statistics, College of Public Health,  Zhengzhou University, Henan, People&amp;apos;s Republic of China.; Department of Epidemiology and Health Statistics, College of Public Health,  Zhengzhou University, Henan, People&amp;apos;s Republic of China.; Department of Mental Health, Bao&amp;apos;an Chronic Diseases Prevent and Cure Hospital,  Shenzhen, Guangdong, People&amp;apos;s Republic of China.; Department of Mental Health, Bao&amp;apos;an Chronic Diseases Prevent and Cure Hospital,  Shenzhen, Guangdong, People&amp;apos;s Republic of China.; Department of Mental Health, Bao&amp;apos;an Chronic Diseases Prevent and Cure Hospital,  Shenzhen, Guangdong, People&amp;apos;s Republic of China.; Department of Epidemiology and Health Statistics, College of Public Health,  Zhengzhou University, Henan, People&amp;apos;s Republic of China.; Department of Epidemiology and Health Statistics, College of Public Health,  Zhengzhou University, Henan, People&amp;apos;s Republic of China.; Department of Epidemiology and Health Statistics, College of Public Health,  Zhengzhou University, Henan, People&amp;apos;s Republic of China.; Department of Epidemiology and Health Statistics, College of Public Health,  Zhengzhou University, Henan, People&amp;apos;s Republic of China.; Department of Epidemiology and Health Statistics, School of Public Health,  Shenzhen University Health Science Center, Shenzhen, Guangdong, People&amp;apos;s Republic  of China.; Department of Epidemiology and Health Statistics, School of Public Health,  Shenzhen University Health Science Center, Shenzhen, Guangdong, People&amp;apos;s Republic  of China; Department of Mental Health, Bao&amp;apos;an Chronic Diseases Prevent and Cure  Hospital, Shenzhen, Guangdong, People&amp;apos;s Republic of China; Department of  Epidemiology and Health Statistics, College of Public Health, Zhengzhou  University, Henan, People&amp;apos;s Republic of China.; Department of Epidemiology and Health Statistics, School of Public Health,  Shenzhen University Health Science Center, Shenzhen, Guangdong, People&amp;apos;s Republic  of China. Electronic address: zhangming1720@sina.com.&lt;/_author_adr&gt;&lt;_collection_scope&gt;SCIE&lt;/_collection_scope&gt;&lt;_created&gt;65410316&lt;/_created&gt;&lt;_date&gt;2020-10-30&lt;/_date&gt;&lt;_date_display&gt;2020 Oct 30&lt;/_date_display&gt;&lt;_db_updated&gt;PubMed&lt;/_db_updated&gt;&lt;_doi&gt;10.1016/j.numecd.2020.07.026&lt;/_doi&gt;&lt;_impact_factor&gt;   3.900&lt;/_impact_factor&gt;&lt;_isbn&gt;1590-3729 (Electronic); 0939-4753 (Linking)&lt;/_isbn&gt;&lt;_issue&gt;11&lt;/_issue&gt;&lt;_journal&gt;Nutr Metab Cardiovasc Dis&lt;/_journal&gt;&lt;_keywords&gt;Dose-response; Homocysteine; Meta-analysis; Prospective cohort studies; Stroke&lt;/_keywords&gt;&lt;_language&gt;eng&lt;/_language&gt;&lt;_modified&gt;65412087&lt;/_modified&gt;&lt;_ori_publication&gt;Copyright (c) 2020 The Italian Diabetes Society, the Italian Society for the Study _x000d__x000a_      of Atherosclerosis, the Italian Society of Human Nutrition and the Department of _x000d__x000a_      Clinical Medicine and Surgery, Federico II University. Published by Elsevier B.V. _x000d__x000a_      All rights reserved.&lt;/_ori_publication&gt;&lt;_pages&gt;1861-1869&lt;/_pages&gt;&lt;_social_category&gt;心脏和心血管系统(3) &amp;amp; 内分泌学与代谢(3) &amp;amp; 营养学(3)&lt;/_social_category&gt;&lt;_subject_headings&gt;Aged; Biomarkers/blood; Female; Homocysteine/*blood; Humans; Hyperhomocysteinemia/*blood/diagnosis/epidemiology; Male; Middle Aged; Prospective Studies; Risk Assessment; Risk Factors; Stroke/diagnosis/*epidemiology; Up-Regulation&lt;/_subject_headings&gt;&lt;_tertiary_title&gt;Nutrition, metabolism, and cardiovascular diseases : NMCD&lt;/_tertiary_title&gt;&lt;_type_work&gt;Journal Article; Meta-Analysis; Research Support, Non-U.S. Gov&amp;apos;t; Systematic Review&lt;/_type_work&gt;&lt;_url&gt;http://www.ncbi.nlm.nih.gov/entrez/query.fcgi?cmd=Retrieve&amp;amp;db=pubmed&amp;amp;dopt=Abstract&amp;amp;list_uids=32912796&amp;amp;query_hl=1&lt;/_url&gt;&lt;_volume&gt;30&lt;/_volume&gt;&lt;/Details&gt;&lt;Extra&gt;&lt;DBUID&gt;{03752FAB-B361-4F66-989B-C711D9502F78}&lt;/DBUID&gt;&lt;/Extra&gt;&lt;/Item&gt;&lt;/References&gt;&lt;/Group&gt;&lt;Group&gt;&lt;References&gt;&lt;Item&gt;&lt;ID&gt;574&lt;/ID&gt;&lt;UID&gt;{B3E0E093-BD43-4E5C-8262-74ED97B3C5F9}&lt;/UID&gt;&lt;Title&gt;短暂性脑缺血发作的住院费用构成及其影响因素分析&lt;/Title&gt;&lt;Template&gt;Thesis&lt;/Template&gt;&lt;Star&gt;0&lt;/Star&gt;&lt;Tag&gt;5&lt;/Tag&gt;&lt;Author&gt;张婷婷&lt;/Author&gt;&lt;Year&gt;2010&lt;/Year&gt;&lt;Details&gt;&lt;_cited_count&gt;1&lt;/_cited_count&gt;&lt;_created&gt;65410383&lt;/_created&gt;&lt;_db_updated&gt;CNKI - Reference&lt;/_db_updated&gt;&lt;_keywords&gt;短暂性脑缺血发作;住院费用;影响因素;多元线性回归分析&lt;/_keywords&gt;&lt;_modified&gt;65412090&lt;/_modified&gt;&lt;_pages&gt;33&lt;/_pages&gt;&lt;_publisher&gt;大连医科大学&lt;/_publisher&gt;&lt;_tertiary_author&gt;赵杰&lt;/_tertiary_author&gt;&lt;_url&gt;https://kns.cnki.net/kcms2/article/abstract?v=FC2wxXHna7pURa_2SQea9PMDx9FnJ4hg9azV3EyGUagyLbPeTAwJs4EQXx6iBwjrCIW_oyv7yjPcDqJFMfk_GG2hx97RlUUGKNM0OfsDtWgEA_LgfZ7kETOszsqh2bDV5ujcYrg1pYWLXblgIv8WaQ==&amp;amp;uniplatform=NZKPT&amp;amp;language=CHS&lt;/_url&gt;&lt;_volume&gt;硕士&lt;/_volume&gt;&lt;_translated_author&gt;Zhang, Ting ting&lt;/_translated_author&gt;&lt;_translated_tertiary_author&gt;Zhao, Jie&lt;/_translated_tertiary_author&gt;&lt;/Details&gt;&lt;Extra&gt;&lt;DBUID&gt;{03752FAB-B361-4F66-989B-C711D9502F78}&lt;/DBUID&gt;&lt;/Extra&gt;&lt;/Item&gt;&lt;/References&gt;&lt;/Group&gt;&lt;/Citation&gt;_x000a_"/>
    <w:docVar w:name="ne_docsoft" w:val="MSWord"/>
    <w:docVar w:name="ne_docversion" w:val="NoteExpress 2.0"/>
    <w:docVar w:name="ne_stylename" w:val="Scientific Reports New"/>
  </w:docVars>
  <w:rsids>
    <w:rsidRoot w:val="00B81700"/>
    <w:rsid w:val="FEFDE219"/>
    <w:rsid w:val="00014421"/>
    <w:rsid w:val="00044491"/>
    <w:rsid w:val="001407CB"/>
    <w:rsid w:val="00175224"/>
    <w:rsid w:val="002030B6"/>
    <w:rsid w:val="00304F6E"/>
    <w:rsid w:val="00327723"/>
    <w:rsid w:val="0037653B"/>
    <w:rsid w:val="003A4E6E"/>
    <w:rsid w:val="004708FC"/>
    <w:rsid w:val="00510819"/>
    <w:rsid w:val="00587E2D"/>
    <w:rsid w:val="005D2D3C"/>
    <w:rsid w:val="005E00FD"/>
    <w:rsid w:val="00600176"/>
    <w:rsid w:val="0061025D"/>
    <w:rsid w:val="00621A24"/>
    <w:rsid w:val="00657583"/>
    <w:rsid w:val="006A6358"/>
    <w:rsid w:val="006C4491"/>
    <w:rsid w:val="006D586A"/>
    <w:rsid w:val="006F3101"/>
    <w:rsid w:val="00702007"/>
    <w:rsid w:val="007046A8"/>
    <w:rsid w:val="007743AE"/>
    <w:rsid w:val="007D10D2"/>
    <w:rsid w:val="007D2EA8"/>
    <w:rsid w:val="007F2CBB"/>
    <w:rsid w:val="00823896"/>
    <w:rsid w:val="00865821"/>
    <w:rsid w:val="00884E43"/>
    <w:rsid w:val="00896283"/>
    <w:rsid w:val="0097404C"/>
    <w:rsid w:val="00A831B7"/>
    <w:rsid w:val="00AA5195"/>
    <w:rsid w:val="00B40A0E"/>
    <w:rsid w:val="00B5030B"/>
    <w:rsid w:val="00B712D5"/>
    <w:rsid w:val="00B81700"/>
    <w:rsid w:val="00C029D7"/>
    <w:rsid w:val="00C23838"/>
    <w:rsid w:val="00C42F7A"/>
    <w:rsid w:val="00C543C1"/>
    <w:rsid w:val="00C76B8E"/>
    <w:rsid w:val="00CC3A7E"/>
    <w:rsid w:val="00D236C0"/>
    <w:rsid w:val="00D66F6D"/>
    <w:rsid w:val="00D7263B"/>
    <w:rsid w:val="00E323C8"/>
    <w:rsid w:val="00E54BDB"/>
    <w:rsid w:val="00F354C7"/>
    <w:rsid w:val="00F37259"/>
    <w:rsid w:val="00FC5E34"/>
    <w:rsid w:val="00FD2312"/>
    <w:rsid w:val="43A66BED"/>
    <w:rsid w:val="6C9B27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03791E"/>
  <w15:docId w15:val="{938F7A8F-72DF-4488-B493-C91BA4F1C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autoRedefine/>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a6"/>
    <w:autoRedefine/>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table" w:styleId="a7">
    <w:name w:val="Table Grid"/>
    <w:basedOn w:val="a1"/>
    <w:autoRedefine/>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autoRedefine/>
    <w:qFormat/>
    <w:rPr>
      <w:color w:val="0000FF"/>
      <w:u w:val="single"/>
    </w:rPr>
  </w:style>
  <w:style w:type="character" w:customStyle="1" w:styleId="a6">
    <w:name w:val="页眉 字符"/>
    <w:basedOn w:val="a0"/>
    <w:link w:val="a5"/>
    <w:autoRedefine/>
    <w:uiPriority w:val="99"/>
    <w:qFormat/>
    <w:rPr>
      <w:sz w:val="18"/>
      <w:szCs w:val="18"/>
    </w:rPr>
  </w:style>
  <w:style w:type="character" w:customStyle="1" w:styleId="a4">
    <w:name w:val="页脚 字符"/>
    <w:basedOn w:val="a0"/>
    <w:link w:val="a3"/>
    <w:autoRedefine/>
    <w:uiPriority w:val="99"/>
    <w:qFormat/>
    <w:rPr>
      <w:sz w:val="18"/>
      <w:szCs w:val="18"/>
    </w:rPr>
  </w:style>
  <w:style w:type="paragraph" w:customStyle="1" w:styleId="1">
    <w:name w:val="书目1"/>
    <w:basedOn w:val="a"/>
    <w:next w:val="a"/>
    <w:autoRedefine/>
    <w:uiPriority w:val="37"/>
    <w:unhideWhenUsed/>
    <w:qFormat/>
    <w:pPr>
      <w:tabs>
        <w:tab w:val="left" w:pos="384"/>
      </w:tabs>
      <w:ind w:left="384" w:hanging="384"/>
    </w:pPr>
  </w:style>
  <w:style w:type="paragraph" w:customStyle="1" w:styleId="EndNoteBibliographyTitle">
    <w:name w:val="EndNote Bibliography Title"/>
    <w:pPr>
      <w:pBdr>
        <w:top w:val="none" w:sz="8" w:space="0" w:color="auto"/>
        <w:left w:val="none" w:sz="8" w:space="0" w:color="auto"/>
        <w:bottom w:val="none" w:sz="8" w:space="0" w:color="auto"/>
        <w:right w:val="none" w:sz="8" w:space="0" w:color="auto"/>
        <w:between w:val="none" w:sz="8" w:space="0" w:color="auto"/>
      </w:pBdr>
      <w:jc w:val="center"/>
    </w:pPr>
    <w:rPr>
      <w:rFonts w:ascii="Calibri" w:eastAsia="宋体" w:hAnsi="Calibri" w:cs="Calibri"/>
      <w:kern w:val="2"/>
      <w:szCs w:val="22"/>
    </w:rPr>
  </w:style>
  <w:style w:type="paragraph" w:customStyle="1" w:styleId="EndNoteBibliography">
    <w:name w:val="EndNote Bibliography"/>
    <w:pPr>
      <w:pBdr>
        <w:top w:val="none" w:sz="8" w:space="0" w:color="auto"/>
        <w:left w:val="none" w:sz="8" w:space="0" w:color="auto"/>
        <w:bottom w:val="none" w:sz="8" w:space="0" w:color="auto"/>
        <w:right w:val="none" w:sz="8" w:space="0" w:color="auto"/>
        <w:between w:val="none" w:sz="8" w:space="0" w:color="auto"/>
      </w:pBdr>
      <w:jc w:val="both"/>
    </w:pPr>
    <w:rPr>
      <w:rFonts w:ascii="Calibri" w:eastAsia="宋体" w:hAnsi="Calibri" w:cs="Calibri"/>
      <w:kern w:val="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3</Pages>
  <Words>824</Words>
  <Characters>4698</Characters>
  <Application>Microsoft Office Word</Application>
  <DocSecurity>0</DocSecurity>
  <Lines>39</Lines>
  <Paragraphs>11</Paragraphs>
  <ScaleCrop>false</ScaleCrop>
  <Company/>
  <LinksUpToDate>false</LinksUpToDate>
  <CharactersWithSpaces>5511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yufeng 李</dc:creator>
  <dc:description>NE.Ref</dc:description>
  <cp:lastModifiedBy>婷 潘</cp:lastModifiedBy>
  <cp:revision>11</cp:revision>
  <dcterms:created xsi:type="dcterms:W3CDTF">2024-03-10T13:59:00Z</dcterms:created>
  <dcterms:modified xsi:type="dcterms:W3CDTF">2024-05-24T08:01:00Z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zotero-version="6.0.35"&gt;&lt;session id="7Z4pcWm6"/&gt;&lt;style id="http://www.zotero.org/styles/chinese-gb7714-2005-numeric" hasBibliography="1" bibliographyStyleHasBeenSet="1"/&gt;&lt;prefs&gt;&lt;pref name="fieldType" value="Field"/&gt;&lt;/prefs&gt;&lt;/data&gt;</vt:lpwstr>
  </property>
  <property fmtid="{D5CDD505-2E9C-101B-9397-08002B2CF9AE}" pid="3" name="KSOProductBuildVer">
    <vt:lpwstr>2052-12.1.0.16388</vt:lpwstr>
  </property>
  <property fmtid="{D5CDD505-2E9C-101B-9397-08002B2CF9AE}" pid="4" name="ICV">
    <vt:lpwstr>4242DDC365BB493F821FCE6C8EFA668E_12</vt:lpwstr>
  </property>
</Properties>
</file>