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39B5B" w14:textId="77777777" w:rsidR="00E6799D" w:rsidRDefault="00E6799D" w:rsidP="00E6799D">
      <w:pPr>
        <w:spacing w:line="480" w:lineRule="auto"/>
        <w:rPr>
          <w:rFonts w:ascii="Arial" w:hAnsi="Arial" w:cs="Arial"/>
          <w:b/>
          <w:bCs/>
          <w:sz w:val="32"/>
          <w:szCs w:val="32"/>
        </w:rPr>
      </w:pPr>
      <w:r w:rsidRPr="0057033D">
        <w:rPr>
          <w:rFonts w:ascii="Arial" w:hAnsi="Arial" w:cs="Arial"/>
          <w:b/>
          <w:bCs/>
          <w:sz w:val="32"/>
          <w:szCs w:val="32"/>
        </w:rPr>
        <w:t>Supplemental</w:t>
      </w:r>
      <w:r>
        <w:rPr>
          <w:rFonts w:ascii="Arial" w:hAnsi="Arial" w:cs="Arial"/>
          <w:b/>
          <w:bCs/>
          <w:sz w:val="32"/>
          <w:szCs w:val="32"/>
        </w:rPr>
        <w:t xml:space="preserve"> Methods</w:t>
      </w:r>
    </w:p>
    <w:p w14:paraId="690BE5AC" w14:textId="77777777" w:rsidR="00E6799D" w:rsidRPr="00344AB0" w:rsidRDefault="00E6799D" w:rsidP="00E6799D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344AB0">
        <w:rPr>
          <w:rFonts w:ascii="Arial" w:hAnsi="Arial" w:cs="Arial"/>
          <w:b/>
          <w:bCs/>
          <w:sz w:val="22"/>
          <w:szCs w:val="22"/>
        </w:rPr>
        <w:t>Human tissue collection</w:t>
      </w:r>
    </w:p>
    <w:p w14:paraId="0876DBBE" w14:textId="77777777" w:rsidR="00E6799D" w:rsidRPr="00344AB0" w:rsidRDefault="00E6799D" w:rsidP="00E6799D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344AB0">
        <w:rPr>
          <w:rFonts w:ascii="Arial" w:hAnsi="Arial" w:cs="Arial"/>
          <w:sz w:val="22"/>
          <w:szCs w:val="22"/>
        </w:rPr>
        <w:t xml:space="preserve">Twelve micron thick dorsal-hippocampal post-mortem sections were obtained from 42 patients enrolled in the </w:t>
      </w:r>
      <w:r>
        <w:rPr>
          <w:rFonts w:ascii="Arial" w:hAnsi="Arial" w:cs="Arial"/>
          <w:sz w:val="22"/>
          <w:szCs w:val="22"/>
        </w:rPr>
        <w:t xml:space="preserve">Rush </w:t>
      </w:r>
      <w:r w:rsidRPr="00344AB0">
        <w:rPr>
          <w:rFonts w:ascii="Arial" w:hAnsi="Arial" w:cs="Arial"/>
          <w:sz w:val="22"/>
          <w:szCs w:val="22"/>
        </w:rPr>
        <w:t xml:space="preserve">Memory and Aging Project 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(MAP) </w:t>
      </w:r>
      <w:r>
        <w:rPr>
          <w:rFonts w:ascii="Arial" w:hAnsi="Arial" w:cs="Arial"/>
          <w:color w:val="000000" w:themeColor="text1"/>
          <w:sz w:val="22"/>
          <w:szCs w:val="22"/>
        </w:rPr>
        <w:t>of the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 Rush Alzheimer’s Disease Center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PEVuZE5vdGU+PENpdGU+PEF1dGhvcj5CZW5uZXR0PC9BdXRob3I+PFllYXI+MjAxODwvWWVhcj48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</w:fldData>
        </w:fldChar>
      </w:r>
      <w:r>
        <w:rPr>
          <w:rFonts w:ascii="Arial" w:hAnsi="Arial" w:cs="Arial"/>
          <w:color w:val="000000" w:themeColor="text1"/>
          <w:sz w:val="22"/>
          <w:szCs w:val="22"/>
        </w:rPr>
        <w:instrText xml:space="preserve"> ADDIN EN.CITE </w:instrText>
      </w:r>
      <w:r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PEVuZE5vdGU+PENpdGU+PEF1dGhvcj5CZW5uZXR0PC9BdXRob3I+PFllYXI+MjAxODwvWWVhcj48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</w:fldData>
        </w:fldChar>
      </w:r>
      <w:r>
        <w:rPr>
          <w:rFonts w:ascii="Arial" w:hAnsi="Arial" w:cs="Arial"/>
          <w:color w:val="000000" w:themeColor="text1"/>
          <w:sz w:val="22"/>
          <w:szCs w:val="22"/>
        </w:rPr>
        <w:instrText xml:space="preserve"> ADDIN EN.CITE.DATA </w:instrText>
      </w:r>
      <w:r>
        <w:rPr>
          <w:rFonts w:ascii="Arial" w:hAnsi="Arial" w:cs="Arial"/>
          <w:color w:val="000000" w:themeColor="text1"/>
          <w:sz w:val="22"/>
          <w:szCs w:val="22"/>
        </w:rPr>
      </w:r>
      <w:r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/>
          <w:color w:val="000000" w:themeColor="text1"/>
          <w:sz w:val="22"/>
          <w:szCs w:val="22"/>
        </w:rPr>
      </w:r>
      <w:r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Pr="00A1700B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60</w:t>
      </w:r>
      <w:r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344AB0">
        <w:rPr>
          <w:rFonts w:ascii="Arial" w:hAnsi="Arial" w:cs="Arial"/>
          <w:sz w:val="22"/>
          <w:szCs w:val="22"/>
        </w:rPr>
        <w:t>. The participants, who are enrolled without a</w:t>
      </w:r>
      <w:r>
        <w:rPr>
          <w:rFonts w:ascii="Arial" w:hAnsi="Arial" w:cs="Arial"/>
          <w:sz w:val="22"/>
          <w:szCs w:val="22"/>
        </w:rPr>
        <w:t xml:space="preserve"> history</w:t>
      </w:r>
      <w:r w:rsidRPr="00344AB0">
        <w:rPr>
          <w:rFonts w:ascii="Arial" w:hAnsi="Arial" w:cs="Arial"/>
          <w:sz w:val="22"/>
          <w:szCs w:val="22"/>
        </w:rPr>
        <w:t xml:space="preserve"> of </w:t>
      </w:r>
      <w:r>
        <w:rPr>
          <w:rFonts w:ascii="Arial" w:hAnsi="Arial" w:cs="Arial"/>
          <w:sz w:val="22"/>
          <w:szCs w:val="22"/>
        </w:rPr>
        <w:t>d</w:t>
      </w:r>
      <w:r w:rsidRPr="00344AB0">
        <w:rPr>
          <w:rFonts w:ascii="Arial" w:hAnsi="Arial" w:cs="Arial"/>
          <w:sz w:val="22"/>
          <w:szCs w:val="22"/>
        </w:rPr>
        <w:t xml:space="preserve">ementia and are followed longitudinally </w:t>
      </w:r>
      <w:r>
        <w:rPr>
          <w:rFonts w:ascii="Arial" w:hAnsi="Arial" w:cs="Arial"/>
          <w:sz w:val="22"/>
          <w:szCs w:val="22"/>
        </w:rPr>
        <w:t>until death</w:t>
      </w:r>
      <w:r w:rsidRPr="00344AB0">
        <w:rPr>
          <w:rFonts w:ascii="Arial" w:hAnsi="Arial" w:cs="Arial"/>
          <w:sz w:val="22"/>
          <w:szCs w:val="22"/>
        </w:rPr>
        <w:t>, consented to undergo annual clinical evaluation as well as brain donation upon death.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 The d</w:t>
      </w:r>
      <w:r w:rsidRPr="00344AB0">
        <w:rPr>
          <w:rFonts w:ascii="Arial" w:hAnsi="Arial" w:cs="Arial"/>
          <w:sz w:val="22"/>
          <w:szCs w:val="22"/>
        </w:rPr>
        <w:t>onated brains were then examined for a complete neuropathological evaluation including AD and other neuropathological pathologies</w:t>
      </w:r>
      <w:r>
        <w:rPr>
          <w:rFonts w:ascii="Arial" w:hAnsi="Arial" w:cs="Arial"/>
          <w:sz w:val="22"/>
          <w:szCs w:val="22"/>
        </w:rPr>
        <w:t xml:space="preserve"> as previously reported </w:t>
      </w:r>
      <w:r>
        <w:rPr>
          <w:rFonts w:ascii="Arial" w:hAnsi="Arial" w:cs="Arial"/>
          <w:sz w:val="22"/>
          <w:szCs w:val="22"/>
        </w:rPr>
        <w:fldChar w:fldCharType="begin"/>
      </w:r>
      <w:r>
        <w:rPr>
          <w:rFonts w:ascii="Arial" w:hAnsi="Arial" w:cs="Arial"/>
          <w:sz w:val="22"/>
          <w:szCs w:val="22"/>
        </w:rPr>
        <w:instrText xml:space="preserve"> ADDIN EN.CITE &lt;EndNote&gt;&lt;Cite&gt;&lt;Author&gt;Schneider&lt;/Author&gt;&lt;Year&gt;2007&lt;/Year&gt;&lt;RecNum&gt;34530&lt;/RecNum&gt;&lt;DisplayText&gt;&lt;style face="superscript"&gt;61&lt;/style&gt;&lt;/DisplayText&gt;&lt;record&gt;&lt;rec-number&gt;34530&lt;/rec-number&gt;&lt;foreign-keys&gt;&lt;key app="EN" db-id="ztt5pptaz2zz57es0wc55rfxs0d92swazaaw" timestamp="1716231459"&gt;34530&lt;/key&gt;&lt;/foreign-keys&gt;&lt;ref-type name="Journal Article"&gt;17&lt;/ref-type&gt;&lt;contributors&gt;&lt;authors&gt;&lt;author&gt;Schneider, J. A.&lt;/author&gt;&lt;author&gt;Arvanitakis, Z.&lt;/author&gt;&lt;author&gt;Bang, W.&lt;/author&gt;&lt;author&gt;Bennett, D. A.&lt;/author&gt;&lt;/authors&gt;&lt;/contributors&gt;&lt;auth-address&gt;Rush Alzheimer&amp;apos;s Disease Center, Rush University Medical Center, Armour Academic Center, 600 S. Paulina Street, Suite 1022F, Chicago, IL 60612, USA. julie_a_schneider@rush.edu&lt;/auth-address&gt;&lt;titles&gt;&lt;title&gt;Mixed brain pathologies account for most dementia cases in community-dwelling older persons&lt;/title&gt;&lt;secondary-title&gt;Neurology&lt;/secondary-title&gt;&lt;/titles&gt;&lt;periodical&gt;&lt;full-title&gt;Neurology&lt;/full-title&gt;&lt;abbr-1&gt;Neurology&lt;/abbr-1&gt;&lt;/periodical&gt;&lt;pages&gt;2197-204&lt;/pages&gt;&lt;volume&gt;69&lt;/volume&gt;&lt;number&gt;24&lt;/number&gt;&lt;edition&gt;2007/06/15&lt;/edition&gt;&lt;keywords&gt;&lt;keyword&gt;Aged, 80 and over&lt;/keyword&gt;&lt;keyword&gt;Brain/*pathology&lt;/keyword&gt;&lt;keyword&gt;Cohort Studies&lt;/keyword&gt;&lt;keyword&gt;Dementia/diagnosis/*epidemiology/*pathology&lt;/keyword&gt;&lt;keyword&gt;Female&lt;/keyword&gt;&lt;keyword&gt;*Housing for the Elderly/statistics &amp;amp; numerical data/trends&lt;/keyword&gt;&lt;keyword&gt;Humans&lt;/keyword&gt;&lt;keyword&gt;Long-Term Care&lt;/keyword&gt;&lt;keyword&gt;Longitudinal Studies&lt;/keyword&gt;&lt;keyword&gt;Male&lt;/keyword&gt;&lt;/keywords&gt;&lt;dates&gt;&lt;year&gt;2007&lt;/year&gt;&lt;pub-dates&gt;&lt;date&gt;Dec 11&lt;/date&gt;&lt;/pub-dates&gt;&lt;/dates&gt;&lt;isbn&gt;1526-632X (Electronic)&amp;#xD;0028-3878 (Linking)&lt;/isbn&gt;&lt;accession-num&gt;17568013&lt;/accession-num&gt;&lt;urls&gt;&lt;related-urls&gt;&lt;url&gt;https://www.ncbi.nlm.nih.gov/pubmed/17568013&lt;/url&gt;&lt;/related-urls&gt;&lt;/urls&gt;&lt;electronic-resource-num&gt;10.1212/01.wnl.0000271090.28148.24&lt;/electronic-resource-num&gt;&lt;/record&gt;&lt;/Cite&gt;&lt;/EndNote&gt;</w:instrText>
      </w:r>
      <w:r>
        <w:rPr>
          <w:rFonts w:ascii="Arial" w:hAnsi="Arial" w:cs="Arial"/>
          <w:sz w:val="22"/>
          <w:szCs w:val="22"/>
        </w:rPr>
        <w:fldChar w:fldCharType="separate"/>
      </w:r>
      <w:r w:rsidRPr="00A1700B">
        <w:rPr>
          <w:rFonts w:ascii="Arial" w:hAnsi="Arial" w:cs="Arial"/>
          <w:noProof/>
          <w:sz w:val="22"/>
          <w:szCs w:val="22"/>
          <w:vertAlign w:val="superscript"/>
        </w:rPr>
        <w:t>61</w:t>
      </w:r>
      <w:r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</w:t>
      </w:r>
      <w:r w:rsidRPr="00344AB0">
        <w:rPr>
          <w:rFonts w:ascii="Arial" w:hAnsi="Arial" w:cs="Arial"/>
          <w:sz w:val="22"/>
          <w:szCs w:val="22"/>
        </w:rPr>
        <w:t xml:space="preserve">.  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A summary of the demographic data of all participants can be found in </w:t>
      </w:r>
      <w:r w:rsidRPr="00CD2FF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Supplemental Table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5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. All human tissue studies were approved by the institutional review board at Rush University Medical Center. </w:t>
      </w:r>
    </w:p>
    <w:p w14:paraId="52D8BCD9" w14:textId="77777777" w:rsidR="00E6799D" w:rsidRPr="00344AB0" w:rsidRDefault="00E6799D" w:rsidP="00E6799D">
      <w:pPr>
        <w:pStyle w:val="NormalWeb"/>
        <w:spacing w:before="0" w:beforeAutospacing="0" w:after="0" w:afterAutospacing="0" w:line="480" w:lineRule="auto"/>
        <w:rPr>
          <w:rFonts w:ascii="Arial" w:hAnsi="Arial" w:cs="Arial"/>
          <w:color w:val="000000" w:themeColor="text1"/>
          <w:sz w:val="22"/>
          <w:szCs w:val="22"/>
        </w:rPr>
      </w:pPr>
      <w:r w:rsidRPr="00344AB0">
        <w:rPr>
          <w:rFonts w:ascii="Arial" w:hAnsi="Arial" w:cs="Arial"/>
          <w:b/>
          <w:bCs/>
          <w:sz w:val="22"/>
          <w:szCs w:val="22"/>
        </w:rPr>
        <w:br/>
        <w:t>Immunohistochemical analysis and cell quantifications</w:t>
      </w:r>
      <w:r w:rsidRPr="00344AB0">
        <w:rPr>
          <w:rFonts w:ascii="Arial" w:hAnsi="Arial" w:cs="Arial"/>
          <w:sz w:val="22"/>
          <w:szCs w:val="22"/>
        </w:rPr>
        <w:t xml:space="preserve">: </w:t>
      </w:r>
    </w:p>
    <w:p w14:paraId="5FD1ACD8" w14:textId="77777777" w:rsidR="00E6799D" w:rsidRPr="00344AB0" w:rsidRDefault="00E6799D" w:rsidP="00E6799D">
      <w:pPr>
        <w:pStyle w:val="NormalWeb"/>
        <w:spacing w:before="0" w:beforeAutospacing="0" w:after="0" w:afterAutospacing="0" w:line="480" w:lineRule="auto"/>
        <w:jc w:val="both"/>
        <w:rPr>
          <w:rFonts w:ascii="Arial" w:hAnsi="Arial" w:cs="Arial"/>
          <w:sz w:val="22"/>
          <w:szCs w:val="22"/>
        </w:rPr>
      </w:pPr>
      <w:r w:rsidRPr="00344AB0">
        <w:rPr>
          <w:rFonts w:ascii="Arial" w:hAnsi="Arial" w:cs="Arial"/>
          <w:color w:val="000000" w:themeColor="text1"/>
          <w:sz w:val="22"/>
          <w:szCs w:val="22"/>
        </w:rPr>
        <w:t>Immunofluorescence staining was done similarly to our previously published method in Tobin et al 2019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fldChar w:fldCharType="begin">
          <w:fldData xml:space="preserve">PEVuZE5vdGU+PENpdGU+PEF1dGhvcj5Ub2JpbjwvQXV0aG9yPjxZZWFyPjIwMTk8L1llYXI+PFJl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=
</w:fldData>
        </w:fldChar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instrText xml:space="preserve"> ADDIN EN.CITE </w:instrTex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fldChar w:fldCharType="begin">
          <w:fldData xml:space="preserve">PEVuZE5vdGU+PENpdGU+PEF1dGhvcj5Ub2JpbjwvQXV0aG9yPjxZZWFyPjIwMTk8L1llYXI+PFJl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=
</w:fldData>
        </w:fldChar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instrText xml:space="preserve"> ADDIN EN.CITE.DATA </w:instrTex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fldChar w:fldCharType="end"/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fldChar w:fldCharType="separate"/>
      </w:r>
      <w:r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30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fldChar w:fldCharType="end"/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color w:val="000000" w:themeColor="text1"/>
          <w:sz w:val="22"/>
          <w:szCs w:val="22"/>
        </w:rPr>
        <w:t>Briefly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</w:rPr>
        <w:t>p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araffin-embedded sections were dewaxed in xylene 2x 10 minutes each before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serial washing in 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ethanol and incubated in TBST for 5 minutes. Antigen retrieval was performed using a </w:t>
      </w:r>
      <w:r>
        <w:rPr>
          <w:rFonts w:ascii="Arial" w:hAnsi="Arial" w:cs="Arial"/>
          <w:color w:val="000000" w:themeColor="text1"/>
          <w:sz w:val="22"/>
          <w:szCs w:val="22"/>
        </w:rPr>
        <w:t>s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odium </w:t>
      </w:r>
      <w:r>
        <w:rPr>
          <w:rFonts w:ascii="Arial" w:hAnsi="Arial" w:cs="Arial"/>
          <w:color w:val="000000" w:themeColor="text1"/>
          <w:sz w:val="22"/>
          <w:szCs w:val="22"/>
        </w:rPr>
        <w:t>c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itrate </w:t>
      </w:r>
      <w:r>
        <w:rPr>
          <w:rFonts w:ascii="Arial" w:hAnsi="Arial" w:cs="Arial"/>
          <w:color w:val="000000" w:themeColor="text1"/>
          <w:sz w:val="22"/>
          <w:szCs w:val="22"/>
        </w:rPr>
        <w:t>b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uffer (10mM </w:t>
      </w:r>
      <w:r>
        <w:rPr>
          <w:rFonts w:ascii="Arial" w:hAnsi="Arial" w:cs="Arial"/>
          <w:color w:val="000000" w:themeColor="text1"/>
          <w:sz w:val="22"/>
          <w:szCs w:val="22"/>
        </w:rPr>
        <w:t>s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odium </w:t>
      </w:r>
      <w:r>
        <w:rPr>
          <w:rFonts w:ascii="Arial" w:hAnsi="Arial" w:cs="Arial"/>
          <w:color w:val="000000" w:themeColor="text1"/>
          <w:sz w:val="22"/>
          <w:szCs w:val="22"/>
        </w:rPr>
        <w:t>c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>itrate, 0.05% Tween 20, pH 6.0) in a decloaking chamber (Biocare Medical, Pacheco, California). Tissue was incubated in a blocking solution for 1 hour at room temperature (1X TBS, 0.3M glycine, 0.1% Tween 20, 5% normal donkey serum, and 1% NDS) before an overnight incubation in primary antibody solution; Primary antibodies were diluted in blocking buffer as follows: Anti-</w:t>
      </w:r>
      <w:r>
        <w:rPr>
          <w:rFonts w:ascii="Arial" w:hAnsi="Arial" w:cs="Arial"/>
          <w:color w:val="000000" w:themeColor="text1"/>
          <w:sz w:val="22"/>
          <w:szCs w:val="22"/>
        </w:rPr>
        <w:t>d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>oublecortin (</w:t>
      </w:r>
      <w:r>
        <w:rPr>
          <w:rFonts w:ascii="Arial" w:hAnsi="Arial" w:cs="Arial"/>
          <w:color w:val="000000" w:themeColor="text1"/>
          <w:sz w:val="22"/>
          <w:szCs w:val="22"/>
        </w:rPr>
        <w:t>r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abbit polyclonal, Abcam, ab18723, 1:250) 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nti-NeuN (Mouse Monoclonal, Millipore Sigma, MAB377, 1:500)  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>nti-</w:t>
      </w:r>
      <w:r>
        <w:rPr>
          <w:rFonts w:ascii="Arial" w:hAnsi="Arial" w:cs="Arial"/>
          <w:color w:val="000000" w:themeColor="text1"/>
          <w:sz w:val="22"/>
          <w:szCs w:val="22"/>
        </w:rPr>
        <w:t>n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estin (Rabbit polyclonal, EMD Millipore, ABD69, 1:250) 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>nti-</w:t>
      </w:r>
      <w:r>
        <w:rPr>
          <w:rFonts w:ascii="Arial" w:hAnsi="Arial" w:cs="Arial"/>
          <w:color w:val="000000" w:themeColor="text1"/>
          <w:sz w:val="22"/>
          <w:szCs w:val="22"/>
        </w:rPr>
        <w:t>s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ox2 (Goat polyclonal, Novus Biologicals, AF2018, 1:100) 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>nti-GFAP (</w:t>
      </w:r>
      <w:r>
        <w:rPr>
          <w:rFonts w:ascii="Arial" w:hAnsi="Arial" w:cs="Arial"/>
          <w:color w:val="000000" w:themeColor="text1"/>
          <w:sz w:val="22"/>
          <w:szCs w:val="22"/>
        </w:rPr>
        <w:t>r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at </w:t>
      </w:r>
      <w:r>
        <w:rPr>
          <w:rFonts w:ascii="Arial" w:hAnsi="Arial" w:cs="Arial"/>
          <w:color w:val="000000" w:themeColor="text1"/>
          <w:sz w:val="22"/>
          <w:szCs w:val="22"/>
        </w:rPr>
        <w:t>m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onoclonal, ThermoFisher Scientific, 13-0300, 1:250). On the following day, sections were washed 3 times with 1X TBS before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incubation 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with secondary antibodies for 2 hours at room temperature. Secondary antibodies were obtained from Jackson ImmunoResearch (Cy3 </w:t>
      </w:r>
      <w:r>
        <w:rPr>
          <w:rFonts w:ascii="Arial" w:hAnsi="Arial" w:cs="Arial"/>
          <w:color w:val="000000" w:themeColor="text1"/>
          <w:sz w:val="22"/>
          <w:szCs w:val="22"/>
        </w:rPr>
        <w:t>d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onkey </w:t>
      </w:r>
      <w:r>
        <w:rPr>
          <w:rFonts w:ascii="Arial" w:hAnsi="Arial" w:cs="Arial"/>
          <w:color w:val="000000" w:themeColor="text1"/>
          <w:sz w:val="22"/>
          <w:szCs w:val="22"/>
        </w:rPr>
        <w:t>a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>nti-</w:t>
      </w:r>
      <w:r>
        <w:rPr>
          <w:rFonts w:ascii="Arial" w:hAnsi="Arial" w:cs="Arial"/>
          <w:color w:val="000000" w:themeColor="text1"/>
          <w:sz w:val="22"/>
          <w:szCs w:val="22"/>
        </w:rPr>
        <w:t>r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abbit, 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711-165-152/ Cy5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d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onkey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a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>nti-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r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abbit, 711-175-152 / Cy3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d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onkey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a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>nti-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m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ouse, 715-165-151/ Cy5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d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onkey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a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>nti-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m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ouse, 715-175-151/ Cy5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d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onkey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a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>nti-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r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>at, 712-175-150/</w:t>
      </w:r>
      <w:r w:rsidRPr="00344AB0">
        <w:rPr>
          <w:rFonts w:ascii="Arial" w:hAnsi="Arial" w:cs="Arial"/>
          <w:color w:val="1F1F1F"/>
          <w:sz w:val="22"/>
          <w:szCs w:val="22"/>
          <w:shd w:val="clear" w:color="auto" w:fill="FFFFFF"/>
        </w:rPr>
        <w:t xml:space="preserve"> Alexa Fluor® 488 </w:t>
      </w:r>
      <w:r>
        <w:rPr>
          <w:rFonts w:ascii="Arial" w:hAnsi="Arial" w:cs="Arial"/>
          <w:color w:val="1F1F1F"/>
          <w:sz w:val="22"/>
          <w:szCs w:val="22"/>
          <w:shd w:val="clear" w:color="auto" w:fill="FFFFFF"/>
        </w:rPr>
        <w:t>d</w:t>
      </w:r>
      <w:r w:rsidRPr="00344AB0">
        <w:rPr>
          <w:rFonts w:ascii="Arial" w:hAnsi="Arial" w:cs="Arial"/>
          <w:color w:val="1F1F1F"/>
          <w:sz w:val="22"/>
          <w:szCs w:val="22"/>
          <w:shd w:val="clear" w:color="auto" w:fill="FFFFFF"/>
        </w:rPr>
        <w:t xml:space="preserve">onkey </w:t>
      </w:r>
      <w:r>
        <w:rPr>
          <w:rFonts w:ascii="Arial" w:hAnsi="Arial" w:cs="Arial"/>
          <w:color w:val="1F1F1F"/>
          <w:sz w:val="22"/>
          <w:szCs w:val="22"/>
          <w:shd w:val="clear" w:color="auto" w:fill="FFFFFF"/>
        </w:rPr>
        <w:t>a</w:t>
      </w:r>
      <w:r w:rsidRPr="00344AB0">
        <w:rPr>
          <w:rFonts w:ascii="Arial" w:hAnsi="Arial" w:cs="Arial"/>
          <w:color w:val="1F1F1F"/>
          <w:sz w:val="22"/>
          <w:szCs w:val="22"/>
          <w:shd w:val="clear" w:color="auto" w:fill="FFFFFF"/>
        </w:rPr>
        <w:t>nti-</w:t>
      </w:r>
      <w:r>
        <w:rPr>
          <w:rFonts w:ascii="Arial" w:hAnsi="Arial" w:cs="Arial"/>
          <w:color w:val="1F1F1F"/>
          <w:sz w:val="22"/>
          <w:szCs w:val="22"/>
          <w:shd w:val="clear" w:color="auto" w:fill="FFFFFF"/>
        </w:rPr>
        <w:t>g</w:t>
      </w:r>
      <w:r w:rsidRPr="00344AB0">
        <w:rPr>
          <w:rFonts w:ascii="Arial" w:hAnsi="Arial" w:cs="Arial"/>
          <w:color w:val="1F1F1F"/>
          <w:sz w:val="22"/>
          <w:szCs w:val="22"/>
          <w:shd w:val="clear" w:color="auto" w:fill="FFFFFF"/>
        </w:rPr>
        <w:t>oat, 705-545-003). Sections were then washed 3 times with 1</w:t>
      </w:r>
      <w:r>
        <w:rPr>
          <w:rFonts w:ascii="Arial" w:hAnsi="Arial" w:cs="Arial"/>
          <w:color w:val="1F1F1F"/>
          <w:sz w:val="22"/>
          <w:szCs w:val="22"/>
          <w:shd w:val="clear" w:color="auto" w:fill="FFFFFF"/>
        </w:rPr>
        <w:t xml:space="preserve"> </w:t>
      </w:r>
      <w:r w:rsidRPr="00344AB0">
        <w:rPr>
          <w:rFonts w:ascii="Arial" w:hAnsi="Arial" w:cs="Arial"/>
          <w:color w:val="1F1F1F"/>
          <w:sz w:val="22"/>
          <w:szCs w:val="22"/>
          <w:shd w:val="clear" w:color="auto" w:fill="FFFFFF"/>
        </w:rPr>
        <w:t xml:space="preserve">x TBS and incubated with DAPI (1:10000 in TBS) for 10 minutes. Sections were washed one time with 70% ethanol before </w:t>
      </w:r>
      <w:r>
        <w:rPr>
          <w:rFonts w:ascii="Arial" w:hAnsi="Arial" w:cs="Arial"/>
          <w:color w:val="1F1F1F"/>
          <w:sz w:val="22"/>
          <w:szCs w:val="22"/>
          <w:shd w:val="clear" w:color="auto" w:fill="FFFFFF"/>
        </w:rPr>
        <w:t>incubation</w:t>
      </w:r>
      <w:r w:rsidRPr="00344AB0">
        <w:rPr>
          <w:rFonts w:ascii="Arial" w:hAnsi="Arial" w:cs="Arial"/>
          <w:color w:val="1F1F1F"/>
          <w:sz w:val="22"/>
          <w:szCs w:val="22"/>
          <w:shd w:val="clear" w:color="auto" w:fill="FFFFFF"/>
        </w:rPr>
        <w:t xml:space="preserve"> with 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TrueBlack (TrueBlack® Lipofuscin Autofluorescence Quencher, </w:t>
      </w:r>
      <w:r w:rsidRPr="00344AB0">
        <w:rPr>
          <w:rFonts w:ascii="Arial" w:hAnsi="Arial" w:cs="Arial"/>
          <w:color w:val="404040"/>
          <w:sz w:val="22"/>
          <w:szCs w:val="22"/>
          <w:shd w:val="clear" w:color="auto" w:fill="FFFFFF"/>
        </w:rPr>
        <w:t xml:space="preserve">23007, 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biotium) for 1 minute.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Next, s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>ections were washed 3 times with TBS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,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mounted using PVA-DABCO and left to dry in the 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lastRenderedPageBreak/>
        <w:t xml:space="preserve">dark overnight at room temperature.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Cells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were quantified as previously described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vertAlign w:val="superscript"/>
        </w:rPr>
        <w:t xml:space="preserve"> 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>using the optical fractionator workflow in StereoInvestigator (StereoInvestigator; MBF Biosciences)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fldChar w:fldCharType="begin">
          <w:fldData xml:space="preserve">PEVuZE5vdGU+PENpdGU+PEF1dGhvcj5Ub2JpbjwvQXV0aG9yPjxZZWFyPjIwMTk8L1llYXI+PFJl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=
</w:fldData>
        </w:fldChar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 xml:space="preserve"> ADDIN EN.CITE </w:instrTex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fldChar w:fldCharType="begin">
          <w:fldData xml:space="preserve">PEVuZE5vdGU+PENpdGU+PEF1dGhvcj5Ub2JpbjwvQXV0aG9yPjxZZWFyPjIwMTk8L1llYXI+PFJl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=
</w:fldData>
        </w:fldChar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 xml:space="preserve"> ADDIN EN.CITE.DATA </w:instrTex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fldChar w:fldCharType="end"/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fldChar w:fldCharType="separate"/>
      </w:r>
      <w:r w:rsidRPr="00FD16CE">
        <w:rPr>
          <w:rFonts w:ascii="Arial" w:hAnsi="Arial" w:cs="Arial"/>
          <w:noProof/>
          <w:color w:val="000000"/>
          <w:sz w:val="22"/>
          <w:szCs w:val="22"/>
          <w:shd w:val="clear" w:color="auto" w:fill="FFFFFF"/>
          <w:vertAlign w:val="superscript"/>
        </w:rPr>
        <w:t>30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fldChar w:fldCharType="end"/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.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The dentate gyrus was traced using 5X magnification and counting was performed using 63X magnification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using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the following parameters: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c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>ounting frame 225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>x 145, sampling grid 100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>x 100</w:t>
      </w:r>
      <w:r w:rsidRPr="00344AB0">
        <w:rPr>
          <w:rFonts w:ascii="Arial" w:hAnsi="Arial" w:cs="Arial"/>
          <w:sz w:val="22"/>
          <w:szCs w:val="22"/>
        </w:rPr>
        <w:t xml:space="preserve"> 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μm and gourd zone 12.5 μm. All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c</w:t>
      </w:r>
      <w:r w:rsidRPr="00344AB0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ounting was done by investigators blinded to the subjects’ demographics. </w:t>
      </w:r>
      <w:r w:rsidRPr="00344AB0">
        <w:rPr>
          <w:rFonts w:ascii="Arial" w:hAnsi="Arial" w:cs="Arial"/>
          <w:sz w:val="22"/>
          <w:szCs w:val="22"/>
        </w:rPr>
        <w:t xml:space="preserve"> </w:t>
      </w:r>
    </w:p>
    <w:p w14:paraId="09E0B669" w14:textId="77777777" w:rsidR="00E6799D" w:rsidRPr="00344AB0" w:rsidRDefault="00E6799D" w:rsidP="00E6799D">
      <w:pPr>
        <w:spacing w:line="480" w:lineRule="auto"/>
        <w:jc w:val="both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14:paraId="0CC288C1" w14:textId="77777777" w:rsidR="00E6799D" w:rsidRPr="00344AB0" w:rsidRDefault="00E6799D" w:rsidP="00E6799D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344AB0">
        <w:rPr>
          <w:rFonts w:ascii="Arial" w:hAnsi="Arial" w:cs="Arial"/>
          <w:b/>
          <w:bCs/>
          <w:sz w:val="22"/>
          <w:szCs w:val="22"/>
        </w:rPr>
        <w:t>Association analysis and description of the pathological association tests</w:t>
      </w:r>
    </w:p>
    <w:p w14:paraId="1E0506D8" w14:textId="77777777" w:rsidR="00E6799D" w:rsidRPr="00134910" w:rsidRDefault="00E6799D" w:rsidP="00E6799D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344AB0">
        <w:rPr>
          <w:rFonts w:ascii="Arial" w:hAnsi="Arial" w:cs="Arial"/>
          <w:sz w:val="22"/>
          <w:szCs w:val="22"/>
        </w:rPr>
        <w:t>For each of the tested populations (</w:t>
      </w:r>
      <w:r>
        <w:rPr>
          <w:rFonts w:ascii="Arial" w:hAnsi="Arial" w:cs="Arial"/>
          <w:sz w:val="22"/>
          <w:szCs w:val="22"/>
        </w:rPr>
        <w:t>n</w:t>
      </w:r>
      <w:r w:rsidRPr="00344AB0">
        <w:rPr>
          <w:rFonts w:ascii="Arial" w:hAnsi="Arial" w:cs="Arial"/>
          <w:sz w:val="22"/>
          <w:szCs w:val="22"/>
        </w:rPr>
        <w:t xml:space="preserve">eural stem cells, </w:t>
      </w:r>
      <w:r>
        <w:rPr>
          <w:rFonts w:ascii="Arial" w:hAnsi="Arial" w:cs="Arial"/>
          <w:sz w:val="22"/>
          <w:szCs w:val="22"/>
        </w:rPr>
        <w:t>a</w:t>
      </w:r>
      <w:r w:rsidRPr="00344AB0">
        <w:rPr>
          <w:rFonts w:ascii="Arial" w:hAnsi="Arial" w:cs="Arial"/>
          <w:sz w:val="22"/>
          <w:szCs w:val="22"/>
        </w:rPr>
        <w:t xml:space="preserve">strocytes, </w:t>
      </w:r>
      <w:r>
        <w:rPr>
          <w:rFonts w:ascii="Arial" w:hAnsi="Arial" w:cs="Arial"/>
          <w:sz w:val="22"/>
          <w:szCs w:val="22"/>
        </w:rPr>
        <w:t>i</w:t>
      </w:r>
      <w:r w:rsidRPr="00344AB0">
        <w:rPr>
          <w:rFonts w:ascii="Arial" w:hAnsi="Arial" w:cs="Arial"/>
          <w:sz w:val="22"/>
          <w:szCs w:val="22"/>
        </w:rPr>
        <w:t xml:space="preserve">mmature neurons) Logistic regression was performed to test </w:t>
      </w:r>
      <w:r>
        <w:rPr>
          <w:rFonts w:ascii="Arial" w:hAnsi="Arial" w:cs="Arial"/>
          <w:sz w:val="22"/>
          <w:szCs w:val="22"/>
        </w:rPr>
        <w:t xml:space="preserve">a putative </w:t>
      </w:r>
      <w:r w:rsidRPr="00344AB0">
        <w:rPr>
          <w:rFonts w:ascii="Arial" w:hAnsi="Arial" w:cs="Arial"/>
          <w:sz w:val="22"/>
          <w:szCs w:val="22"/>
        </w:rPr>
        <w:t>associat</w:t>
      </w:r>
      <w:r>
        <w:rPr>
          <w:rFonts w:ascii="Arial" w:hAnsi="Arial" w:cs="Arial"/>
          <w:sz w:val="22"/>
          <w:szCs w:val="22"/>
        </w:rPr>
        <w:t>ion</w:t>
      </w:r>
      <w:r w:rsidRPr="00344AB0">
        <w:rPr>
          <w:rFonts w:ascii="Arial" w:hAnsi="Arial" w:cs="Arial"/>
          <w:sz w:val="22"/>
          <w:szCs w:val="22"/>
        </w:rPr>
        <w:t xml:space="preserve"> with the slope of the global cognitive score during visits (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Global cognitive score summarizes the overall cognitive performance across multiple memory domains including perceptual orientation, working memory, episodic memory, semantic memory, and perceptual speed. The slope </w:t>
      </w:r>
      <w:r w:rsidRPr="00344AB0">
        <w:rPr>
          <w:rFonts w:ascii="Arial" w:hAnsi="Arial" w:cs="Arial"/>
          <w:sz w:val="22"/>
          <w:szCs w:val="22"/>
        </w:rPr>
        <w:t xml:space="preserve">represents the decline of cognitive function over time), or the density of PHF Tau tangles in the hippocampus </w:t>
      </w:r>
      <w:r>
        <w:rPr>
          <w:rFonts w:ascii="Arial" w:hAnsi="Arial" w:cs="Arial"/>
          <w:sz w:val="22"/>
          <w:szCs w:val="22"/>
        </w:rPr>
        <w:t>[n</w:t>
      </w:r>
      <w:r w:rsidRPr="00344AB0">
        <w:rPr>
          <w:rFonts w:ascii="Arial" w:hAnsi="Arial" w:cs="Arial"/>
          <w:sz w:val="22"/>
          <w:szCs w:val="22"/>
        </w:rPr>
        <w:t xml:space="preserve">eurofibrillary tangles </w:t>
      </w:r>
      <w:r>
        <w:rPr>
          <w:rFonts w:ascii="Arial" w:hAnsi="Arial" w:cs="Arial"/>
          <w:sz w:val="22"/>
          <w:szCs w:val="22"/>
        </w:rPr>
        <w:t>we</w:t>
      </w:r>
      <w:r w:rsidRPr="00344AB0">
        <w:rPr>
          <w:rFonts w:ascii="Arial" w:hAnsi="Arial" w:cs="Arial"/>
          <w:sz w:val="22"/>
          <w:szCs w:val="22"/>
        </w:rPr>
        <w:t>re identified using immunohistochemistry (</w:t>
      </w:r>
      <w:r>
        <w:rPr>
          <w:rFonts w:ascii="Arial" w:hAnsi="Arial" w:cs="Arial"/>
          <w:sz w:val="22"/>
          <w:szCs w:val="22"/>
        </w:rPr>
        <w:t xml:space="preserve">AT8 </w:t>
      </w:r>
      <w:r w:rsidRPr="00344AB0">
        <w:rPr>
          <w:rFonts w:ascii="Arial" w:hAnsi="Arial" w:cs="Arial"/>
          <w:sz w:val="22"/>
          <w:szCs w:val="22"/>
        </w:rPr>
        <w:t xml:space="preserve">antibodies </w:t>
      </w:r>
      <w:r>
        <w:rPr>
          <w:rFonts w:ascii="Arial" w:hAnsi="Arial" w:cs="Arial"/>
          <w:sz w:val="22"/>
          <w:szCs w:val="22"/>
        </w:rPr>
        <w:t xml:space="preserve">raised </w:t>
      </w:r>
      <w:r w:rsidRPr="00344AB0">
        <w:rPr>
          <w:rFonts w:ascii="Arial" w:hAnsi="Arial" w:cs="Arial"/>
          <w:sz w:val="22"/>
          <w:szCs w:val="22"/>
        </w:rPr>
        <w:t xml:space="preserve">against hyperphosphorylated </w:t>
      </w:r>
      <w:r>
        <w:rPr>
          <w:rFonts w:ascii="Arial" w:hAnsi="Arial" w:cs="Arial"/>
          <w:sz w:val="22"/>
          <w:szCs w:val="22"/>
        </w:rPr>
        <w:t>t</w:t>
      </w:r>
      <w:r w:rsidRPr="00344AB0">
        <w:rPr>
          <w:rFonts w:ascii="Arial" w:hAnsi="Arial" w:cs="Arial"/>
          <w:sz w:val="22"/>
          <w:szCs w:val="22"/>
        </w:rPr>
        <w:t xml:space="preserve">au. Systematic sampling is used to determine </w:t>
      </w:r>
      <w:r>
        <w:rPr>
          <w:rFonts w:ascii="Arial" w:hAnsi="Arial" w:cs="Arial"/>
          <w:sz w:val="22"/>
          <w:szCs w:val="22"/>
        </w:rPr>
        <w:t>c</w:t>
      </w:r>
      <w:r w:rsidRPr="00344AB0">
        <w:rPr>
          <w:rFonts w:ascii="Arial" w:hAnsi="Arial" w:cs="Arial"/>
          <w:sz w:val="22"/>
          <w:szCs w:val="22"/>
        </w:rPr>
        <w:t>ortical density (per mm</w:t>
      </w:r>
      <w:r w:rsidRPr="00134910">
        <w:rPr>
          <w:rFonts w:ascii="Arial" w:hAnsi="Arial" w:cs="Arial"/>
          <w:sz w:val="22"/>
          <w:szCs w:val="22"/>
          <w:vertAlign w:val="superscript"/>
        </w:rPr>
        <w:t>2</w:t>
      </w:r>
      <w:r w:rsidRPr="00344AB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] </w:t>
      </w:r>
      <w:r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PEVuZE5vdGU+PENpdGU+PEF1dGhvcj5CZW5uZXR0PC9BdXRob3I+PFllYXI+MjAxODwvWWVhcj48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</w:fldData>
        </w:fldChar>
      </w:r>
      <w:r>
        <w:rPr>
          <w:rFonts w:ascii="Arial" w:hAnsi="Arial" w:cs="Arial"/>
          <w:color w:val="000000" w:themeColor="text1"/>
          <w:sz w:val="22"/>
          <w:szCs w:val="22"/>
        </w:rPr>
        <w:instrText xml:space="preserve"> ADDIN EN.CITE </w:instrText>
      </w:r>
      <w:r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PEVuZE5vdGU+PENpdGU+PEF1dGhvcj5CZW5uZXR0PC9BdXRob3I+PFllYXI+MjAxODwvWWVhcj48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</w:fldData>
        </w:fldChar>
      </w:r>
      <w:r>
        <w:rPr>
          <w:rFonts w:ascii="Arial" w:hAnsi="Arial" w:cs="Arial"/>
          <w:color w:val="000000" w:themeColor="text1"/>
          <w:sz w:val="22"/>
          <w:szCs w:val="22"/>
        </w:rPr>
        <w:instrText xml:space="preserve"> ADDIN EN.CITE.DATA </w:instrText>
      </w:r>
      <w:r>
        <w:rPr>
          <w:rFonts w:ascii="Arial" w:hAnsi="Arial" w:cs="Arial"/>
          <w:color w:val="000000" w:themeColor="text1"/>
          <w:sz w:val="22"/>
          <w:szCs w:val="22"/>
        </w:rPr>
      </w:r>
      <w:r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/>
          <w:color w:val="000000" w:themeColor="text1"/>
          <w:sz w:val="22"/>
          <w:szCs w:val="22"/>
        </w:rPr>
      </w:r>
      <w:r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Pr="00A1700B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60</w:t>
      </w:r>
      <w:r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44AB0">
        <w:rPr>
          <w:rFonts w:ascii="Arial" w:hAnsi="Arial" w:cs="Arial"/>
          <w:sz w:val="22"/>
          <w:szCs w:val="22"/>
        </w:rPr>
        <w:t xml:space="preserve">and NIA-Reagan diagnosis (The criteria is based on parallel recommendations from both neurofibrillary tangles (Braak) and neuritic plaques (CERAD) to confirm a postmortem diagnosis of Alzheimer’s </w:t>
      </w:r>
      <w:r w:rsidRPr="00134910">
        <w:rPr>
          <w:rFonts w:ascii="Arial" w:hAnsi="Arial" w:cs="Arial"/>
          <w:color w:val="000000" w:themeColor="text1"/>
          <w:sz w:val="22"/>
          <w:szCs w:val="22"/>
        </w:rPr>
        <w:t xml:space="preserve">disease </w:t>
      </w:r>
      <w:r w:rsidRPr="00134910">
        <w:rPr>
          <w:rFonts w:ascii="Arial" w:hAnsi="Arial" w:cs="Arial"/>
          <w:color w:val="000000" w:themeColor="text1"/>
          <w:sz w:val="22"/>
          <w:szCs w:val="22"/>
        </w:rPr>
        <w:fldChar w:fldCharType="begin"/>
      </w:r>
      <w:r>
        <w:rPr>
          <w:rFonts w:ascii="Arial" w:hAnsi="Arial" w:cs="Arial"/>
          <w:color w:val="000000" w:themeColor="text1"/>
          <w:sz w:val="22"/>
          <w:szCs w:val="22"/>
        </w:rPr>
        <w:instrText xml:space="preserve"> ADDIN EN.CITE &lt;EndNote&gt;&lt;Cite&gt;&lt;Author&gt;Schneider&lt;/Author&gt;&lt;Year&gt;2007&lt;/Year&gt;&lt;RecNum&gt;34530&lt;/RecNum&gt;&lt;DisplayText&gt;&lt;style face="superscript"&gt;61&lt;/style&gt;&lt;/DisplayText&gt;&lt;record&gt;&lt;rec-number&gt;34530&lt;/rec-number&gt;&lt;foreign-keys&gt;&lt;key app="EN" db-id="ztt5pptaz2zz57es0wc55rfxs0d92swazaaw" timestamp="1716231459"&gt;34530&lt;/key&gt;&lt;/foreign-keys&gt;&lt;ref-type name="Journal Article"&gt;17&lt;/ref-type&gt;&lt;contributors&gt;&lt;authors&gt;&lt;author&gt;Schneider, J. A.&lt;/author&gt;&lt;author&gt;Arvanitakis, Z.&lt;/author&gt;&lt;author&gt;Bang, W.&lt;/author&gt;&lt;author&gt;Bennett, D. A.&lt;/author&gt;&lt;/authors&gt;&lt;/contributors&gt;&lt;auth-address&gt;Rush Alzheimer&amp;apos;s Disease Center, Rush University Medical Center, Armour Academic Center, 600 S. Paulina Street, Suite 1022F, Chicago, IL 60612, USA. julie_a_schneider@rush.edu&lt;/auth-address&gt;&lt;titles&gt;&lt;title&gt;Mixed brain pathologies account for most dementia cases in community-dwelling older persons&lt;/title&gt;&lt;secondary-title&gt;Neurology&lt;/secondary-title&gt;&lt;/titles&gt;&lt;periodical&gt;&lt;full-title&gt;Neurology&lt;/full-title&gt;&lt;abbr-1&gt;Neurology&lt;/abbr-1&gt;&lt;/periodical&gt;&lt;pages&gt;2197-204&lt;/pages&gt;&lt;volume&gt;69&lt;/volume&gt;&lt;number&gt;24&lt;/number&gt;&lt;edition&gt;2007/06/15&lt;/edition&gt;&lt;keywords&gt;&lt;keyword&gt;Aged, 80 and over&lt;/keyword&gt;&lt;keyword&gt;Brain/*pathology&lt;/keyword&gt;&lt;keyword&gt;Cohort Studies&lt;/keyword&gt;&lt;keyword&gt;Dementia/diagnosis/*epidemiology/*pathology&lt;/keyword&gt;&lt;keyword&gt;Female&lt;/keyword&gt;&lt;keyword&gt;*Housing for the Elderly/statistics &amp;amp; numerical data/trends&lt;/keyword&gt;&lt;keyword&gt;Humans&lt;/keyword&gt;&lt;keyword&gt;Long-Term Care&lt;/keyword&gt;&lt;keyword&gt;Longitudinal Studies&lt;/keyword&gt;&lt;keyword&gt;Male&lt;/keyword&gt;&lt;/keywords&gt;&lt;dates&gt;&lt;year&gt;2007&lt;/year&gt;&lt;pub-dates&gt;&lt;date&gt;Dec 11&lt;/date&gt;&lt;/pub-dates&gt;&lt;/dates&gt;&lt;isbn&gt;1526-632X (Electronic)&amp;#xD;0028-3878 (Linking)&lt;/isbn&gt;&lt;accession-num&gt;17568013&lt;/accession-num&gt;&lt;urls&gt;&lt;related-urls&gt;&lt;url&gt;https://www.ncbi.nlm.nih.gov/pubmed/17568013&lt;/url&gt;&lt;/related-urls&gt;&lt;/urls&gt;&lt;electronic-resource-num&gt;10.1212/01.wnl.0000271090.28148.24&lt;/electronic-resource-num&gt;&lt;/record&gt;&lt;/Cite&gt;&lt;/EndNote&gt;</w:instrText>
      </w:r>
      <w:r w:rsidRPr="00134910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Pr="00A1700B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61</w:t>
      </w:r>
      <w:r w:rsidRPr="00134910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. 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>General Linear Model (GLM) was used for continuous outcome and Logistic regression with the reference group (0), where a positive estimate means higher odds of Y=1 with one incremental change of variable while a negative estimate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means</w:t>
      </w:r>
      <w:r w:rsidRPr="00344AB0">
        <w:rPr>
          <w:rFonts w:ascii="Arial" w:hAnsi="Arial" w:cs="Arial"/>
          <w:color w:val="000000" w:themeColor="text1"/>
          <w:sz w:val="22"/>
          <w:szCs w:val="22"/>
        </w:rPr>
        <w:t xml:space="preserve"> lower odds of Y=1.</w:t>
      </w:r>
    </w:p>
    <w:p w14:paraId="41E43ED2" w14:textId="77777777" w:rsidR="00E6799D" w:rsidRDefault="00E6799D" w:rsidP="00E6799D">
      <w:pPr>
        <w:spacing w:line="480" w:lineRule="auto"/>
        <w:rPr>
          <w:rFonts w:ascii="Arial" w:hAnsi="Arial" w:cs="Arial"/>
          <w:b/>
          <w:bCs/>
          <w:sz w:val="32"/>
          <w:szCs w:val="32"/>
        </w:rPr>
      </w:pPr>
    </w:p>
    <w:p w14:paraId="6C4ADA86" w14:textId="77777777" w:rsidR="00E6799D" w:rsidRDefault="00E6799D" w:rsidP="00E6799D">
      <w:pPr>
        <w:spacing w:line="480" w:lineRule="auto"/>
        <w:rPr>
          <w:rFonts w:ascii="Arial" w:hAnsi="Arial" w:cs="Arial"/>
          <w:b/>
          <w:bCs/>
          <w:kern w:val="36"/>
          <w:sz w:val="22"/>
          <w:szCs w:val="22"/>
        </w:rPr>
      </w:pPr>
    </w:p>
    <w:p w14:paraId="0EAE3786" w14:textId="77777777" w:rsidR="00E6799D" w:rsidRDefault="00E6799D" w:rsidP="00E6799D">
      <w:pPr>
        <w:spacing w:line="480" w:lineRule="auto"/>
        <w:rPr>
          <w:rFonts w:ascii="Arial" w:hAnsi="Arial" w:cs="Arial"/>
          <w:b/>
          <w:bCs/>
          <w:sz w:val="32"/>
          <w:szCs w:val="32"/>
        </w:rPr>
      </w:pPr>
    </w:p>
    <w:p w14:paraId="4C94D86F" w14:textId="77777777" w:rsidR="00E6799D" w:rsidRDefault="00E6799D" w:rsidP="00E6799D">
      <w:pPr>
        <w:spacing w:line="480" w:lineRule="auto"/>
        <w:rPr>
          <w:rFonts w:ascii="Arial" w:hAnsi="Arial" w:cs="Arial"/>
          <w:b/>
          <w:bCs/>
          <w:sz w:val="32"/>
          <w:szCs w:val="32"/>
        </w:rPr>
      </w:pPr>
    </w:p>
    <w:p w14:paraId="0540027A" w14:textId="77777777" w:rsidR="00E6799D" w:rsidRDefault="00E6799D" w:rsidP="00E6799D">
      <w:pPr>
        <w:spacing w:line="480" w:lineRule="auto"/>
        <w:rPr>
          <w:rFonts w:ascii="Arial" w:hAnsi="Arial" w:cs="Arial"/>
          <w:b/>
          <w:bCs/>
          <w:sz w:val="32"/>
          <w:szCs w:val="32"/>
        </w:rPr>
      </w:pPr>
    </w:p>
    <w:p w14:paraId="03ABC83B" w14:textId="77777777" w:rsidR="00E6799D" w:rsidRDefault="00E6799D" w:rsidP="00E6799D">
      <w:pPr>
        <w:spacing w:line="480" w:lineRule="auto"/>
        <w:rPr>
          <w:rFonts w:ascii="Arial" w:hAnsi="Arial" w:cs="Arial"/>
          <w:b/>
          <w:bCs/>
          <w:sz w:val="32"/>
          <w:szCs w:val="32"/>
        </w:rPr>
      </w:pPr>
    </w:p>
    <w:p w14:paraId="702D44F7" w14:textId="77777777" w:rsidR="00E6799D" w:rsidRDefault="00E6799D" w:rsidP="00E6799D">
      <w:pPr>
        <w:spacing w:line="480" w:lineRule="auto"/>
        <w:rPr>
          <w:rFonts w:ascii="Arial" w:hAnsi="Arial" w:cs="Arial"/>
          <w:b/>
          <w:bCs/>
          <w:sz w:val="32"/>
          <w:szCs w:val="32"/>
        </w:rPr>
      </w:pPr>
    </w:p>
    <w:p w14:paraId="13BBA727" w14:textId="77777777" w:rsidR="00E6799D" w:rsidRPr="00EE321A" w:rsidRDefault="00E6799D" w:rsidP="00E6799D">
      <w:pPr>
        <w:spacing w:line="480" w:lineRule="auto"/>
        <w:rPr>
          <w:rFonts w:ascii="Arial" w:hAnsi="Arial" w:cs="Arial"/>
          <w:b/>
          <w:bCs/>
          <w:sz w:val="32"/>
          <w:szCs w:val="32"/>
        </w:rPr>
      </w:pPr>
      <w:r w:rsidRPr="0057033D">
        <w:rPr>
          <w:rFonts w:ascii="Arial" w:hAnsi="Arial" w:cs="Arial"/>
          <w:b/>
          <w:bCs/>
          <w:sz w:val="32"/>
          <w:szCs w:val="32"/>
        </w:rPr>
        <w:lastRenderedPageBreak/>
        <w:t>Supplemental Figures</w:t>
      </w:r>
    </w:p>
    <w:p w14:paraId="21083A8B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3BAA2E3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7F20E1">
        <w:rPr>
          <w:rFonts w:ascii="Arial" w:hAnsi="Arial" w:cs="Arial"/>
          <w:b/>
          <w:bCs/>
          <w:sz w:val="22"/>
          <w:szCs w:val="22"/>
        </w:rPr>
        <w:t xml:space="preserve">Supplemental Figure </w:t>
      </w:r>
      <w:r>
        <w:rPr>
          <w:rFonts w:ascii="Arial" w:hAnsi="Arial" w:cs="Arial"/>
          <w:b/>
          <w:bCs/>
          <w:sz w:val="22"/>
          <w:szCs w:val="22"/>
        </w:rPr>
        <w:t>1</w:t>
      </w:r>
      <w:r w:rsidRPr="007F20E1">
        <w:rPr>
          <w:rFonts w:ascii="Arial" w:hAnsi="Arial" w:cs="Arial"/>
          <w:b/>
          <w:bCs/>
          <w:sz w:val="22"/>
          <w:szCs w:val="22"/>
        </w:rPr>
        <w:t xml:space="preserve">. Quantification of immature neurons in the dentate gyrus as a function of diagnosis using immunohistochemistry.  A. </w:t>
      </w:r>
      <w:r w:rsidRPr="007F20E1">
        <w:rPr>
          <w:rFonts w:ascii="Arial" w:hAnsi="Arial" w:cs="Arial"/>
          <w:sz w:val="22"/>
          <w:szCs w:val="22"/>
        </w:rPr>
        <w:t xml:space="preserve">Representative confocal images of immature neurons expressing </w:t>
      </w:r>
      <w:r>
        <w:rPr>
          <w:rFonts w:ascii="Arial" w:hAnsi="Arial" w:cs="Arial"/>
          <w:sz w:val="22"/>
          <w:szCs w:val="22"/>
        </w:rPr>
        <w:t xml:space="preserve">DCX (red), NeuN (green) and DAPI (blue) </w:t>
      </w:r>
      <w:r w:rsidRPr="007F20E1">
        <w:rPr>
          <w:rFonts w:ascii="Arial" w:hAnsi="Arial" w:cs="Arial"/>
          <w:sz w:val="22"/>
          <w:szCs w:val="22"/>
        </w:rPr>
        <w:t xml:space="preserve">in NCI, MCI </w:t>
      </w:r>
      <w:r w:rsidRPr="00EE321A">
        <w:rPr>
          <w:rFonts w:ascii="Arial" w:hAnsi="Arial" w:cs="Arial"/>
          <w:sz w:val="22"/>
          <w:szCs w:val="22"/>
        </w:rPr>
        <w:t>and AD. Scale bar</w:t>
      </w:r>
      <w:r>
        <w:rPr>
          <w:rFonts w:ascii="Arial" w:hAnsi="Arial" w:cs="Arial"/>
          <w:sz w:val="22"/>
          <w:szCs w:val="22"/>
        </w:rPr>
        <w:t xml:space="preserve"> </w:t>
      </w:r>
      <w:r w:rsidRPr="00EE321A">
        <w:rPr>
          <w:rFonts w:ascii="Arial" w:hAnsi="Arial" w:cs="Arial"/>
          <w:sz w:val="22"/>
          <w:szCs w:val="22"/>
        </w:rPr>
        <w:t>= 20 μm</w:t>
      </w:r>
      <w:r>
        <w:rPr>
          <w:rFonts w:ascii="Arial" w:hAnsi="Arial" w:cs="Arial"/>
          <w:sz w:val="22"/>
          <w:szCs w:val="22"/>
        </w:rPr>
        <w:t>.</w:t>
      </w:r>
      <w:r w:rsidRPr="00EE321A">
        <w:rPr>
          <w:rFonts w:ascii="Arial" w:hAnsi="Arial" w:cs="Arial"/>
          <w:sz w:val="22"/>
          <w:szCs w:val="22"/>
        </w:rPr>
        <w:t xml:space="preserve"> </w:t>
      </w:r>
      <w:r w:rsidRPr="00EE321A">
        <w:rPr>
          <w:rFonts w:ascii="Arial" w:hAnsi="Arial" w:cs="Arial"/>
          <w:b/>
          <w:bCs/>
          <w:sz w:val="22"/>
          <w:szCs w:val="22"/>
        </w:rPr>
        <w:t>B.</w:t>
      </w:r>
      <w:r w:rsidRPr="00EE321A">
        <w:rPr>
          <w:rFonts w:ascii="Arial" w:hAnsi="Arial" w:cs="Arial"/>
          <w:sz w:val="22"/>
          <w:szCs w:val="22"/>
        </w:rPr>
        <w:t xml:space="preserve"> Quantification</w:t>
      </w:r>
      <w:r w:rsidRPr="007F20E1">
        <w:rPr>
          <w:rFonts w:ascii="Arial" w:hAnsi="Arial" w:cs="Arial"/>
          <w:sz w:val="22"/>
          <w:szCs w:val="22"/>
        </w:rPr>
        <w:t xml:space="preserve"> of the number of immature neurons (DCX+NeuN+) in NCI, MCI, and AD (n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10, one-way ANOVA, F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7.640 P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0.0023; NCI/AD p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0.0016, NCI/MCI p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0.1793, MCI/AD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 xml:space="preserve">0.1136). </w:t>
      </w:r>
      <w:r w:rsidRPr="007F20E1">
        <w:rPr>
          <w:rFonts w:ascii="Arial" w:hAnsi="Arial" w:cs="Arial"/>
          <w:b/>
          <w:bCs/>
          <w:sz w:val="22"/>
          <w:szCs w:val="22"/>
        </w:rPr>
        <w:t>C.</w:t>
      </w:r>
      <w:r w:rsidRPr="007F20E1">
        <w:rPr>
          <w:rFonts w:ascii="Arial" w:hAnsi="Arial" w:cs="Arial"/>
          <w:sz w:val="22"/>
          <w:szCs w:val="22"/>
        </w:rPr>
        <w:t xml:space="preserve"> General Linear regression analysis showing</w:t>
      </w:r>
      <w:r>
        <w:rPr>
          <w:rFonts w:ascii="Arial" w:hAnsi="Arial" w:cs="Arial"/>
          <w:sz w:val="22"/>
          <w:szCs w:val="22"/>
        </w:rPr>
        <w:t xml:space="preserve"> a</w:t>
      </w:r>
      <w:r w:rsidRPr="007F20E1">
        <w:rPr>
          <w:rFonts w:ascii="Arial" w:hAnsi="Arial" w:cs="Arial"/>
          <w:sz w:val="22"/>
          <w:szCs w:val="22"/>
        </w:rPr>
        <w:t xml:space="preserve"> significant </w:t>
      </w:r>
      <w:r>
        <w:rPr>
          <w:rFonts w:ascii="Arial" w:hAnsi="Arial" w:cs="Arial"/>
          <w:sz w:val="22"/>
          <w:szCs w:val="22"/>
        </w:rPr>
        <w:t xml:space="preserve">negative </w:t>
      </w:r>
      <w:r w:rsidRPr="007F20E1">
        <w:rPr>
          <w:rFonts w:ascii="Arial" w:hAnsi="Arial" w:cs="Arial"/>
          <w:sz w:val="22"/>
          <w:szCs w:val="22"/>
        </w:rPr>
        <w:t xml:space="preserve">association between the number of </w:t>
      </w:r>
      <w:r>
        <w:rPr>
          <w:rFonts w:ascii="Arial" w:hAnsi="Arial" w:cs="Arial"/>
          <w:sz w:val="22"/>
          <w:szCs w:val="22"/>
        </w:rPr>
        <w:t>immature</w:t>
      </w:r>
      <w:r w:rsidRPr="007F20E1">
        <w:rPr>
          <w:rFonts w:ascii="Arial" w:hAnsi="Arial" w:cs="Arial"/>
          <w:sz w:val="22"/>
          <w:szCs w:val="22"/>
        </w:rPr>
        <w:t xml:space="preserve"> neurons and</w:t>
      </w:r>
      <w:r w:rsidRPr="007F20E1">
        <w:rPr>
          <w:rFonts w:ascii="MS Gothic" w:eastAsia="MS Gothic" w:hAnsi="MS Gothic" w:cs="MS Gothic" w:hint="eastAsia"/>
          <w:sz w:val="22"/>
          <w:szCs w:val="22"/>
        </w:rPr>
        <w:t> </w:t>
      </w:r>
      <w:r w:rsidRPr="007F20E1">
        <w:rPr>
          <w:rFonts w:ascii="Arial" w:hAnsi="Arial" w:cs="Arial"/>
          <w:sz w:val="22"/>
          <w:szCs w:val="22"/>
        </w:rPr>
        <w:t>PHF tau tangle density in the hippocampus (n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30</w:t>
      </w:r>
      <w:r w:rsidRPr="007F20E1">
        <w:rPr>
          <w:rFonts w:ascii="Arial" w:hAnsi="Arial" w:cs="Arial"/>
          <w:sz w:val="22"/>
          <w:szCs w:val="22"/>
        </w:rPr>
        <w:t>, p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 xml:space="preserve">0.0343, and = -0.0398). </w:t>
      </w:r>
      <w:r w:rsidRPr="007F20E1">
        <w:rPr>
          <w:rFonts w:ascii="Arial" w:hAnsi="Arial" w:cs="Arial"/>
          <w:b/>
          <w:bCs/>
          <w:sz w:val="22"/>
          <w:szCs w:val="22"/>
        </w:rPr>
        <w:t>D.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 xml:space="preserve">General Linear regression analysis </w:t>
      </w:r>
      <w:r>
        <w:rPr>
          <w:rFonts w:ascii="Arial" w:hAnsi="Arial" w:cs="Arial"/>
          <w:sz w:val="22"/>
          <w:szCs w:val="22"/>
        </w:rPr>
        <w:t>of the</w:t>
      </w:r>
      <w:r w:rsidRPr="007F20E1">
        <w:rPr>
          <w:rFonts w:ascii="Arial" w:hAnsi="Arial" w:cs="Arial"/>
          <w:sz w:val="22"/>
          <w:szCs w:val="22"/>
        </w:rPr>
        <w:t xml:space="preserve"> association between the number of </w:t>
      </w:r>
      <w:r>
        <w:rPr>
          <w:rFonts w:ascii="Arial" w:hAnsi="Arial" w:cs="Arial"/>
          <w:sz w:val="22"/>
          <w:szCs w:val="22"/>
        </w:rPr>
        <w:t>immature</w:t>
      </w:r>
      <w:r w:rsidRPr="007F20E1">
        <w:rPr>
          <w:rFonts w:ascii="Arial" w:hAnsi="Arial" w:cs="Arial"/>
          <w:sz w:val="22"/>
          <w:szCs w:val="22"/>
        </w:rPr>
        <w:t xml:space="preserve"> neurons and the</w:t>
      </w:r>
      <w:r w:rsidRPr="007F20E1">
        <w:rPr>
          <w:rFonts w:ascii="MS Gothic" w:eastAsia="MS Gothic" w:hAnsi="MS Gothic" w:cs="MS Gothic" w:hint="eastAsia"/>
          <w:sz w:val="22"/>
          <w:szCs w:val="22"/>
        </w:rPr>
        <w:t> </w:t>
      </w:r>
      <w:r w:rsidRPr="007F20E1">
        <w:rPr>
          <w:rFonts w:ascii="Arial" w:hAnsi="Arial" w:cs="Arial"/>
          <w:sz w:val="22"/>
          <w:szCs w:val="22"/>
        </w:rPr>
        <w:t>slope of cognitive decline during annual visits. (n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3</w:t>
      </w:r>
      <w:r w:rsidRPr="007F20E1">
        <w:rPr>
          <w:rFonts w:ascii="Arial" w:hAnsi="Arial" w:cs="Arial"/>
          <w:sz w:val="22"/>
          <w:szCs w:val="22"/>
        </w:rPr>
        <w:t>0, p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0.0107, and = -0.0002)</w:t>
      </w:r>
      <w:r>
        <w:rPr>
          <w:rFonts w:ascii="Arial" w:hAnsi="Arial" w:cs="Arial"/>
          <w:sz w:val="22"/>
          <w:szCs w:val="22"/>
        </w:rPr>
        <w:t xml:space="preserve">. </w:t>
      </w:r>
      <w:r w:rsidRPr="007F20E1">
        <w:rPr>
          <w:rFonts w:ascii="Arial" w:hAnsi="Arial" w:cs="Arial"/>
          <w:b/>
          <w:bCs/>
          <w:sz w:val="22"/>
          <w:szCs w:val="22"/>
        </w:rPr>
        <w:t>E.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 xml:space="preserve">Association between hippocampus SNARE protein-protein interaction and the number of </w:t>
      </w:r>
      <w:r>
        <w:rPr>
          <w:rFonts w:ascii="Arial" w:hAnsi="Arial" w:cs="Arial"/>
          <w:sz w:val="22"/>
          <w:szCs w:val="22"/>
        </w:rPr>
        <w:t>immature</w:t>
      </w:r>
      <w:r w:rsidRPr="007F20E1">
        <w:rPr>
          <w:rFonts w:ascii="Arial" w:hAnsi="Arial" w:cs="Arial"/>
          <w:sz w:val="22"/>
          <w:szCs w:val="22"/>
        </w:rPr>
        <w:t xml:space="preserve"> neurons (n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29</w:t>
      </w:r>
      <w:r w:rsidRPr="007F20E1">
        <w:rPr>
          <w:rFonts w:ascii="Arial" w:hAnsi="Arial" w:cs="Arial"/>
          <w:sz w:val="22"/>
          <w:szCs w:val="22"/>
        </w:rPr>
        <w:t>, r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0.38 p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7F20E1">
        <w:rPr>
          <w:rFonts w:ascii="Arial" w:hAnsi="Arial" w:cs="Arial"/>
          <w:sz w:val="22"/>
          <w:szCs w:val="22"/>
        </w:rPr>
        <w:t>0.04)</w:t>
      </w:r>
      <w:r>
        <w:rPr>
          <w:rFonts w:ascii="Arial" w:hAnsi="Arial" w:cs="Arial"/>
          <w:sz w:val="22"/>
          <w:szCs w:val="22"/>
        </w:rPr>
        <w:t xml:space="preserve"> in</w:t>
      </w:r>
      <w:r w:rsidRPr="007F20E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</w:t>
      </w:r>
      <w:r w:rsidRPr="007F20E1">
        <w:rPr>
          <w:rFonts w:ascii="Arial" w:hAnsi="Arial" w:cs="Arial"/>
          <w:sz w:val="22"/>
          <w:szCs w:val="22"/>
        </w:rPr>
        <w:t xml:space="preserve">o cognitive </w:t>
      </w:r>
      <w:r>
        <w:rPr>
          <w:rFonts w:ascii="Arial" w:hAnsi="Arial" w:cs="Arial"/>
          <w:sz w:val="22"/>
          <w:szCs w:val="22"/>
        </w:rPr>
        <w:t>impairments,</w:t>
      </w:r>
      <w:r w:rsidRPr="007F20E1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b</w:t>
      </w:r>
      <w:r w:rsidRPr="007F20E1">
        <w:rPr>
          <w:rFonts w:ascii="Arial" w:hAnsi="Arial" w:cs="Arial"/>
          <w:sz w:val="22"/>
          <w:szCs w:val="22"/>
        </w:rPr>
        <w:t xml:space="preserve">lue) </w:t>
      </w:r>
      <w:r>
        <w:rPr>
          <w:rFonts w:ascii="Arial" w:hAnsi="Arial" w:cs="Arial"/>
          <w:sz w:val="22"/>
          <w:szCs w:val="22"/>
        </w:rPr>
        <w:t>m</w:t>
      </w:r>
      <w:r w:rsidRPr="007F20E1">
        <w:rPr>
          <w:rFonts w:ascii="Arial" w:hAnsi="Arial" w:cs="Arial"/>
          <w:sz w:val="22"/>
          <w:szCs w:val="22"/>
        </w:rPr>
        <w:t>ild cognitive impairments (</w:t>
      </w:r>
      <w:r>
        <w:rPr>
          <w:rFonts w:ascii="Arial" w:hAnsi="Arial" w:cs="Arial"/>
          <w:sz w:val="22"/>
          <w:szCs w:val="22"/>
        </w:rPr>
        <w:t>r</w:t>
      </w:r>
      <w:r w:rsidRPr="007F20E1">
        <w:rPr>
          <w:rFonts w:ascii="Arial" w:hAnsi="Arial" w:cs="Arial"/>
          <w:sz w:val="22"/>
          <w:szCs w:val="22"/>
        </w:rPr>
        <w:t xml:space="preserve">ed triangles) and </w:t>
      </w:r>
      <w:r>
        <w:rPr>
          <w:rFonts w:ascii="Arial" w:hAnsi="Arial" w:cs="Arial"/>
          <w:sz w:val="22"/>
          <w:szCs w:val="22"/>
        </w:rPr>
        <w:t>Alzheimer’s disease</w:t>
      </w:r>
      <w:r w:rsidRPr="007F20E1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r</w:t>
      </w:r>
      <w:r w:rsidRPr="007F20E1">
        <w:rPr>
          <w:rFonts w:ascii="Arial" w:hAnsi="Arial" w:cs="Arial"/>
          <w:sz w:val="22"/>
          <w:szCs w:val="22"/>
        </w:rPr>
        <w:t>ed circles)</w:t>
      </w:r>
      <w:r>
        <w:rPr>
          <w:rFonts w:ascii="Arial" w:hAnsi="Arial" w:cs="Arial"/>
          <w:sz w:val="22"/>
          <w:szCs w:val="22"/>
        </w:rPr>
        <w:t>. Scatter plot showing the significant association of the higher number of astrocytes with a higher likelihood of having more AD pathology (NIA-Reagan criteria) (Unpaired, non-parametric (Mann-Whitney) student t-test. P = 0.0310)</w:t>
      </w:r>
    </w:p>
    <w:p w14:paraId="3A07C7BD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57867F5E" w14:textId="77777777" w:rsidR="00E6799D" w:rsidRPr="00366D57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F20E1">
        <w:rPr>
          <w:rFonts w:ascii="Arial" w:hAnsi="Arial" w:cs="Arial"/>
          <w:b/>
          <w:bCs/>
          <w:sz w:val="22"/>
          <w:szCs w:val="22"/>
        </w:rPr>
        <w:t xml:space="preserve">Supplemental Figure 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7F20E1">
        <w:rPr>
          <w:rFonts w:ascii="Arial" w:hAnsi="Arial" w:cs="Arial"/>
          <w:b/>
          <w:bCs/>
          <w:sz w:val="22"/>
          <w:szCs w:val="22"/>
        </w:rPr>
        <w:t xml:space="preserve">. Quantification of neural stem cells and astrocytes in the dentate gyrus as a function of diagnosis using immunohistochemistry. A. </w:t>
      </w:r>
      <w:r w:rsidRPr="007F20E1">
        <w:rPr>
          <w:rFonts w:ascii="Arial" w:hAnsi="Arial" w:cs="Arial"/>
          <w:sz w:val="22"/>
          <w:szCs w:val="22"/>
        </w:rPr>
        <w:t xml:space="preserve">Representative confocal images of neural stem cells expressing nestin (red), sox2 (green) and GFAP (magenta) and astrocytes (GFAP+nestin-sox2-) in NCI, MCI </w:t>
      </w:r>
      <w:r w:rsidRPr="00A34436">
        <w:rPr>
          <w:rFonts w:ascii="Arial" w:hAnsi="Arial" w:cs="Arial"/>
          <w:sz w:val="22"/>
          <w:szCs w:val="22"/>
        </w:rPr>
        <w:t xml:space="preserve">and AD. Arrows indicate double or triple positive </w:t>
      </w:r>
      <w:r w:rsidRPr="00401FAF">
        <w:rPr>
          <w:rFonts w:ascii="Arial" w:hAnsi="Arial" w:cs="Arial"/>
          <w:sz w:val="22"/>
          <w:szCs w:val="22"/>
        </w:rPr>
        <w:t>cells. Scale bar= 20 μm</w:t>
      </w:r>
      <w:r w:rsidRPr="00AB1CE0">
        <w:rPr>
          <w:rFonts w:asciiTheme="minorBidi" w:hAnsiTheme="minorBidi" w:cstheme="minorBidi"/>
          <w:sz w:val="22"/>
          <w:szCs w:val="22"/>
        </w:rPr>
        <w:t xml:space="preserve"> </w:t>
      </w:r>
      <w:r w:rsidRPr="00A34436">
        <w:rPr>
          <w:rFonts w:ascii="Arial" w:hAnsi="Arial" w:cs="Arial"/>
          <w:b/>
          <w:bCs/>
          <w:sz w:val="22"/>
          <w:szCs w:val="22"/>
        </w:rPr>
        <w:t>B.</w:t>
      </w:r>
      <w:r w:rsidRPr="00A34436">
        <w:rPr>
          <w:rFonts w:ascii="Arial" w:hAnsi="Arial" w:cs="Arial"/>
          <w:sz w:val="22"/>
          <w:szCs w:val="22"/>
        </w:rPr>
        <w:t xml:space="preserve"> Quantification using unbiased stereology (NSCs, n</w:t>
      </w:r>
      <w:r>
        <w:rPr>
          <w:rFonts w:ascii="Arial" w:hAnsi="Arial" w:cs="Arial"/>
          <w:sz w:val="22"/>
          <w:szCs w:val="22"/>
        </w:rPr>
        <w:t xml:space="preserve"> </w:t>
      </w:r>
      <w:r w:rsidRPr="00A34436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A34436">
        <w:rPr>
          <w:rFonts w:ascii="Arial" w:hAnsi="Arial" w:cs="Arial"/>
          <w:sz w:val="22"/>
          <w:szCs w:val="22"/>
        </w:rPr>
        <w:t>14, one-way ANOVA, F</w:t>
      </w:r>
      <w:r>
        <w:rPr>
          <w:rFonts w:ascii="Arial" w:hAnsi="Arial" w:cs="Arial"/>
          <w:sz w:val="22"/>
          <w:szCs w:val="22"/>
        </w:rPr>
        <w:t xml:space="preserve"> </w:t>
      </w:r>
      <w:r w:rsidRPr="00A34436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A34436">
        <w:rPr>
          <w:rFonts w:ascii="Arial" w:hAnsi="Arial" w:cs="Arial"/>
          <w:sz w:val="22"/>
          <w:szCs w:val="22"/>
        </w:rPr>
        <w:t>1.954, p</w:t>
      </w:r>
      <w:r>
        <w:rPr>
          <w:rFonts w:ascii="Arial" w:hAnsi="Arial" w:cs="Arial"/>
          <w:sz w:val="22"/>
          <w:szCs w:val="22"/>
        </w:rPr>
        <w:t xml:space="preserve"> </w:t>
      </w:r>
      <w:r w:rsidRPr="00A34436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A34436">
        <w:rPr>
          <w:rFonts w:ascii="Arial" w:hAnsi="Arial" w:cs="Arial"/>
          <w:sz w:val="22"/>
          <w:szCs w:val="22"/>
        </w:rPr>
        <w:t>0.1554) (NCI/AD p</w:t>
      </w:r>
      <w:r>
        <w:rPr>
          <w:rFonts w:ascii="Arial" w:hAnsi="Arial" w:cs="Arial"/>
          <w:sz w:val="22"/>
          <w:szCs w:val="22"/>
        </w:rPr>
        <w:t xml:space="preserve"> </w:t>
      </w:r>
      <w:r w:rsidRPr="00A34436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A34436">
        <w:rPr>
          <w:rFonts w:ascii="Arial" w:hAnsi="Arial" w:cs="Arial"/>
          <w:sz w:val="22"/>
          <w:szCs w:val="22"/>
        </w:rPr>
        <w:t>0.3896, NCI/MCI p</w:t>
      </w:r>
      <w:r>
        <w:rPr>
          <w:rFonts w:ascii="Arial" w:hAnsi="Arial" w:cs="Arial"/>
          <w:sz w:val="22"/>
          <w:szCs w:val="22"/>
        </w:rPr>
        <w:t xml:space="preserve"> </w:t>
      </w:r>
      <w:r w:rsidRPr="00A34436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A34436">
        <w:rPr>
          <w:rFonts w:ascii="Arial" w:hAnsi="Arial" w:cs="Arial"/>
          <w:sz w:val="22"/>
          <w:szCs w:val="22"/>
        </w:rPr>
        <w:t>0.8172, MCI/AD</w:t>
      </w:r>
      <w:r>
        <w:rPr>
          <w:rFonts w:ascii="Arial" w:hAnsi="Arial" w:cs="Arial"/>
          <w:sz w:val="22"/>
          <w:szCs w:val="22"/>
        </w:rPr>
        <w:t xml:space="preserve"> </w:t>
      </w:r>
      <w:r w:rsidRPr="00A34436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A34436">
        <w:rPr>
          <w:rFonts w:ascii="Arial" w:hAnsi="Arial" w:cs="Arial"/>
          <w:sz w:val="22"/>
          <w:szCs w:val="22"/>
        </w:rPr>
        <w:t xml:space="preserve">0.1431; </w:t>
      </w:r>
      <w:r w:rsidRPr="00366D57">
        <w:rPr>
          <w:rFonts w:ascii="Arial" w:hAnsi="Arial" w:cs="Arial"/>
          <w:sz w:val="22"/>
          <w:szCs w:val="22"/>
        </w:rPr>
        <w:t>astrocytes n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10, one-way ANOVA, F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 8.343, P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 0.0015, NCI/AD p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0.0012, NCI/MCI p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0.0360, MCI/AD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 xml:space="preserve">0.3586). </w:t>
      </w:r>
      <w:r w:rsidRPr="00366D57">
        <w:rPr>
          <w:rFonts w:ascii="Arial" w:hAnsi="Arial" w:cs="Arial"/>
          <w:b/>
          <w:bCs/>
          <w:sz w:val="22"/>
          <w:szCs w:val="22"/>
        </w:rPr>
        <w:t>C.</w:t>
      </w:r>
      <w:r w:rsidRPr="00366D57">
        <w:rPr>
          <w:rFonts w:ascii="Arial" w:hAnsi="Arial" w:cs="Arial"/>
          <w:sz w:val="22"/>
          <w:szCs w:val="22"/>
        </w:rPr>
        <w:t xml:space="preserve"> Quantification of the numbers of astrocytes (n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10, one-way ANOVA, F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 8.343, P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 0.0015) (NCI/AD p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0.0012, NCI/MCI p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0.0360, MCI/AD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0.3586)</w:t>
      </w:r>
      <w:r>
        <w:rPr>
          <w:rFonts w:ascii="Arial" w:hAnsi="Arial" w:cs="Arial"/>
          <w:sz w:val="22"/>
          <w:szCs w:val="22"/>
        </w:rPr>
        <w:t>.</w:t>
      </w:r>
      <w:r w:rsidRPr="00366D57"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b/>
          <w:bCs/>
          <w:sz w:val="22"/>
          <w:szCs w:val="22"/>
        </w:rPr>
        <w:t>D.</w:t>
      </w:r>
      <w:r w:rsidRPr="00366D57">
        <w:rPr>
          <w:rFonts w:ascii="Arial" w:hAnsi="Arial" w:cs="Arial"/>
          <w:sz w:val="22"/>
          <w:szCs w:val="22"/>
        </w:rPr>
        <w:t xml:space="preserve"> Scatter plot showing the significant association of the higher number of astrocytes with a higher likelihood of having more AD pathology (NIA-Reagan criteria) (Unpaired, non-parametric (Mann-Whitney) student t-test. P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 xml:space="preserve"> </w:t>
      </w:r>
      <w:r w:rsidRPr="00366D57">
        <w:rPr>
          <w:rFonts w:ascii="Arial" w:hAnsi="Arial" w:cs="Arial"/>
          <w:sz w:val="22"/>
          <w:szCs w:val="22"/>
        </w:rPr>
        <w:t>0.0310).</w:t>
      </w:r>
    </w:p>
    <w:p w14:paraId="5DD10D97" w14:textId="77777777" w:rsidR="00E6799D" w:rsidRDefault="00E6799D" w:rsidP="00E6799D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8034EE5" w14:textId="77777777" w:rsidR="00E6799D" w:rsidRPr="00E102F1" w:rsidRDefault="00E6799D" w:rsidP="00E6799D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366D57">
        <w:rPr>
          <w:rFonts w:ascii="Arial" w:hAnsi="Arial" w:cs="Arial"/>
          <w:b/>
          <w:bCs/>
          <w:sz w:val="22"/>
          <w:szCs w:val="22"/>
        </w:rPr>
        <w:lastRenderedPageBreak/>
        <w:t>Supplemental Figure 3</w:t>
      </w:r>
      <w:r>
        <w:rPr>
          <w:rFonts w:ascii="Arial" w:hAnsi="Arial" w:cs="Arial"/>
          <w:b/>
          <w:bCs/>
          <w:sz w:val="22"/>
          <w:szCs w:val="22"/>
        </w:rPr>
        <w:t>. P</w:t>
      </w:r>
      <w:r w:rsidRPr="00E102F1">
        <w:rPr>
          <w:rFonts w:ascii="Arial" w:hAnsi="Arial" w:cs="Arial"/>
          <w:b/>
          <w:bCs/>
          <w:sz w:val="22"/>
          <w:szCs w:val="22"/>
        </w:rPr>
        <w:t>seudobulk-RNA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E102F1">
        <w:rPr>
          <w:rFonts w:ascii="Arial" w:hAnsi="Arial" w:cs="Arial"/>
          <w:b/>
          <w:bCs/>
          <w:sz w:val="22"/>
          <w:szCs w:val="22"/>
        </w:rPr>
        <w:t xml:space="preserve">DEGs </w:t>
      </w:r>
      <w:r>
        <w:rPr>
          <w:rFonts w:ascii="Arial" w:hAnsi="Arial" w:cs="Arial"/>
          <w:b/>
          <w:bCs/>
          <w:sz w:val="22"/>
          <w:szCs w:val="22"/>
        </w:rPr>
        <w:t>in n</w:t>
      </w:r>
      <w:r w:rsidRPr="00E102F1">
        <w:rPr>
          <w:rFonts w:ascii="Arial" w:hAnsi="Arial" w:cs="Arial"/>
          <w:b/>
          <w:bCs/>
          <w:sz w:val="22"/>
          <w:szCs w:val="22"/>
        </w:rPr>
        <w:t>eural</w:t>
      </w:r>
      <w:r>
        <w:rPr>
          <w:rFonts w:ascii="Arial" w:hAnsi="Arial" w:cs="Arial"/>
          <w:b/>
          <w:bCs/>
          <w:sz w:val="22"/>
          <w:szCs w:val="22"/>
        </w:rPr>
        <w:t xml:space="preserve"> s</w:t>
      </w:r>
      <w:r w:rsidRPr="00E102F1">
        <w:rPr>
          <w:rFonts w:ascii="Arial" w:hAnsi="Arial" w:cs="Arial"/>
          <w:b/>
          <w:bCs/>
          <w:sz w:val="22"/>
          <w:szCs w:val="22"/>
        </w:rPr>
        <w:t>tem</w:t>
      </w:r>
      <w:r>
        <w:rPr>
          <w:rFonts w:ascii="Arial" w:hAnsi="Arial" w:cs="Arial"/>
          <w:b/>
          <w:bCs/>
          <w:sz w:val="22"/>
          <w:szCs w:val="22"/>
        </w:rPr>
        <w:t xml:space="preserve"> cell as a function of diagnosis - </w:t>
      </w:r>
      <w:r>
        <w:rPr>
          <w:rFonts w:ascii="Arial" w:hAnsi="Arial" w:cs="Arial"/>
          <w:sz w:val="22"/>
          <w:szCs w:val="22"/>
        </w:rPr>
        <w:t>A complete Heatmap of DEGs in neural stem cells.</w:t>
      </w:r>
    </w:p>
    <w:p w14:paraId="71F67663" w14:textId="77777777" w:rsidR="00E6799D" w:rsidRDefault="00E6799D" w:rsidP="00E6799D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728B3F2" w14:textId="77777777" w:rsidR="00E6799D" w:rsidRPr="00E102F1" w:rsidRDefault="00E6799D" w:rsidP="00E6799D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366D57">
        <w:rPr>
          <w:rFonts w:ascii="Arial" w:hAnsi="Arial" w:cs="Arial"/>
          <w:b/>
          <w:bCs/>
          <w:sz w:val="22"/>
          <w:szCs w:val="22"/>
        </w:rPr>
        <w:t xml:space="preserve">Supplemental Figure </w:t>
      </w:r>
      <w:r>
        <w:rPr>
          <w:rFonts w:ascii="Arial" w:hAnsi="Arial" w:cs="Arial"/>
          <w:b/>
          <w:bCs/>
          <w:sz w:val="22"/>
          <w:szCs w:val="22"/>
        </w:rPr>
        <w:t>4. P</w:t>
      </w:r>
      <w:r w:rsidRPr="00E102F1">
        <w:rPr>
          <w:rFonts w:ascii="Arial" w:hAnsi="Arial" w:cs="Arial"/>
          <w:b/>
          <w:bCs/>
          <w:sz w:val="22"/>
          <w:szCs w:val="22"/>
        </w:rPr>
        <w:t>seudobulk-RNA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E102F1">
        <w:rPr>
          <w:rFonts w:ascii="Arial" w:hAnsi="Arial" w:cs="Arial"/>
          <w:b/>
          <w:bCs/>
          <w:sz w:val="22"/>
          <w:szCs w:val="22"/>
        </w:rPr>
        <w:t>DEGs</w:t>
      </w:r>
      <w:r>
        <w:rPr>
          <w:rFonts w:ascii="Arial" w:hAnsi="Arial" w:cs="Arial"/>
          <w:b/>
          <w:bCs/>
          <w:sz w:val="22"/>
          <w:szCs w:val="22"/>
        </w:rPr>
        <w:t xml:space="preserve"> in neuroblasts as a function of diagnosis - </w:t>
      </w:r>
      <w:r>
        <w:rPr>
          <w:rFonts w:ascii="Arial" w:hAnsi="Arial" w:cs="Arial"/>
          <w:sz w:val="22"/>
          <w:szCs w:val="22"/>
        </w:rPr>
        <w:t>A complete Heatmap of DEGs in neuroblasts.</w:t>
      </w:r>
    </w:p>
    <w:p w14:paraId="0F8C07AF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sz w:val="22"/>
          <w:szCs w:val="22"/>
        </w:rPr>
      </w:pPr>
    </w:p>
    <w:p w14:paraId="0A0F83F8" w14:textId="77777777" w:rsidR="00E6799D" w:rsidRPr="00E102F1" w:rsidRDefault="00E6799D" w:rsidP="00E6799D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366D57">
        <w:rPr>
          <w:rFonts w:ascii="Arial" w:hAnsi="Arial" w:cs="Arial"/>
          <w:b/>
          <w:bCs/>
          <w:sz w:val="22"/>
          <w:szCs w:val="22"/>
        </w:rPr>
        <w:t xml:space="preserve">Supplemental Figure </w:t>
      </w:r>
      <w:r>
        <w:rPr>
          <w:rFonts w:ascii="Arial" w:hAnsi="Arial" w:cs="Arial"/>
          <w:b/>
          <w:bCs/>
          <w:sz w:val="22"/>
          <w:szCs w:val="22"/>
        </w:rPr>
        <w:t>5. P</w:t>
      </w:r>
      <w:r w:rsidRPr="00E102F1">
        <w:rPr>
          <w:rFonts w:ascii="Arial" w:hAnsi="Arial" w:cs="Arial"/>
          <w:b/>
          <w:bCs/>
          <w:sz w:val="22"/>
          <w:szCs w:val="22"/>
        </w:rPr>
        <w:t>seudobulk-RNA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E102F1">
        <w:rPr>
          <w:rFonts w:ascii="Arial" w:hAnsi="Arial" w:cs="Arial"/>
          <w:b/>
          <w:bCs/>
          <w:sz w:val="22"/>
          <w:szCs w:val="22"/>
        </w:rPr>
        <w:t>DEGs</w:t>
      </w:r>
      <w:r>
        <w:rPr>
          <w:rFonts w:ascii="Arial" w:hAnsi="Arial" w:cs="Arial"/>
          <w:b/>
          <w:bCs/>
          <w:sz w:val="22"/>
          <w:szCs w:val="22"/>
        </w:rPr>
        <w:t xml:space="preserve"> in immature neurons as a function of diagnosis - </w:t>
      </w:r>
      <w:r>
        <w:rPr>
          <w:rFonts w:ascii="Arial" w:hAnsi="Arial" w:cs="Arial"/>
          <w:sz w:val="22"/>
          <w:szCs w:val="22"/>
        </w:rPr>
        <w:t>A complete Heatmap of DEGs in immature neurons.</w:t>
      </w:r>
    </w:p>
    <w:p w14:paraId="104667D6" w14:textId="77777777" w:rsidR="00E6799D" w:rsidRPr="00366D57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sz w:val="22"/>
          <w:szCs w:val="22"/>
        </w:rPr>
      </w:pPr>
    </w:p>
    <w:p w14:paraId="780A2CB1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366D57">
        <w:rPr>
          <w:rFonts w:ascii="Arial" w:hAnsi="Arial" w:cs="Arial"/>
          <w:b/>
          <w:bCs/>
          <w:sz w:val="22"/>
          <w:szCs w:val="22"/>
        </w:rPr>
        <w:t xml:space="preserve">Supplemental Figure </w:t>
      </w:r>
      <w:r>
        <w:rPr>
          <w:rFonts w:ascii="Arial" w:hAnsi="Arial" w:cs="Arial"/>
          <w:b/>
          <w:bCs/>
          <w:sz w:val="22"/>
          <w:szCs w:val="22"/>
        </w:rPr>
        <w:t>6</w:t>
      </w:r>
      <w:r w:rsidRPr="00366D57">
        <w:rPr>
          <w:rFonts w:ascii="Arial" w:hAnsi="Arial" w:cs="Arial"/>
          <w:b/>
          <w:bCs/>
          <w:sz w:val="22"/>
          <w:szCs w:val="22"/>
        </w:rPr>
        <w:t>. Pathway analysis (GOBP) enriched in inhi</w:t>
      </w:r>
      <w:r w:rsidRPr="00BC4DAA">
        <w:rPr>
          <w:rFonts w:ascii="Arial" w:hAnsi="Arial" w:cs="Arial"/>
          <w:b/>
          <w:bCs/>
          <w:sz w:val="22"/>
          <w:szCs w:val="22"/>
        </w:rPr>
        <w:t>bitory neurons in AD compared to NCI.</w:t>
      </w:r>
      <w:r w:rsidRPr="00ED2494">
        <w:rPr>
          <w:rFonts w:ascii="Arial" w:hAnsi="Arial" w:cs="Arial"/>
          <w:sz w:val="22"/>
          <w:szCs w:val="22"/>
        </w:rPr>
        <w:t xml:space="preserve"> </w:t>
      </w:r>
      <w:r w:rsidRPr="00AB1CE0">
        <w:rPr>
          <w:rFonts w:ascii="Arial" w:hAnsi="Arial" w:cs="Arial"/>
          <w:sz w:val="22"/>
          <w:szCs w:val="22"/>
        </w:rPr>
        <w:t>Top significant downregulated GOBP pathways in GABA neurons in AD compared to NCI (FDR &lt;0.05).</w:t>
      </w:r>
    </w:p>
    <w:p w14:paraId="39618C18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</w:p>
    <w:p w14:paraId="6E48500E" w14:textId="77777777" w:rsidR="00E6799D" w:rsidRPr="005D4942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sz w:val="22"/>
          <w:szCs w:val="22"/>
        </w:rPr>
      </w:pPr>
      <w:r w:rsidRPr="00BC4DAA">
        <w:rPr>
          <w:rFonts w:ascii="Arial" w:hAnsi="Arial" w:cs="Arial"/>
          <w:b/>
          <w:bCs/>
          <w:sz w:val="22"/>
          <w:szCs w:val="22"/>
        </w:rPr>
        <w:t xml:space="preserve">Supplemental Figure </w:t>
      </w:r>
      <w:r>
        <w:rPr>
          <w:rFonts w:ascii="Arial" w:hAnsi="Arial" w:cs="Arial"/>
          <w:b/>
          <w:bCs/>
          <w:sz w:val="22"/>
          <w:szCs w:val="22"/>
        </w:rPr>
        <w:t>7.</w:t>
      </w:r>
      <w:r w:rsidRPr="00BC4DAA">
        <w:rPr>
          <w:rFonts w:ascii="Arial" w:hAnsi="Arial" w:cs="Arial"/>
          <w:b/>
          <w:bCs/>
          <w:sz w:val="22"/>
          <w:szCs w:val="22"/>
        </w:rPr>
        <w:t xml:space="preserve"> Common Motifs enriched in inhibitory and immature neurons in AD compared to YA.</w:t>
      </w:r>
      <w:r>
        <w:rPr>
          <w:rFonts w:ascii="Arial" w:hAnsi="Arial" w:cs="Arial"/>
          <w:sz w:val="22"/>
          <w:szCs w:val="22"/>
        </w:rPr>
        <w:t xml:space="preserve"> A Scatterplot showing the shared motifs downregulated in AD/YA, 1463 in common out of 1620 and 67,465. Fisher’s Exact test p = 1.4e-232.</w:t>
      </w:r>
    </w:p>
    <w:p w14:paraId="67341308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</w:p>
    <w:p w14:paraId="53CB141D" w14:textId="77777777" w:rsidR="00E6799D" w:rsidRPr="007A2D48" w:rsidRDefault="00E6799D" w:rsidP="00E6799D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7A2D48">
        <w:rPr>
          <w:rFonts w:ascii="Arial" w:hAnsi="Arial" w:cs="Arial"/>
          <w:b/>
          <w:bCs/>
          <w:sz w:val="22"/>
          <w:szCs w:val="22"/>
        </w:rPr>
        <w:t xml:space="preserve">Supplemental Figure 8. Inference of specific ligands secreted by immature neurons. A. </w:t>
      </w:r>
      <w:r w:rsidRPr="007A2D48">
        <w:rPr>
          <w:rFonts w:ascii="Arial" w:hAnsi="Arial" w:cs="Arial"/>
          <w:sz w:val="22"/>
          <w:szCs w:val="22"/>
        </w:rPr>
        <w:t xml:space="preserve">Heatmap of </w:t>
      </w:r>
      <w:r w:rsidRPr="001D67C2">
        <w:rPr>
          <w:rFonts w:ascii="Arial" w:hAnsi="Arial" w:cs="Arial"/>
          <w:i/>
          <w:iCs/>
          <w:sz w:val="22"/>
          <w:szCs w:val="22"/>
        </w:rPr>
        <w:t>EFNA5,</w:t>
      </w:r>
      <w:r w:rsidRPr="001D67C2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Pr="001D67C2">
        <w:rPr>
          <w:rFonts w:ascii="Arial" w:hAnsi="Arial" w:cs="Arial"/>
          <w:i/>
          <w:iCs/>
          <w:sz w:val="22"/>
          <w:szCs w:val="22"/>
        </w:rPr>
        <w:t>PTN, LAMA2, SEMA5A, 6D</w:t>
      </w:r>
      <w:r w:rsidRPr="007A2D48">
        <w:rPr>
          <w:rFonts w:ascii="Arial" w:hAnsi="Arial" w:cs="Arial"/>
          <w:sz w:val="22"/>
          <w:szCs w:val="22"/>
        </w:rPr>
        <w:t xml:space="preserve"> ligands that are predicted to be associated with a decline in cell-cell interaction as a function of pathology in immature neurons. </w:t>
      </w:r>
      <w:r w:rsidRPr="007A2D48">
        <w:rPr>
          <w:rFonts w:ascii="Arial" w:hAnsi="Arial" w:cs="Arial"/>
          <w:b/>
          <w:bCs/>
          <w:sz w:val="22"/>
          <w:szCs w:val="22"/>
        </w:rPr>
        <w:t>B-E.</w:t>
      </w:r>
      <w:r w:rsidRPr="007A2D48">
        <w:rPr>
          <w:rFonts w:ascii="Arial" w:hAnsi="Arial" w:cs="Arial"/>
          <w:sz w:val="22"/>
          <w:szCs w:val="22"/>
        </w:rPr>
        <w:t xml:space="preserve"> The </w:t>
      </w:r>
      <w:r w:rsidRPr="001D67C2">
        <w:rPr>
          <w:rFonts w:ascii="Arial" w:hAnsi="Arial" w:cs="Arial"/>
          <w:i/>
          <w:iCs/>
          <w:sz w:val="22"/>
          <w:szCs w:val="22"/>
        </w:rPr>
        <w:t xml:space="preserve">LAMA2 </w:t>
      </w:r>
      <w:r w:rsidRPr="007A2D48">
        <w:rPr>
          <w:rFonts w:ascii="Arial" w:hAnsi="Arial" w:cs="Arial"/>
          <w:sz w:val="22"/>
          <w:szCs w:val="22"/>
        </w:rPr>
        <w:t xml:space="preserve">(B), </w:t>
      </w:r>
      <w:r w:rsidRPr="001D67C2">
        <w:rPr>
          <w:rFonts w:ascii="Arial" w:hAnsi="Arial" w:cs="Arial"/>
          <w:i/>
          <w:iCs/>
          <w:sz w:val="22"/>
          <w:szCs w:val="22"/>
        </w:rPr>
        <w:t>PTN</w:t>
      </w:r>
      <w:r w:rsidRPr="007A2D48">
        <w:rPr>
          <w:rFonts w:ascii="Arial" w:hAnsi="Arial" w:cs="Arial"/>
          <w:sz w:val="22"/>
          <w:szCs w:val="22"/>
        </w:rPr>
        <w:t xml:space="preserve"> (C), </w:t>
      </w:r>
      <w:r w:rsidRPr="001D67C2">
        <w:rPr>
          <w:rFonts w:ascii="Arial" w:hAnsi="Arial" w:cs="Arial"/>
          <w:i/>
          <w:iCs/>
          <w:sz w:val="22"/>
          <w:szCs w:val="22"/>
        </w:rPr>
        <w:t>SEMA5A, 6D</w:t>
      </w:r>
      <w:r w:rsidRPr="007A2D48">
        <w:rPr>
          <w:rFonts w:ascii="Arial" w:hAnsi="Arial" w:cs="Arial"/>
          <w:sz w:val="22"/>
          <w:szCs w:val="22"/>
        </w:rPr>
        <w:t xml:space="preserve"> (D), </w:t>
      </w:r>
      <w:r w:rsidRPr="001D67C2">
        <w:rPr>
          <w:rFonts w:ascii="Arial" w:hAnsi="Arial" w:cs="Arial"/>
          <w:i/>
          <w:iCs/>
          <w:sz w:val="22"/>
          <w:szCs w:val="22"/>
        </w:rPr>
        <w:t>EFNA5</w:t>
      </w:r>
      <w:r w:rsidRPr="007A2D48">
        <w:rPr>
          <w:rFonts w:ascii="Arial" w:hAnsi="Arial" w:cs="Arial"/>
          <w:sz w:val="22"/>
          <w:szCs w:val="22"/>
        </w:rPr>
        <w:t xml:space="preserve"> (E),</w:t>
      </w:r>
      <w:r w:rsidRPr="007A2D48">
        <w:rPr>
          <w:rFonts w:ascii="Arial" w:hAnsi="Arial" w:cs="Arial"/>
          <w:b/>
          <w:bCs/>
          <w:sz w:val="22"/>
          <w:szCs w:val="22"/>
        </w:rPr>
        <w:t xml:space="preserve"> </w:t>
      </w:r>
      <w:r w:rsidRPr="007A2D48">
        <w:rPr>
          <w:rFonts w:ascii="Arial" w:hAnsi="Arial" w:cs="Arial"/>
          <w:sz w:val="22"/>
          <w:szCs w:val="22"/>
        </w:rPr>
        <w:t xml:space="preserve">ligands secreted by immature neurons, bind receptors expressed by several cell types in the hippocampus. </w:t>
      </w:r>
      <w:r w:rsidRPr="007A2D48">
        <w:rPr>
          <w:rFonts w:ascii="Arial" w:hAnsi="Arial" w:cs="Arial"/>
          <w:b/>
          <w:bCs/>
          <w:sz w:val="22"/>
          <w:szCs w:val="22"/>
        </w:rPr>
        <w:t>F.</w:t>
      </w:r>
      <w:r w:rsidRPr="007A2D48">
        <w:rPr>
          <w:rFonts w:ascii="Arial" w:hAnsi="Arial" w:cs="Arial"/>
          <w:sz w:val="22"/>
          <w:szCs w:val="22"/>
        </w:rPr>
        <w:t xml:space="preserve"> Heatmap of respective receptors as a function of diagnosis. </w:t>
      </w:r>
      <w:r w:rsidRPr="007A2D48">
        <w:rPr>
          <w:rFonts w:ascii="Arial" w:hAnsi="Arial" w:cs="Arial"/>
          <w:b/>
          <w:bCs/>
          <w:sz w:val="22"/>
          <w:szCs w:val="22"/>
        </w:rPr>
        <w:t>G-S.</w:t>
      </w:r>
      <w:r w:rsidRPr="007A2D48">
        <w:rPr>
          <w:rFonts w:ascii="Arial" w:hAnsi="Arial" w:cs="Arial"/>
          <w:sz w:val="22"/>
          <w:szCs w:val="22"/>
        </w:rPr>
        <w:t xml:space="preserve"> L</w:t>
      </w:r>
      <w:r w:rsidRPr="007A2D48">
        <w:rPr>
          <w:rFonts w:ascii="Arial" w:hAnsi="Arial" w:cs="Arial"/>
          <w:color w:val="212121"/>
          <w:sz w:val="22"/>
          <w:szCs w:val="22"/>
        </w:rPr>
        <w:t xml:space="preserve">igands that were exclusively expressed in immature neurons. Unique ligands included </w:t>
      </w:r>
      <w:r w:rsidRPr="007A2D48">
        <w:rPr>
          <w:rStyle w:val="aliasmainname"/>
          <w:rFonts w:ascii="Arial" w:eastAsiaTheme="majorEastAsia" w:hAnsi="Arial" w:cs="Arial"/>
          <w:sz w:val="22"/>
          <w:szCs w:val="22"/>
        </w:rPr>
        <w:t>Platelet Derived Growth Factor D</w:t>
      </w:r>
      <w:r w:rsidRPr="007A2D48">
        <w:rPr>
          <w:rFonts w:ascii="Arial" w:hAnsi="Arial" w:cs="Arial"/>
          <w:sz w:val="22"/>
          <w:szCs w:val="22"/>
        </w:rPr>
        <w:t xml:space="preserve"> (</w:t>
      </w:r>
      <w:r w:rsidRPr="001D67C2">
        <w:rPr>
          <w:rFonts w:ascii="Arial" w:hAnsi="Arial" w:cs="Arial"/>
          <w:i/>
          <w:iCs/>
          <w:color w:val="212121"/>
          <w:sz w:val="22"/>
          <w:szCs w:val="22"/>
        </w:rPr>
        <w:t>PDGFD</w:t>
      </w:r>
      <w:r w:rsidRPr="007A2D48">
        <w:rPr>
          <w:rFonts w:ascii="Arial" w:hAnsi="Arial" w:cs="Arial"/>
          <w:color w:val="212121"/>
          <w:sz w:val="22"/>
          <w:szCs w:val="22"/>
        </w:rPr>
        <w:t xml:space="preserve">) (G), </w:t>
      </w:r>
      <w:r w:rsidRPr="001D67C2">
        <w:rPr>
          <w:rFonts w:ascii="Arial" w:hAnsi="Arial" w:cs="Arial"/>
          <w:i/>
          <w:iCs/>
          <w:color w:val="212121"/>
          <w:sz w:val="22"/>
          <w:szCs w:val="22"/>
        </w:rPr>
        <w:t>POSTN</w:t>
      </w:r>
      <w:r w:rsidRPr="007A2D48">
        <w:rPr>
          <w:rFonts w:ascii="Arial" w:hAnsi="Arial" w:cs="Arial"/>
          <w:color w:val="212121"/>
          <w:sz w:val="22"/>
          <w:szCs w:val="22"/>
        </w:rPr>
        <w:t xml:space="preserve"> (H), </w:t>
      </w:r>
      <w:r w:rsidRPr="001D67C2">
        <w:rPr>
          <w:rFonts w:ascii="Arial" w:hAnsi="Arial" w:cs="Arial"/>
          <w:i/>
          <w:iCs/>
          <w:color w:val="212121"/>
          <w:sz w:val="22"/>
          <w:szCs w:val="22"/>
        </w:rPr>
        <w:t>EFNB3</w:t>
      </w:r>
      <w:r w:rsidRPr="007A2D48">
        <w:rPr>
          <w:rFonts w:ascii="Arial" w:hAnsi="Arial" w:cs="Arial"/>
          <w:color w:val="212121"/>
          <w:sz w:val="22"/>
          <w:szCs w:val="22"/>
        </w:rPr>
        <w:t xml:space="preserve"> (I-K</w:t>
      </w:r>
      <w:r w:rsidRPr="001D67C2">
        <w:rPr>
          <w:rFonts w:ascii="Arial" w:hAnsi="Arial" w:cs="Arial"/>
          <w:i/>
          <w:iCs/>
          <w:color w:val="212121"/>
          <w:sz w:val="22"/>
          <w:szCs w:val="22"/>
        </w:rPr>
        <w:t>), L1CAM</w:t>
      </w:r>
      <w:r w:rsidRPr="007A2D48">
        <w:rPr>
          <w:rFonts w:ascii="Arial" w:hAnsi="Arial" w:cs="Arial"/>
          <w:color w:val="212121"/>
          <w:sz w:val="22"/>
          <w:szCs w:val="22"/>
        </w:rPr>
        <w:t xml:space="preserve"> (L), </w:t>
      </w:r>
      <w:r w:rsidRPr="001D67C2">
        <w:rPr>
          <w:rFonts w:ascii="Arial" w:hAnsi="Arial" w:cs="Arial"/>
          <w:i/>
          <w:iCs/>
          <w:color w:val="212121"/>
          <w:sz w:val="22"/>
          <w:szCs w:val="22"/>
        </w:rPr>
        <w:t xml:space="preserve">LRRC4 </w:t>
      </w:r>
      <w:r w:rsidRPr="007A2D48">
        <w:rPr>
          <w:rFonts w:ascii="Arial" w:hAnsi="Arial" w:cs="Arial"/>
          <w:color w:val="212121"/>
          <w:sz w:val="22"/>
          <w:szCs w:val="22"/>
        </w:rPr>
        <w:t xml:space="preserve">(M) and </w:t>
      </w:r>
      <w:r w:rsidRPr="001D67C2">
        <w:rPr>
          <w:rFonts w:ascii="Arial" w:hAnsi="Arial" w:cs="Arial"/>
          <w:i/>
          <w:iCs/>
          <w:color w:val="212121"/>
          <w:sz w:val="22"/>
          <w:szCs w:val="22"/>
        </w:rPr>
        <w:t>BMP7</w:t>
      </w:r>
      <w:r w:rsidRPr="007A2D48">
        <w:rPr>
          <w:rFonts w:ascii="Arial" w:hAnsi="Arial" w:cs="Arial"/>
          <w:color w:val="212121"/>
          <w:sz w:val="22"/>
          <w:szCs w:val="22"/>
        </w:rPr>
        <w:t xml:space="preserve"> (N,O)</w:t>
      </w:r>
      <w:r>
        <w:rPr>
          <w:rFonts w:ascii="Arial" w:hAnsi="Arial" w:cs="Arial"/>
          <w:color w:val="212121"/>
          <w:sz w:val="22"/>
          <w:szCs w:val="22"/>
        </w:rPr>
        <w:t xml:space="preserve">, </w:t>
      </w:r>
      <w:r w:rsidRPr="007A2D48">
        <w:rPr>
          <w:rFonts w:ascii="Arial" w:hAnsi="Arial" w:cs="Arial"/>
          <w:sz w:val="22"/>
          <w:szCs w:val="22"/>
        </w:rPr>
        <w:t>L1 cell adhesion molecule (</w:t>
      </w:r>
      <w:r w:rsidRPr="001D67C2">
        <w:rPr>
          <w:rFonts w:ascii="Arial" w:hAnsi="Arial" w:cs="Arial"/>
          <w:i/>
          <w:iCs/>
          <w:sz w:val="22"/>
          <w:szCs w:val="22"/>
        </w:rPr>
        <w:t>L1CAM</w:t>
      </w:r>
      <w:r w:rsidRPr="007A2D48">
        <w:rPr>
          <w:rFonts w:ascii="Arial" w:hAnsi="Arial" w:cs="Arial"/>
          <w:sz w:val="22"/>
          <w:szCs w:val="22"/>
        </w:rPr>
        <w:t xml:space="preserve">, P,Q) </w:t>
      </w:r>
      <w:r>
        <w:rPr>
          <w:rFonts w:ascii="Arial" w:hAnsi="Arial" w:cs="Arial"/>
          <w:sz w:val="22"/>
          <w:szCs w:val="22"/>
        </w:rPr>
        <w:t>and</w:t>
      </w:r>
      <w:r w:rsidRPr="007A2D48">
        <w:rPr>
          <w:rFonts w:ascii="Arial" w:hAnsi="Arial" w:cs="Arial"/>
          <w:sz w:val="22"/>
          <w:szCs w:val="22"/>
        </w:rPr>
        <w:t xml:space="preserve"> </w:t>
      </w:r>
      <w:r w:rsidRPr="001D67C2">
        <w:rPr>
          <w:rFonts w:ascii="Arial" w:hAnsi="Arial" w:cs="Arial"/>
          <w:i/>
          <w:iCs/>
          <w:sz w:val="22"/>
          <w:szCs w:val="22"/>
        </w:rPr>
        <w:t>NTNG2</w:t>
      </w:r>
      <w:r w:rsidRPr="007A2D48">
        <w:rPr>
          <w:rFonts w:ascii="Arial" w:hAnsi="Arial" w:cs="Arial"/>
          <w:sz w:val="22"/>
          <w:szCs w:val="22"/>
        </w:rPr>
        <w:t xml:space="preserve"> (S).</w:t>
      </w:r>
      <w:r>
        <w:rPr>
          <w:rFonts w:ascii="Arial" w:hAnsi="Arial" w:cs="Arial"/>
          <w:sz w:val="22"/>
          <w:szCs w:val="22"/>
        </w:rPr>
        <w:t xml:space="preserve"> Expression of their respective receptors as a function of diagnosis is shown.</w:t>
      </w:r>
    </w:p>
    <w:p w14:paraId="30CF8031" w14:textId="77777777" w:rsidR="00E6799D" w:rsidRPr="00C40943" w:rsidRDefault="00E6799D" w:rsidP="00E6799D">
      <w:pPr>
        <w:spacing w:line="480" w:lineRule="auto"/>
        <w:jc w:val="both"/>
        <w:rPr>
          <w:rFonts w:ascii="Arial" w:hAnsi="Arial" w:cs="Arial"/>
          <w:sz w:val="22"/>
          <w:szCs w:val="22"/>
          <w:highlight w:val="yellow"/>
        </w:rPr>
      </w:pPr>
    </w:p>
    <w:p w14:paraId="2375A19B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</w:p>
    <w:p w14:paraId="72C58DEC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</w:p>
    <w:p w14:paraId="1FE2960A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57033D">
        <w:rPr>
          <w:rFonts w:ascii="Arial" w:hAnsi="Arial" w:cs="Arial"/>
          <w:b/>
          <w:bCs/>
          <w:sz w:val="32"/>
          <w:szCs w:val="32"/>
        </w:rPr>
        <w:t>Supplemental</w:t>
      </w:r>
      <w:r>
        <w:rPr>
          <w:rFonts w:ascii="Arial" w:hAnsi="Arial" w:cs="Arial"/>
          <w:b/>
          <w:bCs/>
          <w:sz w:val="32"/>
          <w:szCs w:val="32"/>
        </w:rPr>
        <w:t xml:space="preserve"> Tables</w:t>
      </w:r>
    </w:p>
    <w:p w14:paraId="52A2C87C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</w:p>
    <w:p w14:paraId="49F2287E" w14:textId="77777777" w:rsidR="00E6799D" w:rsidRPr="00FF3252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FF3252">
        <w:rPr>
          <w:rFonts w:ascii="Arial" w:hAnsi="Arial" w:cs="Arial"/>
          <w:b/>
          <w:bCs/>
          <w:sz w:val="22"/>
          <w:szCs w:val="22"/>
        </w:rPr>
        <w:t>Supplemental Table 1. Summary of human specimen used in multi-omic analysis.</w:t>
      </w:r>
    </w:p>
    <w:p w14:paraId="6A0855BE" w14:textId="77777777" w:rsidR="00E6799D" w:rsidRPr="00FF3252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sz w:val="22"/>
          <w:szCs w:val="22"/>
        </w:rPr>
      </w:pPr>
      <w:r w:rsidRPr="00FF3252">
        <w:rPr>
          <w:rFonts w:ascii="Arial" w:hAnsi="Arial" w:cs="Arial"/>
          <w:b/>
          <w:bCs/>
          <w:sz w:val="22"/>
          <w:szCs w:val="22"/>
        </w:rPr>
        <w:t>Supplemental Table 2.  CytoTrace RNA and Peak correlation.</w:t>
      </w:r>
    </w:p>
    <w:p w14:paraId="5CCE5069" w14:textId="77777777" w:rsidR="00E6799D" w:rsidRPr="00FF3252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FF3252">
        <w:rPr>
          <w:rFonts w:ascii="Arial" w:hAnsi="Arial" w:cs="Arial"/>
          <w:b/>
          <w:bCs/>
          <w:sz w:val="22"/>
          <w:szCs w:val="22"/>
        </w:rPr>
        <w:t>Supplemental Table 3- CytoTrace GOBP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14:paraId="71EFA5AE" w14:textId="77777777" w:rsidR="00E6799D" w:rsidRPr="00FF3252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FF3252">
        <w:rPr>
          <w:rFonts w:ascii="Arial" w:hAnsi="Arial" w:cs="Arial"/>
          <w:b/>
          <w:bCs/>
          <w:sz w:val="22"/>
          <w:szCs w:val="22"/>
        </w:rPr>
        <w:t xml:space="preserve">Supplemental Table 4- </w:t>
      </w:r>
      <w:r>
        <w:rPr>
          <w:rFonts w:ascii="Arial" w:hAnsi="Arial" w:cs="Arial"/>
          <w:b/>
          <w:bCs/>
          <w:sz w:val="22"/>
          <w:szCs w:val="22"/>
        </w:rPr>
        <w:t>D</w:t>
      </w:r>
      <w:r w:rsidRPr="00FF3252">
        <w:rPr>
          <w:rFonts w:ascii="Arial" w:hAnsi="Arial" w:cs="Arial"/>
          <w:b/>
          <w:bCs/>
          <w:sz w:val="22"/>
          <w:szCs w:val="22"/>
        </w:rPr>
        <w:t>iagnosis abundance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14:paraId="11B406BD" w14:textId="77777777" w:rsidR="00E6799D" w:rsidRPr="00FF3252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FF3252">
        <w:rPr>
          <w:rFonts w:ascii="Arial" w:hAnsi="Arial" w:cs="Arial"/>
          <w:b/>
          <w:bCs/>
          <w:sz w:val="22"/>
          <w:szCs w:val="22"/>
        </w:rPr>
        <w:t>Supplemental Table 5- Summary of human specimen used in the Immunohistochemical analysis.</w:t>
      </w:r>
    </w:p>
    <w:p w14:paraId="42734452" w14:textId="77777777" w:rsidR="00E6799D" w:rsidRPr="00FF3252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FF3252">
        <w:rPr>
          <w:rFonts w:ascii="Arial" w:hAnsi="Arial" w:cs="Arial"/>
          <w:b/>
          <w:bCs/>
          <w:sz w:val="22"/>
          <w:szCs w:val="22"/>
        </w:rPr>
        <w:t>Supplemental Table 6. Differentially Expressed Genes neurogenesis across diagnoses.</w:t>
      </w:r>
    </w:p>
    <w:p w14:paraId="5B10D873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D5150F">
        <w:rPr>
          <w:rFonts w:ascii="Arial" w:hAnsi="Arial" w:cs="Arial"/>
          <w:b/>
          <w:bCs/>
          <w:sz w:val="22"/>
          <w:szCs w:val="22"/>
        </w:rPr>
        <w:t>Supplemental Table</w:t>
      </w:r>
      <w:r>
        <w:rPr>
          <w:rFonts w:ascii="Arial" w:hAnsi="Arial" w:cs="Arial"/>
          <w:b/>
          <w:bCs/>
          <w:sz w:val="22"/>
          <w:szCs w:val="22"/>
        </w:rPr>
        <w:t xml:space="preserve"> 7.</w:t>
      </w:r>
      <w:r w:rsidRPr="00D5150F">
        <w:rPr>
          <w:rFonts w:ascii="Arial" w:hAnsi="Arial" w:cs="Arial"/>
          <w:b/>
          <w:bCs/>
          <w:sz w:val="22"/>
          <w:szCs w:val="22"/>
        </w:rPr>
        <w:t xml:space="preserve"> D</w:t>
      </w:r>
      <w:r>
        <w:rPr>
          <w:rFonts w:ascii="Arial" w:hAnsi="Arial" w:cs="Arial"/>
          <w:b/>
          <w:bCs/>
          <w:sz w:val="22"/>
          <w:szCs w:val="22"/>
        </w:rPr>
        <w:t xml:space="preserve">ifferentially </w:t>
      </w:r>
      <w:r w:rsidRPr="00D5150F">
        <w:rPr>
          <w:rFonts w:ascii="Arial" w:hAnsi="Arial" w:cs="Arial"/>
          <w:b/>
          <w:bCs/>
          <w:sz w:val="22"/>
          <w:szCs w:val="22"/>
        </w:rPr>
        <w:t>E</w:t>
      </w:r>
      <w:r>
        <w:rPr>
          <w:rFonts w:ascii="Arial" w:hAnsi="Arial" w:cs="Arial"/>
          <w:b/>
          <w:bCs/>
          <w:sz w:val="22"/>
          <w:szCs w:val="22"/>
        </w:rPr>
        <w:t>xpressed Peak</w:t>
      </w:r>
      <w:r w:rsidRPr="00D5150F">
        <w:rPr>
          <w:rFonts w:ascii="Arial" w:hAnsi="Arial" w:cs="Arial"/>
          <w:b/>
          <w:bCs/>
          <w:sz w:val="22"/>
          <w:szCs w:val="22"/>
        </w:rPr>
        <w:t xml:space="preserve">s </w:t>
      </w:r>
      <w:r>
        <w:rPr>
          <w:rFonts w:ascii="Arial" w:hAnsi="Arial" w:cs="Arial"/>
          <w:b/>
          <w:bCs/>
          <w:sz w:val="22"/>
          <w:szCs w:val="22"/>
        </w:rPr>
        <w:t xml:space="preserve">neurogenesis </w:t>
      </w:r>
      <w:r w:rsidRPr="00D5150F">
        <w:rPr>
          <w:rFonts w:ascii="Arial" w:hAnsi="Arial" w:cs="Arial"/>
          <w:b/>
          <w:bCs/>
          <w:sz w:val="22"/>
          <w:szCs w:val="22"/>
        </w:rPr>
        <w:t>across diagnoses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14:paraId="304CABBD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D5150F">
        <w:rPr>
          <w:rFonts w:ascii="Arial" w:hAnsi="Arial" w:cs="Arial"/>
          <w:b/>
          <w:bCs/>
          <w:sz w:val="22"/>
          <w:szCs w:val="22"/>
        </w:rPr>
        <w:t>Supplemental Table</w:t>
      </w:r>
      <w:r>
        <w:rPr>
          <w:rFonts w:ascii="Arial" w:hAnsi="Arial" w:cs="Arial"/>
          <w:b/>
          <w:bCs/>
          <w:sz w:val="22"/>
          <w:szCs w:val="22"/>
        </w:rPr>
        <w:t xml:space="preserve"> 8.</w:t>
      </w:r>
      <w:r w:rsidRPr="00D5150F">
        <w:rPr>
          <w:rFonts w:ascii="Arial" w:hAnsi="Arial" w:cs="Arial"/>
          <w:b/>
          <w:bCs/>
          <w:sz w:val="22"/>
          <w:szCs w:val="22"/>
        </w:rPr>
        <w:t xml:space="preserve"> D</w:t>
      </w:r>
      <w:r>
        <w:rPr>
          <w:rFonts w:ascii="Arial" w:hAnsi="Arial" w:cs="Arial"/>
          <w:b/>
          <w:bCs/>
          <w:sz w:val="22"/>
          <w:szCs w:val="22"/>
        </w:rPr>
        <w:t xml:space="preserve">ifferentially </w:t>
      </w:r>
      <w:r w:rsidRPr="00D5150F">
        <w:rPr>
          <w:rFonts w:ascii="Arial" w:hAnsi="Arial" w:cs="Arial"/>
          <w:b/>
          <w:bCs/>
          <w:sz w:val="22"/>
          <w:szCs w:val="22"/>
        </w:rPr>
        <w:t>E</w:t>
      </w:r>
      <w:r>
        <w:rPr>
          <w:rFonts w:ascii="Arial" w:hAnsi="Arial" w:cs="Arial"/>
          <w:b/>
          <w:bCs/>
          <w:sz w:val="22"/>
          <w:szCs w:val="22"/>
        </w:rPr>
        <w:t xml:space="preserve">xpressed </w:t>
      </w:r>
      <w:r w:rsidRPr="00D5150F">
        <w:rPr>
          <w:rFonts w:ascii="Arial" w:hAnsi="Arial" w:cs="Arial"/>
          <w:b/>
          <w:bCs/>
          <w:sz w:val="22"/>
          <w:szCs w:val="22"/>
        </w:rPr>
        <w:t>G</w:t>
      </w:r>
      <w:r>
        <w:rPr>
          <w:rFonts w:ascii="Arial" w:hAnsi="Arial" w:cs="Arial"/>
          <w:b/>
          <w:bCs/>
          <w:sz w:val="22"/>
          <w:szCs w:val="22"/>
        </w:rPr>
        <w:t>ene</w:t>
      </w:r>
      <w:r w:rsidRPr="00D5150F">
        <w:rPr>
          <w:rFonts w:ascii="Arial" w:hAnsi="Arial" w:cs="Arial"/>
          <w:b/>
          <w:bCs/>
          <w:sz w:val="22"/>
          <w:szCs w:val="22"/>
        </w:rPr>
        <w:t xml:space="preserve">s </w:t>
      </w:r>
      <w:r>
        <w:rPr>
          <w:rFonts w:ascii="Arial" w:hAnsi="Arial" w:cs="Arial"/>
          <w:b/>
          <w:bCs/>
          <w:sz w:val="22"/>
          <w:szCs w:val="22"/>
        </w:rPr>
        <w:t>MANGO</w:t>
      </w:r>
    </w:p>
    <w:p w14:paraId="08654416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D5150F">
        <w:rPr>
          <w:rFonts w:ascii="Arial" w:hAnsi="Arial" w:cs="Arial"/>
          <w:b/>
          <w:bCs/>
          <w:sz w:val="22"/>
          <w:szCs w:val="22"/>
        </w:rPr>
        <w:t>Supplemental Table</w:t>
      </w:r>
      <w:r>
        <w:rPr>
          <w:rFonts w:ascii="Arial" w:hAnsi="Arial" w:cs="Arial"/>
          <w:b/>
          <w:bCs/>
          <w:sz w:val="22"/>
          <w:szCs w:val="22"/>
        </w:rPr>
        <w:t xml:space="preserve"> 9.</w:t>
      </w:r>
      <w:r w:rsidRPr="00D5150F">
        <w:rPr>
          <w:rFonts w:ascii="Arial" w:hAnsi="Arial" w:cs="Arial"/>
          <w:b/>
          <w:bCs/>
          <w:sz w:val="22"/>
          <w:szCs w:val="22"/>
        </w:rPr>
        <w:t xml:space="preserve"> D</w:t>
      </w:r>
      <w:r>
        <w:rPr>
          <w:rFonts w:ascii="Arial" w:hAnsi="Arial" w:cs="Arial"/>
          <w:b/>
          <w:bCs/>
          <w:sz w:val="22"/>
          <w:szCs w:val="22"/>
        </w:rPr>
        <w:t xml:space="preserve">ifferentially </w:t>
      </w:r>
      <w:r w:rsidRPr="00D5150F">
        <w:rPr>
          <w:rFonts w:ascii="Arial" w:hAnsi="Arial" w:cs="Arial"/>
          <w:b/>
          <w:bCs/>
          <w:sz w:val="22"/>
          <w:szCs w:val="22"/>
        </w:rPr>
        <w:t>E</w:t>
      </w:r>
      <w:r>
        <w:rPr>
          <w:rFonts w:ascii="Arial" w:hAnsi="Arial" w:cs="Arial"/>
          <w:b/>
          <w:bCs/>
          <w:sz w:val="22"/>
          <w:szCs w:val="22"/>
        </w:rPr>
        <w:t>xpressed Peak</w:t>
      </w:r>
      <w:r w:rsidRPr="00D5150F">
        <w:rPr>
          <w:rFonts w:ascii="Arial" w:hAnsi="Arial" w:cs="Arial"/>
          <w:b/>
          <w:bCs/>
          <w:sz w:val="22"/>
          <w:szCs w:val="22"/>
        </w:rPr>
        <w:t>s</w:t>
      </w:r>
      <w:r>
        <w:rPr>
          <w:rFonts w:ascii="Arial" w:hAnsi="Arial" w:cs="Arial"/>
          <w:b/>
          <w:bCs/>
          <w:sz w:val="22"/>
          <w:szCs w:val="22"/>
        </w:rPr>
        <w:t xml:space="preserve"> MANGO.</w:t>
      </w:r>
    </w:p>
    <w:p w14:paraId="2FF1ABFA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D5150F">
        <w:rPr>
          <w:rFonts w:ascii="Arial" w:hAnsi="Arial" w:cs="Arial"/>
          <w:b/>
          <w:bCs/>
          <w:sz w:val="22"/>
          <w:szCs w:val="22"/>
        </w:rPr>
        <w:t>Supplemental Table</w:t>
      </w:r>
      <w:r>
        <w:rPr>
          <w:rFonts w:ascii="Arial" w:hAnsi="Arial" w:cs="Arial"/>
          <w:b/>
          <w:bCs/>
          <w:sz w:val="22"/>
          <w:szCs w:val="22"/>
        </w:rPr>
        <w:t xml:space="preserve"> 10.</w:t>
      </w:r>
      <w:r w:rsidRPr="00D5150F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Motifs neurogenesis between groups. </w:t>
      </w:r>
    </w:p>
    <w:p w14:paraId="655F6132" w14:textId="77777777" w:rsidR="00E6799D" w:rsidRPr="009664D1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9664D1">
        <w:rPr>
          <w:rFonts w:ascii="Arial" w:hAnsi="Arial" w:cs="Arial"/>
          <w:b/>
          <w:bCs/>
          <w:sz w:val="22"/>
          <w:szCs w:val="22"/>
        </w:rPr>
        <w:t>Supplemental Table 11. GOBP pathway analysis in immature neurons.</w:t>
      </w:r>
    </w:p>
    <w:p w14:paraId="1720B107" w14:textId="77777777" w:rsidR="00E6799D" w:rsidRPr="009664D1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9664D1">
        <w:rPr>
          <w:rFonts w:ascii="Arial" w:hAnsi="Arial" w:cs="Arial"/>
          <w:b/>
          <w:bCs/>
          <w:sz w:val="22"/>
          <w:szCs w:val="22"/>
        </w:rPr>
        <w:t>Supplemental Table 12. Differentially Expressed Genes inhibitory neurons across diagnoses</w:t>
      </w:r>
    </w:p>
    <w:p w14:paraId="5C3428AA" w14:textId="77777777" w:rsidR="00E6799D" w:rsidRPr="009664D1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9664D1">
        <w:rPr>
          <w:rFonts w:ascii="Arial" w:hAnsi="Arial" w:cs="Arial"/>
          <w:b/>
          <w:bCs/>
          <w:sz w:val="22"/>
          <w:szCs w:val="22"/>
        </w:rPr>
        <w:t>Supplemental Table 13. GOBP pathway analysis inhibitory neurons.</w:t>
      </w:r>
    </w:p>
    <w:p w14:paraId="5808FAC4" w14:textId="77777777" w:rsidR="00E6799D" w:rsidRPr="009664D1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D5150F">
        <w:rPr>
          <w:rFonts w:ascii="Arial" w:hAnsi="Arial" w:cs="Arial"/>
          <w:b/>
          <w:bCs/>
          <w:sz w:val="22"/>
          <w:szCs w:val="22"/>
        </w:rPr>
        <w:t xml:space="preserve">Supplemental </w:t>
      </w:r>
      <w:r w:rsidRPr="009664D1">
        <w:rPr>
          <w:rFonts w:ascii="Arial" w:hAnsi="Arial" w:cs="Arial"/>
          <w:b/>
          <w:bCs/>
          <w:sz w:val="22"/>
          <w:szCs w:val="22"/>
        </w:rPr>
        <w:t>Table 14. Differentially Expressed Peaks inhibitory neurons across diagnoses.</w:t>
      </w:r>
    </w:p>
    <w:p w14:paraId="6B891874" w14:textId="77777777" w:rsidR="00E6799D" w:rsidRPr="009664D1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9664D1">
        <w:rPr>
          <w:rFonts w:ascii="Arial" w:hAnsi="Arial" w:cs="Arial"/>
          <w:b/>
          <w:bCs/>
          <w:sz w:val="22"/>
          <w:szCs w:val="22"/>
        </w:rPr>
        <w:t>Supplemental Table 15. motifs comparison between GABA and Immature neurons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14:paraId="057BFF86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D5150F">
        <w:rPr>
          <w:rFonts w:ascii="Arial" w:hAnsi="Arial" w:cs="Arial"/>
          <w:b/>
          <w:bCs/>
          <w:sz w:val="22"/>
          <w:szCs w:val="22"/>
        </w:rPr>
        <w:t>Supplemental Table</w:t>
      </w:r>
      <w:r>
        <w:rPr>
          <w:rFonts w:ascii="Arial" w:hAnsi="Arial" w:cs="Arial"/>
          <w:b/>
          <w:bCs/>
          <w:sz w:val="22"/>
          <w:szCs w:val="22"/>
        </w:rPr>
        <w:t xml:space="preserve"> 16.</w:t>
      </w:r>
      <w:r w:rsidRPr="00D5150F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NeuronChat analysis.</w:t>
      </w:r>
    </w:p>
    <w:p w14:paraId="01066205" w14:textId="77777777" w:rsidR="00E6799D" w:rsidRDefault="00E6799D" w:rsidP="00E6799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D5150F">
        <w:rPr>
          <w:rFonts w:ascii="Arial" w:hAnsi="Arial" w:cs="Arial"/>
          <w:b/>
          <w:bCs/>
          <w:sz w:val="22"/>
          <w:szCs w:val="22"/>
        </w:rPr>
        <w:t>Supplemental Table</w:t>
      </w:r>
      <w:r>
        <w:rPr>
          <w:rFonts w:ascii="Arial" w:hAnsi="Arial" w:cs="Arial"/>
          <w:b/>
          <w:bCs/>
          <w:sz w:val="22"/>
          <w:szCs w:val="22"/>
        </w:rPr>
        <w:t xml:space="preserve"> 17.</w:t>
      </w:r>
      <w:r w:rsidRPr="00D5150F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CellChat analysis.</w:t>
      </w:r>
    </w:p>
    <w:p w14:paraId="6CEAFEFA" w14:textId="77777777" w:rsidR="00E6799D" w:rsidRPr="00C40943" w:rsidRDefault="00E6799D" w:rsidP="00E6799D">
      <w:pPr>
        <w:spacing w:line="480" w:lineRule="auto"/>
        <w:jc w:val="both"/>
        <w:outlineLvl w:val="0"/>
        <w:rPr>
          <w:rFonts w:ascii="Arial" w:hAnsi="Arial" w:cs="Arial"/>
          <w:sz w:val="22"/>
          <w:szCs w:val="22"/>
        </w:rPr>
      </w:pPr>
    </w:p>
    <w:p w14:paraId="4F31E3B3" w14:textId="77777777" w:rsidR="001C76BA" w:rsidRDefault="001C76BA"/>
    <w:sectPr w:rsidR="001C76BA" w:rsidSect="00E6799D">
      <w:pgSz w:w="12240" w:h="15840"/>
      <w:pgMar w:top="720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99D"/>
    <w:rsid w:val="001C76BA"/>
    <w:rsid w:val="00E67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951A0"/>
  <w15:chartTrackingRefBased/>
  <w15:docId w15:val="{4785E71C-5560-4AFC-8122-93ABED864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799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799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799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799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799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799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799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799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799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799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79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79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79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79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79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79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79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79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79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79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79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799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79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799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79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799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79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79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79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799D"/>
    <w:rPr>
      <w:b/>
      <w:bCs/>
      <w:smallCaps/>
      <w:color w:val="0F4761" w:themeColor="accent1" w:themeShade="BF"/>
      <w:spacing w:val="5"/>
    </w:rPr>
  </w:style>
  <w:style w:type="character" w:customStyle="1" w:styleId="aliasmainname">
    <w:name w:val="aliasmainname"/>
    <w:basedOn w:val="DefaultParagraphFont"/>
    <w:rsid w:val="00E6799D"/>
  </w:style>
  <w:style w:type="paragraph" w:styleId="NormalWeb">
    <w:name w:val="Normal (Web)"/>
    <w:basedOn w:val="Normal"/>
    <w:uiPriority w:val="99"/>
    <w:unhideWhenUsed/>
    <w:rsid w:val="00E6799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2022</Words>
  <Characters>11530</Characters>
  <Application>Microsoft Office Word</Application>
  <DocSecurity>0</DocSecurity>
  <Lines>96</Lines>
  <Paragraphs>27</Paragraphs>
  <ScaleCrop>false</ScaleCrop>
  <Company>SpringerNature</Company>
  <LinksUpToDate>false</LinksUpToDate>
  <CharactersWithSpaces>13525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2024-05-30T10:49:00Z</dcterms:created>
  <dcterms:modified xsi:type="dcterms:W3CDTF">2024-05-30T10:49:00Z</dcterms:modified>
</cp:coreProperties>
</file>