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AC523" w14:textId="77777777" w:rsidR="0019588C" w:rsidRPr="00081F8D" w:rsidRDefault="0019588C" w:rsidP="0019588C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 w:rsidRPr="00081F8D">
        <w:rPr>
          <w:rFonts w:asciiTheme="majorHAnsi" w:hAnsiTheme="majorHAnsi" w:cstheme="majorHAnsi"/>
          <w:b/>
          <w:bCs/>
          <w:sz w:val="24"/>
          <w:szCs w:val="24"/>
          <w:lang w:val="en-US"/>
        </w:rPr>
        <w:t>Supplemental data</w:t>
      </w:r>
    </w:p>
    <w:p w14:paraId="49AD5EE9" w14:textId="77777777" w:rsidR="00784452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</w:p>
    <w:p w14:paraId="48887DF1" w14:textId="0F945C80" w:rsidR="00784452" w:rsidRPr="00C640D9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  <w:r w:rsidRPr="00C640D9">
        <w:rPr>
          <w:rFonts w:asciiTheme="majorHAnsi" w:hAnsiTheme="majorHAnsi" w:cstheme="majorHAnsi"/>
          <w:b/>
          <w:bCs/>
          <w:sz w:val="28"/>
          <w:szCs w:val="28"/>
          <w:lang w:val="en-US"/>
        </w:rPr>
        <w:t xml:space="preserve">A novel machine learning-based approach for the computational functional assessment of pharmacogenomic variants </w:t>
      </w:r>
    </w:p>
    <w:p w14:paraId="375459B9" w14:textId="77777777" w:rsidR="00784452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14:paraId="3A02D983" w14:textId="77777777" w:rsidR="00784452" w:rsidRPr="004B46B6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9A7A3A">
        <w:rPr>
          <w:rFonts w:asciiTheme="majorHAnsi" w:hAnsiTheme="majorHAnsi" w:cstheme="majorHAnsi"/>
          <w:sz w:val="24"/>
          <w:szCs w:val="24"/>
          <w:lang w:val="en-US"/>
        </w:rPr>
        <w:t xml:space="preserve">Maria-Theodora </w:t>
      </w:r>
      <w:proofErr w:type="spellStart"/>
      <w:r w:rsidRPr="009A7A3A">
        <w:rPr>
          <w:rFonts w:asciiTheme="majorHAnsi" w:hAnsiTheme="majorHAnsi" w:cstheme="majorHAnsi"/>
          <w:sz w:val="24"/>
          <w:szCs w:val="24"/>
          <w:lang w:val="en-US"/>
        </w:rPr>
        <w:t>Pandi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1,</w:t>
      </w:r>
      <w:proofErr w:type="gramStart"/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2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,</w:t>
      </w:r>
      <w:r w:rsidRPr="007063EE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#</w:t>
      </w:r>
      <w:proofErr w:type="gramEnd"/>
      <w:r w:rsidRPr="009A7A3A"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Maria Koromina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3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,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4,#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Iordanis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Tsafaridis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1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Sotirios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Patsilinakos</w:t>
      </w:r>
      <w:r w:rsidRPr="00495107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5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Evangelos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Christoforou</w:t>
      </w:r>
      <w:r w:rsidRPr="00334501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1</w:t>
      </w:r>
      <w:r>
        <w:rPr>
          <w:rFonts w:asciiTheme="majorHAnsi" w:hAnsiTheme="majorHAnsi" w:cstheme="majorHAnsi"/>
          <w:sz w:val="24"/>
          <w:szCs w:val="24"/>
          <w:lang w:val="en-US"/>
        </w:rPr>
        <w:t>, Peter J van der Spek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2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, </w:t>
      </w:r>
      <w:r w:rsidRPr="009A7A3A">
        <w:rPr>
          <w:rFonts w:asciiTheme="majorHAnsi" w:hAnsiTheme="majorHAnsi" w:cstheme="majorHAnsi"/>
          <w:sz w:val="24"/>
          <w:szCs w:val="24"/>
          <w:lang w:val="en-US"/>
        </w:rPr>
        <w:t>George P.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Patrinos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3,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6,7,</w:t>
      </w:r>
      <w:r w:rsidRPr="00334501">
        <w:rPr>
          <w:rFonts w:asciiTheme="majorHAnsi" w:hAnsiTheme="majorHAnsi" w:cstheme="majorHAnsi"/>
          <w:sz w:val="24"/>
          <w:szCs w:val="24"/>
          <w:lang w:val="en-US"/>
        </w:rPr>
        <w:t>*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</w:p>
    <w:p w14:paraId="1A5F3F20" w14:textId="77777777" w:rsidR="00784452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53055B82" w14:textId="77777777" w:rsidR="00784452" w:rsidRDefault="00784452" w:rsidP="00784452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1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Katharsis Technologies Inc.;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2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 xml:space="preserve"> Erasmus University Medical Center, Faculty of Medicine and Health Sciences, Department of Pathology, Bioinformatics Unit, Rotterdam,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the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Netherlands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3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 xml:space="preserve">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Laboratory of Pharmacogenomics and Individualized Therapy, Department of Pharmacy, School of Health Sciences, University of Patras, Patras, Greece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4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 The Golden Helix Foundation, London, UK;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5</w:t>
      </w:r>
      <w:r w:rsidRPr="004B46B6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Konstantopouleion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General Hospital, Athens, Greece;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 xml:space="preserve">6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Zayed Center of Health Sciences, United Arab Emirates University, Al-Ain, United Arab Emirates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; </w:t>
      </w:r>
      <w:r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7</w:t>
      </w:r>
      <w:r w:rsidRPr="00334501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Department of Pathology, College of Medicine and Health Sciences, </w:t>
      </w:r>
      <w:r w:rsidRPr="004B46B6">
        <w:rPr>
          <w:rFonts w:asciiTheme="majorHAnsi" w:hAnsiTheme="majorHAnsi" w:cstheme="majorHAnsi"/>
          <w:sz w:val="24"/>
          <w:szCs w:val="24"/>
          <w:lang w:val="en-US"/>
        </w:rPr>
        <w:t>United Arab Emirates University, Al-Ain, United Arab Emirates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; </w:t>
      </w:r>
      <w:r w:rsidRPr="00495107">
        <w:rPr>
          <w:rFonts w:asciiTheme="majorHAnsi" w:hAnsiTheme="majorHAnsi" w:cstheme="majorHAnsi"/>
          <w:sz w:val="24"/>
          <w:szCs w:val="24"/>
          <w:vertAlign w:val="superscript"/>
          <w:lang w:val="en-US"/>
        </w:rPr>
        <w:t>#</w:t>
      </w:r>
      <w:r>
        <w:rPr>
          <w:rFonts w:asciiTheme="majorHAnsi" w:hAnsiTheme="majorHAnsi" w:cstheme="majorHAnsi"/>
          <w:sz w:val="24"/>
          <w:szCs w:val="24"/>
          <w:lang w:val="en-US"/>
        </w:rPr>
        <w:t>: These authors contributed equally to this work</w:t>
      </w:r>
    </w:p>
    <w:p w14:paraId="578C469C" w14:textId="77777777" w:rsidR="001F37B4" w:rsidRDefault="001F37B4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5F1B16BC" w14:textId="18EF03CA" w:rsidR="001F37B4" w:rsidRDefault="001F37B4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4710DB0" wp14:editId="5EDF8AE4">
            <wp:extent cx="5022375" cy="5838093"/>
            <wp:effectExtent l="0" t="0" r="0" b="4445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838" cy="583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83272" w14:textId="77777777" w:rsidR="001F37B4" w:rsidRPr="00081F8D" w:rsidRDefault="001F37B4" w:rsidP="001F37B4">
      <w:pPr>
        <w:spacing w:line="360" w:lineRule="auto"/>
        <w:ind w:right="-58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E73347">
        <w:rPr>
          <w:rFonts w:asciiTheme="majorHAnsi" w:hAnsiTheme="majorHAnsi" w:cstheme="majorHAnsi"/>
          <w:b/>
          <w:bCs/>
          <w:sz w:val="24"/>
          <w:szCs w:val="24"/>
          <w:lang w:val="en-US"/>
        </w:rPr>
        <w:t xml:space="preserve">Figure S1. </w:t>
      </w:r>
      <w:r>
        <w:rPr>
          <w:rFonts w:asciiTheme="majorHAnsi" w:hAnsiTheme="majorHAnsi" w:cstheme="majorHAnsi"/>
          <w:sz w:val="24"/>
          <w:szCs w:val="24"/>
          <w:lang w:val="en-US"/>
        </w:rPr>
        <w:t>Annotation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 features </w:t>
      </w:r>
      <w:r>
        <w:rPr>
          <w:rFonts w:asciiTheme="majorHAnsi" w:hAnsiTheme="majorHAnsi" w:cstheme="majorHAnsi"/>
          <w:sz w:val="24"/>
          <w:szCs w:val="24"/>
          <w:lang w:val="en-US"/>
        </w:rPr>
        <w:t>examined as training variables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 in the machine learning model for the functional assessment of pharmacogenomics variants. These features are ranked according to their suggested interpretational significance from least (bottom) to most important (top).</w:t>
      </w:r>
    </w:p>
    <w:p w14:paraId="26AFD542" w14:textId="77777777" w:rsidR="001F37B4" w:rsidRDefault="001F37B4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104E6892" w14:textId="2B0E6189" w:rsidR="00E7076E" w:rsidRDefault="00E7076E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61C09CF5" w14:textId="77777777" w:rsidR="00E7076E" w:rsidRDefault="00E7076E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03ACA9CD" w14:textId="42950890" w:rsidR="003323E9" w:rsidRDefault="003323E9" w:rsidP="003323E9">
      <w:pPr>
        <w:spacing w:line="48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 w:rsidRPr="00081F8D">
        <w:rPr>
          <w:rFonts w:asciiTheme="majorHAnsi" w:hAnsiTheme="majorHAnsi" w:cstheme="majorHAnsi"/>
          <w:b/>
          <w:bCs/>
          <w:sz w:val="24"/>
          <w:szCs w:val="24"/>
          <w:lang w:val="en-US"/>
        </w:rPr>
        <w:lastRenderedPageBreak/>
        <w:t>Table S</w:t>
      </w:r>
      <w:r>
        <w:rPr>
          <w:rFonts w:asciiTheme="majorHAnsi" w:hAnsiTheme="majorHAnsi" w:cstheme="majorHAnsi"/>
          <w:b/>
          <w:bCs/>
          <w:sz w:val="24"/>
          <w:szCs w:val="24"/>
          <w:lang w:val="en-US"/>
        </w:rPr>
        <w:t>1</w:t>
      </w:r>
      <w:r w:rsidRPr="00081F8D">
        <w:rPr>
          <w:rFonts w:asciiTheme="majorHAnsi" w:hAnsiTheme="majorHAnsi" w:cstheme="majorHAnsi"/>
          <w:b/>
          <w:bCs/>
          <w:sz w:val="24"/>
          <w:szCs w:val="24"/>
          <w:lang w:val="en-US"/>
        </w:rPr>
        <w:t>.</w:t>
      </w:r>
      <w:r>
        <w:rPr>
          <w:rFonts w:asciiTheme="majorHAnsi" w:hAnsiTheme="majorHAnsi" w:cstheme="majorHAnsi"/>
          <w:b/>
          <w:bCs/>
          <w:sz w:val="24"/>
          <w:szCs w:val="24"/>
          <w:lang w:val="en-US"/>
        </w:rPr>
        <w:t xml:space="preserve"> *excel supplemental file*</w:t>
      </w:r>
    </w:p>
    <w:p w14:paraId="11FADA05" w14:textId="77777777" w:rsidR="003323E9" w:rsidRPr="00081F8D" w:rsidRDefault="003323E9" w:rsidP="003323E9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E73347">
        <w:rPr>
          <w:rFonts w:asciiTheme="majorHAnsi" w:hAnsiTheme="majorHAnsi" w:cstheme="majorHAnsi"/>
          <w:b/>
          <w:bCs/>
          <w:sz w:val="24"/>
          <w:szCs w:val="24"/>
          <w:lang w:val="en-US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Prediction functionality classes and prediction probabilities for the targeted PGx data for the Greek cohort of 304 individuals. The 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dataset includes 195 known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(i.e., existing variation) 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>and 148 novel variants</w:t>
      </w:r>
      <w:r>
        <w:rPr>
          <w:rFonts w:asciiTheme="majorHAnsi" w:hAnsiTheme="majorHAnsi" w:cstheme="majorHAnsi"/>
          <w:sz w:val="24"/>
          <w:szCs w:val="24"/>
          <w:lang w:val="en-US"/>
        </w:rPr>
        <w:t>, of which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 86 (44.1%) and 70 (47.3%) were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ultimately 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>evaluated by the classifier (156 in total)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. Additional variant information is provided such as genomic locus,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Ensembl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transcript, alternative allele, gene symbol and gene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Ensembl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identified as well as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gnoMAD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 frequency are provided.</w:t>
      </w:r>
      <w:r w:rsidRPr="0060152F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en-GB"/>
        </w:rPr>
        <w:t xml:space="preserve">Moreover, there is an extra column to indicate whether the SO consequence corresponds to a </w:t>
      </w:r>
      <w:proofErr w:type="spellStart"/>
      <w:r>
        <w:rPr>
          <w:rFonts w:asciiTheme="majorHAnsi" w:hAnsiTheme="majorHAnsi" w:cstheme="majorHAnsi"/>
          <w:sz w:val="24"/>
          <w:szCs w:val="24"/>
          <w:lang w:val="en-GB"/>
        </w:rPr>
        <w:t>LoF</w:t>
      </w:r>
      <w:proofErr w:type="spellEnd"/>
      <w:r>
        <w:rPr>
          <w:rFonts w:asciiTheme="majorHAnsi" w:hAnsiTheme="majorHAnsi" w:cstheme="majorHAnsi"/>
          <w:sz w:val="24"/>
          <w:szCs w:val="24"/>
          <w:lang w:val="en-GB"/>
        </w:rPr>
        <w:t xml:space="preserve"> variant.</w:t>
      </w:r>
    </w:p>
    <w:p w14:paraId="647BFD2E" w14:textId="2FF0281D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2B3FB368" w14:textId="45D27293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35824A6B" w14:textId="626DBC9E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26E9D9C2" w14:textId="7453B194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49D06D41" w14:textId="5BFC456E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78007F99" w14:textId="462C0D56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230886B8" w14:textId="1924F898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300A59B0" w14:textId="181F7D52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0B17781A" w14:textId="40E03BF2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75689B10" w14:textId="4911A115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445D8E9A" w14:textId="543479F8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7C37F8A1" w14:textId="0A4A3B04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5CC6CC1D" w14:textId="51914F33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4E982920" w14:textId="3E6E830C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30A635B5" w14:textId="73672C21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5814E3D9" w14:textId="77777777" w:rsidR="001F37B4" w:rsidRDefault="001F37B4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21999B8B" w14:textId="3A1075BC" w:rsidR="0019588C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081F8D">
        <w:rPr>
          <w:rFonts w:asciiTheme="majorHAnsi" w:hAnsiTheme="majorHAnsi" w:cstheme="majorHAnsi"/>
          <w:b/>
          <w:bCs/>
          <w:sz w:val="24"/>
          <w:szCs w:val="24"/>
          <w:lang w:val="en-US"/>
        </w:rPr>
        <w:lastRenderedPageBreak/>
        <w:t>Table S</w:t>
      </w:r>
      <w:r w:rsidR="003323E9">
        <w:rPr>
          <w:rFonts w:asciiTheme="majorHAnsi" w:hAnsiTheme="majorHAnsi" w:cstheme="majorHAnsi"/>
          <w:b/>
          <w:bCs/>
          <w:sz w:val="24"/>
          <w:szCs w:val="24"/>
          <w:lang w:val="en-US"/>
        </w:rPr>
        <w:t>2</w:t>
      </w:r>
      <w:r w:rsidRPr="00C640D9">
        <w:rPr>
          <w:rFonts w:asciiTheme="majorHAnsi" w:hAnsiTheme="majorHAnsi" w:cstheme="majorHAnsi"/>
          <w:b/>
          <w:bCs/>
          <w:sz w:val="24"/>
          <w:szCs w:val="24"/>
          <w:lang w:val="en-GB"/>
        </w:rPr>
        <w:t>.</w:t>
      </w:r>
      <w:r w:rsidRPr="00E73347">
        <w:rPr>
          <w:rFonts w:asciiTheme="majorHAnsi" w:hAnsiTheme="majorHAnsi" w:cstheme="majorHAnsi"/>
          <w:sz w:val="24"/>
          <w:szCs w:val="24"/>
          <w:lang w:val="en-US"/>
        </w:rPr>
        <w:t xml:space="preserve">  List of the represented pharmacogenes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, which were included in the training dataset of the 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assessed machine learning models (AdaBoost, Multinomial logistic regression, Random Forest,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XGBoost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>)</w:t>
      </w:r>
      <w:r w:rsidRPr="00081F8D">
        <w:rPr>
          <w:rFonts w:asciiTheme="majorHAnsi" w:hAnsiTheme="majorHAnsi" w:cstheme="majorHAnsi"/>
          <w:sz w:val="24"/>
          <w:szCs w:val="24"/>
          <w:lang w:val="en-US"/>
        </w:rPr>
        <w:t xml:space="preserve">. </w:t>
      </w:r>
    </w:p>
    <w:p w14:paraId="4AAAB81B" w14:textId="77777777" w:rsidR="0019588C" w:rsidRPr="00081F8D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tbl>
      <w:tblPr>
        <w:tblStyle w:val="GridTable1Light"/>
        <w:tblW w:w="8741" w:type="dxa"/>
        <w:tblLook w:val="04A0" w:firstRow="1" w:lastRow="0" w:firstColumn="1" w:lastColumn="0" w:noHBand="0" w:noVBand="1"/>
      </w:tblPr>
      <w:tblGrid>
        <w:gridCol w:w="1776"/>
        <w:gridCol w:w="4385"/>
        <w:gridCol w:w="2580"/>
      </w:tblGrid>
      <w:tr w:rsidR="0019588C" w:rsidRPr="00081F8D" w14:paraId="53428BA0" w14:textId="77777777" w:rsidTr="00BA5F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1CF0F672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Pharmacogene</w:t>
            </w:r>
          </w:p>
        </w:tc>
        <w:tc>
          <w:tcPr>
            <w:tcW w:w="4385" w:type="dxa"/>
          </w:tcPr>
          <w:p w14:paraId="632B29CF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Description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 (HGNC)</w:t>
            </w:r>
          </w:p>
        </w:tc>
        <w:tc>
          <w:tcPr>
            <w:tcW w:w="2580" w:type="dxa"/>
          </w:tcPr>
          <w:p w14:paraId="09EFE576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Category</w:t>
            </w:r>
            <w:proofErr w:type="spellEnd"/>
          </w:p>
        </w:tc>
      </w:tr>
      <w:tr w:rsidR="0019588C" w:rsidRPr="00081F8D" w14:paraId="0F405A8A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3AF355F6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CYP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2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B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</w:rPr>
              <w:t>6</w:t>
            </w:r>
          </w:p>
        </w:tc>
        <w:tc>
          <w:tcPr>
            <w:tcW w:w="4385" w:type="dxa"/>
          </w:tcPr>
          <w:p w14:paraId="24359A3B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cytochrome P450 family 2 subfamily B member 6</w:t>
            </w:r>
          </w:p>
        </w:tc>
        <w:tc>
          <w:tcPr>
            <w:tcW w:w="2580" w:type="dxa"/>
          </w:tcPr>
          <w:p w14:paraId="376A976F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0B733998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32DE121C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CYP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2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</w:rPr>
              <w:t>9</w:t>
            </w:r>
          </w:p>
        </w:tc>
        <w:tc>
          <w:tcPr>
            <w:tcW w:w="4385" w:type="dxa"/>
          </w:tcPr>
          <w:p w14:paraId="0C699BEF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cytochrome P450 family 2 subfamily C member 9</w:t>
            </w:r>
          </w:p>
        </w:tc>
        <w:tc>
          <w:tcPr>
            <w:tcW w:w="2580" w:type="dxa"/>
          </w:tcPr>
          <w:p w14:paraId="4A8FD88B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7AFB6ABD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5E7541AD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CYP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2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</w:rPr>
              <w:t>19</w:t>
            </w:r>
          </w:p>
        </w:tc>
        <w:tc>
          <w:tcPr>
            <w:tcW w:w="4385" w:type="dxa"/>
          </w:tcPr>
          <w:p w14:paraId="5365724C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cytochrome P450 family 2 subfamily C member 19</w:t>
            </w:r>
          </w:p>
        </w:tc>
        <w:tc>
          <w:tcPr>
            <w:tcW w:w="2580" w:type="dxa"/>
          </w:tcPr>
          <w:p w14:paraId="75DEAF63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6B3D8C71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1A3AC594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CYP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2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D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</w:rPr>
              <w:t>6</w:t>
            </w:r>
          </w:p>
        </w:tc>
        <w:tc>
          <w:tcPr>
            <w:tcW w:w="4385" w:type="dxa"/>
          </w:tcPr>
          <w:p w14:paraId="5BBA8E6A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cytochrome P450 family 2 subfamily D member 6</w:t>
            </w:r>
          </w:p>
        </w:tc>
        <w:tc>
          <w:tcPr>
            <w:tcW w:w="2580" w:type="dxa"/>
          </w:tcPr>
          <w:p w14:paraId="1EF65592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268ACA87" w14:textId="77777777" w:rsidTr="00BA5F5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3341B30D" w14:textId="77777777" w:rsidR="0019588C" w:rsidRPr="00E73347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CYP2C8</w:t>
            </w:r>
          </w:p>
        </w:tc>
        <w:tc>
          <w:tcPr>
            <w:tcW w:w="4385" w:type="dxa"/>
          </w:tcPr>
          <w:p w14:paraId="7A7ED80E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cytochrome P450 family 2 subfamily F member 8</w:t>
            </w:r>
          </w:p>
        </w:tc>
        <w:tc>
          <w:tcPr>
            <w:tcW w:w="2580" w:type="dxa"/>
          </w:tcPr>
          <w:p w14:paraId="6F338539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4155B984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35886965" w14:textId="77777777" w:rsidR="0019588C" w:rsidRPr="00E73347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DPYD</w:t>
            </w:r>
          </w:p>
        </w:tc>
        <w:tc>
          <w:tcPr>
            <w:tcW w:w="4385" w:type="dxa"/>
          </w:tcPr>
          <w:p w14:paraId="4D40250D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dihydropyrimidine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dehydrogenase</w:t>
            </w:r>
            <w:proofErr w:type="spellEnd"/>
          </w:p>
        </w:tc>
        <w:tc>
          <w:tcPr>
            <w:tcW w:w="2580" w:type="dxa"/>
          </w:tcPr>
          <w:p w14:paraId="30DA4A00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081F8D" w14:paraId="36CC15DD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10BADCCA" w14:textId="77777777" w:rsidR="0019588C" w:rsidRPr="00E73347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UGT1A1</w:t>
            </w:r>
          </w:p>
        </w:tc>
        <w:tc>
          <w:tcPr>
            <w:tcW w:w="4385" w:type="dxa"/>
          </w:tcPr>
          <w:p w14:paraId="6BB4F112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UDP glucuronosyltransferase family 1 member A1</w:t>
            </w:r>
          </w:p>
        </w:tc>
        <w:tc>
          <w:tcPr>
            <w:tcW w:w="2580" w:type="dxa"/>
          </w:tcPr>
          <w:p w14:paraId="17912884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  <w:tr w:rsidR="0019588C" w:rsidRPr="00784452" w14:paraId="3FC834E6" w14:textId="77777777" w:rsidTr="00BA5F52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4E6F84D1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NUDT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15</w:t>
            </w:r>
          </w:p>
        </w:tc>
        <w:tc>
          <w:tcPr>
            <w:tcW w:w="4385" w:type="dxa"/>
          </w:tcPr>
          <w:p w14:paraId="27473559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nudix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hydrolase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15</w:t>
            </w:r>
          </w:p>
        </w:tc>
        <w:tc>
          <w:tcPr>
            <w:tcW w:w="2580" w:type="dxa"/>
          </w:tcPr>
          <w:p w14:paraId="71D64EA0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drug transporters and </w:t>
            </w:r>
          </w:p>
          <w:p w14:paraId="45935247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non–drug metabolizing enzymes</w:t>
            </w:r>
          </w:p>
        </w:tc>
      </w:tr>
      <w:tr w:rsidR="0019588C" w:rsidRPr="00784452" w14:paraId="0AE6516A" w14:textId="77777777" w:rsidTr="00BA5F52">
        <w:trPr>
          <w:trHeight w:val="9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7EA243DA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RYR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1</w:t>
            </w:r>
          </w:p>
        </w:tc>
        <w:tc>
          <w:tcPr>
            <w:tcW w:w="4385" w:type="dxa"/>
          </w:tcPr>
          <w:p w14:paraId="3211FC68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ryanodine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receptor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1</w:t>
            </w:r>
          </w:p>
        </w:tc>
        <w:tc>
          <w:tcPr>
            <w:tcW w:w="2580" w:type="dxa"/>
          </w:tcPr>
          <w:p w14:paraId="770CDF25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drug transporters and </w:t>
            </w:r>
          </w:p>
          <w:p w14:paraId="43D98594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non–drug metabolizing enzymes</w:t>
            </w:r>
          </w:p>
        </w:tc>
      </w:tr>
      <w:tr w:rsidR="0019588C" w:rsidRPr="00784452" w14:paraId="490E908E" w14:textId="77777777" w:rsidTr="00BA5F52">
        <w:trPr>
          <w:trHeight w:val="9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40CE1065" w14:textId="77777777" w:rsidR="0019588C" w:rsidRPr="00081F8D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SLCO</w:t>
            </w:r>
            <w:r w:rsidRPr="00E73347">
              <w:rPr>
                <w:rFonts w:asciiTheme="majorHAnsi" w:hAnsiTheme="majorHAnsi" w:cstheme="majorHAnsi"/>
                <w:i/>
                <w:sz w:val="18"/>
                <w:szCs w:val="18"/>
              </w:rPr>
              <w:t>1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B</w:t>
            </w:r>
            <w:r w:rsidRPr="00081F8D">
              <w:rPr>
                <w:rFonts w:asciiTheme="majorHAnsi" w:hAnsiTheme="majorHAnsi" w:cstheme="majorHAnsi"/>
                <w:i/>
                <w:sz w:val="18"/>
                <w:szCs w:val="18"/>
              </w:rPr>
              <w:t>1</w:t>
            </w:r>
          </w:p>
        </w:tc>
        <w:tc>
          <w:tcPr>
            <w:tcW w:w="4385" w:type="dxa"/>
          </w:tcPr>
          <w:p w14:paraId="3C57D812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solute carrier organic anion transporter </w:t>
            </w:r>
          </w:p>
          <w:p w14:paraId="1108FB2A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family member 1B1</w:t>
            </w:r>
          </w:p>
        </w:tc>
        <w:tc>
          <w:tcPr>
            <w:tcW w:w="2580" w:type="dxa"/>
          </w:tcPr>
          <w:p w14:paraId="20983ED2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 xml:space="preserve">drug transporters and </w:t>
            </w:r>
          </w:p>
          <w:p w14:paraId="0BAEB97C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  <w:r w:rsidRPr="00081F8D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non–drug metabolizing enzymes</w:t>
            </w:r>
          </w:p>
        </w:tc>
      </w:tr>
      <w:tr w:rsidR="0019588C" w:rsidRPr="00081F8D" w14:paraId="30FF62D3" w14:textId="77777777" w:rsidTr="00BA5F52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6" w:type="dxa"/>
          </w:tcPr>
          <w:p w14:paraId="4ECC6E81" w14:textId="77777777" w:rsidR="0019588C" w:rsidRPr="00E73347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C640D9">
              <w:rPr>
                <w:rFonts w:asciiTheme="majorHAnsi" w:hAnsiTheme="majorHAnsi" w:cstheme="majorHAnsi"/>
                <w:i/>
                <w:sz w:val="18"/>
                <w:szCs w:val="18"/>
                <w:lang w:val="en-US"/>
              </w:rPr>
              <w:t>TPMT</w:t>
            </w:r>
          </w:p>
        </w:tc>
        <w:tc>
          <w:tcPr>
            <w:tcW w:w="4385" w:type="dxa"/>
          </w:tcPr>
          <w:p w14:paraId="13B81951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thiopurine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S-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methyltransferase</w:t>
            </w:r>
            <w:proofErr w:type="spellEnd"/>
          </w:p>
        </w:tc>
        <w:tc>
          <w:tcPr>
            <w:tcW w:w="2580" w:type="dxa"/>
          </w:tcPr>
          <w:p w14:paraId="18AFF2B9" w14:textId="77777777" w:rsidR="0019588C" w:rsidRPr="00081F8D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drug-metabolizing</w:t>
            </w:r>
            <w:proofErr w:type="spellEnd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081F8D">
              <w:rPr>
                <w:rFonts w:asciiTheme="majorHAnsi" w:hAnsiTheme="majorHAnsi" w:cstheme="majorHAnsi"/>
                <w:sz w:val="18"/>
                <w:szCs w:val="18"/>
              </w:rPr>
              <w:t>enzymes</w:t>
            </w:r>
            <w:proofErr w:type="spellEnd"/>
          </w:p>
        </w:tc>
      </w:tr>
    </w:tbl>
    <w:p w14:paraId="090DB84F" w14:textId="18E70A0A" w:rsidR="0019588C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7278D2C8" w14:textId="203B48DB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1D66B953" w14:textId="08E06EBC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2504E403" w14:textId="47AC0608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684165ED" w14:textId="77777777" w:rsidR="003323E9" w:rsidRDefault="003323E9" w:rsidP="0019588C">
      <w:pPr>
        <w:spacing w:line="360" w:lineRule="auto"/>
        <w:ind w:right="-766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6E645BBB" w14:textId="1624B2AB" w:rsidR="0019588C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2C15C7">
        <w:rPr>
          <w:rFonts w:asciiTheme="majorHAnsi" w:hAnsiTheme="majorHAnsi" w:cstheme="majorHAnsi"/>
          <w:b/>
          <w:bCs/>
          <w:sz w:val="24"/>
          <w:szCs w:val="24"/>
          <w:lang w:val="en-US"/>
        </w:rPr>
        <w:lastRenderedPageBreak/>
        <w:t>Table S</w:t>
      </w:r>
      <w:r w:rsidR="003323E9">
        <w:rPr>
          <w:rFonts w:asciiTheme="majorHAnsi" w:hAnsiTheme="majorHAnsi" w:cstheme="majorHAnsi"/>
          <w:b/>
          <w:bCs/>
          <w:sz w:val="24"/>
          <w:szCs w:val="24"/>
          <w:lang w:val="en-US"/>
        </w:rPr>
        <w:t>3</w:t>
      </w:r>
      <w:r w:rsidRPr="002C15C7">
        <w:rPr>
          <w:rFonts w:asciiTheme="majorHAnsi" w:hAnsiTheme="majorHAnsi" w:cstheme="majorHAnsi"/>
          <w:b/>
          <w:bCs/>
          <w:sz w:val="24"/>
          <w:szCs w:val="24"/>
          <w:lang w:val="en-US"/>
        </w:rPr>
        <w:t>.</w:t>
      </w:r>
      <w:r>
        <w:rPr>
          <w:rFonts w:asciiTheme="majorHAnsi" w:hAnsiTheme="majorHAnsi" w:cstheme="majorHAnsi"/>
          <w:b/>
          <w:bCs/>
          <w:sz w:val="24"/>
          <w:szCs w:val="24"/>
          <w:lang w:val="en-US"/>
        </w:rPr>
        <w:t xml:space="preserve"> </w:t>
      </w:r>
      <w:r w:rsidRPr="00400A88">
        <w:rPr>
          <w:rFonts w:asciiTheme="majorHAnsi" w:hAnsiTheme="majorHAnsi" w:cstheme="majorHAnsi"/>
          <w:sz w:val="24"/>
          <w:szCs w:val="24"/>
          <w:lang w:val="en-US"/>
        </w:rPr>
        <w:t>Summary of the</w:t>
      </w:r>
      <w:r>
        <w:rPr>
          <w:rFonts w:asciiTheme="majorHAnsi" w:hAnsiTheme="majorHAnsi" w:cstheme="majorHAnsi"/>
          <w:b/>
          <w:bCs/>
          <w:sz w:val="24"/>
          <w:szCs w:val="24"/>
          <w:lang w:val="en-US"/>
        </w:rPr>
        <w:t xml:space="preserve"> </w:t>
      </w:r>
      <w:r w:rsidRPr="00E73347">
        <w:rPr>
          <w:rFonts w:asciiTheme="majorHAnsi" w:hAnsiTheme="majorHAnsi" w:cstheme="majorHAnsi"/>
          <w:sz w:val="24"/>
          <w:szCs w:val="24"/>
          <w:lang w:val="en-US"/>
        </w:rPr>
        <w:t>parameters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 and metric values for the tree-based models (AdaBoost, Random Forest, </w:t>
      </w:r>
      <w:proofErr w:type="spellStart"/>
      <w:r>
        <w:rPr>
          <w:rFonts w:asciiTheme="majorHAnsi" w:hAnsiTheme="majorHAnsi" w:cstheme="majorHAnsi"/>
          <w:sz w:val="24"/>
          <w:szCs w:val="24"/>
          <w:lang w:val="en-US"/>
        </w:rPr>
        <w:t>XGBoost</w:t>
      </w:r>
      <w:proofErr w:type="spellEnd"/>
      <w:r>
        <w:rPr>
          <w:rFonts w:asciiTheme="majorHAnsi" w:hAnsiTheme="majorHAnsi" w:cstheme="majorHAnsi"/>
          <w:sz w:val="24"/>
          <w:szCs w:val="24"/>
          <w:lang w:val="en-US"/>
        </w:rPr>
        <w:t xml:space="preserve">), as tested in the present study. Parameters denoted with an asterisk (*) were tuned according to the achieved accuracy. </w:t>
      </w:r>
    </w:p>
    <w:p w14:paraId="659B60ED" w14:textId="77777777" w:rsidR="0019588C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tbl>
      <w:tblPr>
        <w:tblStyle w:val="PlainTable2"/>
        <w:tblW w:w="9356" w:type="dxa"/>
        <w:tblLook w:val="04A0" w:firstRow="1" w:lastRow="0" w:firstColumn="1" w:lastColumn="0" w:noHBand="0" w:noVBand="1"/>
      </w:tblPr>
      <w:tblGrid>
        <w:gridCol w:w="1459"/>
        <w:gridCol w:w="6338"/>
        <w:gridCol w:w="1559"/>
      </w:tblGrid>
      <w:tr w:rsidR="0019588C" w:rsidRPr="0019588C" w14:paraId="7DE036B3" w14:textId="77777777" w:rsidTr="001958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1B1FF525" w14:textId="77777777" w:rsidR="0019588C" w:rsidRPr="0019588C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bookmarkStart w:id="0" w:name="_Hlk69045055"/>
            <w:r w:rsidRPr="0019588C">
              <w:rPr>
                <w:rFonts w:cstheme="majorHAnsi"/>
                <w:sz w:val="20"/>
                <w:szCs w:val="20"/>
                <w:lang w:val="en-US"/>
              </w:rPr>
              <w:t>Approach</w:t>
            </w:r>
          </w:p>
        </w:tc>
        <w:tc>
          <w:tcPr>
            <w:tcW w:w="6338" w:type="dxa"/>
          </w:tcPr>
          <w:p w14:paraId="340C489C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1559" w:type="dxa"/>
          </w:tcPr>
          <w:p w14:paraId="564A5D0A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Selected values</w:t>
            </w:r>
          </w:p>
        </w:tc>
      </w:tr>
      <w:tr w:rsidR="0019588C" w:rsidRPr="0019588C" w14:paraId="377B3FB6" w14:textId="77777777" w:rsidTr="001958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1D9F6AB7" w14:textId="77777777" w:rsidR="0019588C" w:rsidRPr="0019588C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cstheme="majorHAnsi"/>
                <w:sz w:val="20"/>
                <w:szCs w:val="20"/>
                <w:lang w:val="en-US"/>
              </w:rPr>
              <w:t>Random Forest</w:t>
            </w:r>
          </w:p>
        </w:tc>
        <w:tc>
          <w:tcPr>
            <w:tcW w:w="6338" w:type="dxa"/>
          </w:tcPr>
          <w:p w14:paraId="07CDA15C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Number of trees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ntree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76B406B5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*Number of variables randomly sampled as candidates at each split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mtry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</w:tcPr>
          <w:p w14:paraId="7372481C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1,000</w:t>
            </w:r>
          </w:p>
          <w:p w14:paraId="02454BD8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</w:tr>
      <w:tr w:rsidR="0019588C" w:rsidRPr="0019588C" w14:paraId="0E13AE0F" w14:textId="77777777" w:rsidTr="0019588C">
        <w:trPr>
          <w:trHeight w:val="1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0E480356" w14:textId="77777777" w:rsidR="0019588C" w:rsidRPr="0019588C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cstheme="majorHAnsi"/>
                <w:sz w:val="20"/>
                <w:szCs w:val="20"/>
                <w:lang w:val="en-US"/>
              </w:rPr>
              <w:t>AdaBoost</w:t>
            </w:r>
          </w:p>
        </w:tc>
        <w:tc>
          <w:tcPr>
            <w:tcW w:w="6338" w:type="dxa"/>
          </w:tcPr>
          <w:p w14:paraId="7BB4B907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Maximum tree depth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maxdepth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5F2B49FC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*Number of trees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mfinal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1AC23FE9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*Coefficient type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coeflearn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</w:tcPr>
          <w:p w14:paraId="291A8EAF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</w:t>
            </w:r>
          </w:p>
          <w:p w14:paraId="7AE09C86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1,000</w:t>
            </w:r>
          </w:p>
          <w:p w14:paraId="15E1AF6D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Zhu</w:t>
            </w:r>
          </w:p>
        </w:tc>
      </w:tr>
      <w:tr w:rsidR="0019588C" w:rsidRPr="0019588C" w14:paraId="790A77D0" w14:textId="77777777" w:rsidTr="001958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</w:tcPr>
          <w:p w14:paraId="2409378A" w14:textId="77777777" w:rsidR="0019588C" w:rsidRPr="0019588C" w:rsidRDefault="0019588C" w:rsidP="00BA5F52">
            <w:pPr>
              <w:spacing w:line="480" w:lineRule="auto"/>
              <w:ind w:right="-766"/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proofErr w:type="spellStart"/>
            <w:r w:rsidRPr="0019588C">
              <w:rPr>
                <w:rFonts w:cstheme="majorHAnsi"/>
                <w:sz w:val="20"/>
                <w:szCs w:val="20"/>
                <w:lang w:val="en-US"/>
              </w:rPr>
              <w:t>XGBoost</w:t>
            </w:r>
            <w:proofErr w:type="spellEnd"/>
          </w:p>
        </w:tc>
        <w:tc>
          <w:tcPr>
            <w:tcW w:w="6338" w:type="dxa"/>
          </w:tcPr>
          <w:p w14:paraId="10A4648E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*Boosting Iterations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nrounds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0DB250A3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Maximum Tree Depth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max_depth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0CCC47C6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*Shrinkage (eta)</w:t>
            </w:r>
          </w:p>
          <w:p w14:paraId="13EA2025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Minimum Loss Reduction (gamma)</w:t>
            </w:r>
          </w:p>
          <w:p w14:paraId="17DFDB2C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Subsample Ratio of Columns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colsample_bytree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01E7F583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Minimum sum of Instance Weight (</w:t>
            </w:r>
            <w:proofErr w:type="spellStart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min_child_weight</w:t>
            </w:r>
            <w:proofErr w:type="spellEnd"/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)</w:t>
            </w:r>
          </w:p>
          <w:p w14:paraId="3AC263DA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Subsample percentage (subsample)</w:t>
            </w:r>
          </w:p>
        </w:tc>
        <w:tc>
          <w:tcPr>
            <w:tcW w:w="1559" w:type="dxa"/>
          </w:tcPr>
          <w:p w14:paraId="4E7D840E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</w:rPr>
              <w:t>150</w:t>
            </w:r>
          </w:p>
          <w:p w14:paraId="403FE01B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5</w:t>
            </w:r>
          </w:p>
          <w:p w14:paraId="6D854F89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</w:rPr>
              <w:t>0.1</w:t>
            </w:r>
          </w:p>
          <w:p w14:paraId="2E4931E8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0</w:t>
            </w:r>
          </w:p>
          <w:p w14:paraId="490C63ED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0.8</w:t>
            </w:r>
          </w:p>
          <w:p w14:paraId="7B626258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</w:t>
            </w:r>
          </w:p>
          <w:p w14:paraId="0863D5B7" w14:textId="77777777" w:rsidR="0019588C" w:rsidRPr="0019588C" w:rsidRDefault="0019588C" w:rsidP="00BA5F52">
            <w:pPr>
              <w:spacing w:line="480" w:lineRule="auto"/>
              <w:ind w:right="-76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9588C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1</w:t>
            </w:r>
          </w:p>
        </w:tc>
      </w:tr>
      <w:bookmarkEnd w:id="0"/>
    </w:tbl>
    <w:p w14:paraId="21A35875" w14:textId="77777777" w:rsidR="0019588C" w:rsidRDefault="0019588C" w:rsidP="0019588C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14:paraId="1A061D55" w14:textId="59D8340C" w:rsidR="0019588C" w:rsidRDefault="0019588C" w:rsidP="0019588C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14:paraId="4A0B179D" w14:textId="77777777" w:rsidR="001F37B4" w:rsidRDefault="001F37B4" w:rsidP="0019588C">
      <w:pPr>
        <w:spacing w:line="48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US"/>
        </w:rPr>
      </w:pPr>
    </w:p>
    <w:p w14:paraId="2B9EBC59" w14:textId="77777777" w:rsidR="0019588C" w:rsidRPr="0060152F" w:rsidRDefault="0019588C" w:rsidP="0019588C">
      <w:pPr>
        <w:spacing w:line="360" w:lineRule="auto"/>
        <w:ind w:right="-766"/>
        <w:jc w:val="both"/>
        <w:rPr>
          <w:rFonts w:asciiTheme="majorHAnsi" w:hAnsiTheme="majorHAnsi" w:cstheme="majorHAnsi"/>
          <w:sz w:val="24"/>
          <w:szCs w:val="24"/>
          <w:lang w:val="en-GB"/>
        </w:rPr>
      </w:pPr>
    </w:p>
    <w:p w14:paraId="3A61876C" w14:textId="77777777" w:rsidR="00E636B5" w:rsidRPr="0019588C" w:rsidRDefault="00E636B5">
      <w:pPr>
        <w:rPr>
          <w:lang w:val="en-GB"/>
        </w:rPr>
      </w:pPr>
    </w:p>
    <w:sectPr w:rsidR="00E636B5" w:rsidRPr="0019588C" w:rsidSect="006A1AD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88C"/>
    <w:rsid w:val="000C29AB"/>
    <w:rsid w:val="000C7C5A"/>
    <w:rsid w:val="00175E28"/>
    <w:rsid w:val="00185141"/>
    <w:rsid w:val="0019588C"/>
    <w:rsid w:val="001F37B4"/>
    <w:rsid w:val="002856EB"/>
    <w:rsid w:val="002934CA"/>
    <w:rsid w:val="003323E9"/>
    <w:rsid w:val="0048003E"/>
    <w:rsid w:val="006A1AD7"/>
    <w:rsid w:val="00766328"/>
    <w:rsid w:val="00784452"/>
    <w:rsid w:val="008D126D"/>
    <w:rsid w:val="009A32AF"/>
    <w:rsid w:val="00B03291"/>
    <w:rsid w:val="00B11722"/>
    <w:rsid w:val="00B13251"/>
    <w:rsid w:val="00BD3372"/>
    <w:rsid w:val="00CF65D6"/>
    <w:rsid w:val="00E636B5"/>
    <w:rsid w:val="00E7076E"/>
    <w:rsid w:val="00FC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B2797"/>
  <w15:chartTrackingRefBased/>
  <w15:docId w15:val="{B6500E70-EA24-814C-948F-CDEA9E11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88C"/>
    <w:pPr>
      <w:spacing w:after="160" w:line="259" w:lineRule="auto"/>
    </w:pPr>
    <w:rPr>
      <w:sz w:val="22"/>
      <w:szCs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19588C"/>
    <w:rPr>
      <w:sz w:val="22"/>
      <w:szCs w:val="22"/>
      <w:lang w:val="el-G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19588C"/>
    <w:rPr>
      <w:sz w:val="22"/>
      <w:szCs w:val="22"/>
      <w:lang w:val="el-G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553</Words>
  <Characters>3318</Characters>
  <Application>Microsoft Office Word</Application>
  <DocSecurity>0</DocSecurity>
  <Lines>50</Lines>
  <Paragraphs>12</Paragraphs>
  <ScaleCrop>false</ScaleCrop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ΚΟΡΟΜΗΝΑ ΜΑΡΙΑ</dc:creator>
  <cp:keywords/>
  <dc:description/>
  <cp:lastModifiedBy>Πατρινός Γεώργιος</cp:lastModifiedBy>
  <cp:revision>5</cp:revision>
  <dcterms:created xsi:type="dcterms:W3CDTF">2021-04-19T18:02:00Z</dcterms:created>
  <dcterms:modified xsi:type="dcterms:W3CDTF">2021-04-20T08:09:00Z</dcterms:modified>
</cp:coreProperties>
</file>