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svg" ContentType="image/svg+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themeColor="background1"/>
  <w:body>
    <w:p w14:paraId="083525FA" w14:textId="70F4333E" w:rsidR="00D31248" w:rsidRPr="00D360B5" w:rsidRDefault="00D31248" w:rsidP="00D31248">
      <w:pPr>
        <w:widowControl/>
        <w:jc w:val="left"/>
        <w:rPr>
          <w:rFonts w:ascii="Times New Roman" w:hAnsi="Times New Roman" w:cs="Times New Roman"/>
          <w:b/>
          <w:bCs/>
          <w:sz w:val="32"/>
          <w:szCs w:val="36"/>
        </w:rPr>
      </w:pPr>
      <w:r w:rsidRPr="0011311D">
        <w:rPr>
          <w:rFonts w:ascii="Times New Roman" w:eastAsiaTheme="minorHAnsi" w:hAnsi="Times New Roman" w:cs="Times New Roman"/>
          <w:b/>
          <w:bCs/>
          <w:sz w:val="24"/>
          <w:szCs w:val="28"/>
        </w:rPr>
        <w:t>Extended Data 1: Mode Isolation and Harmonic Suppression in Balanced THz Frequency Multiplier</w:t>
      </w:r>
    </w:p>
    <w:p w14:paraId="79FEAF86" w14:textId="77777777" w:rsidR="00D31248" w:rsidRDefault="00D31248" w:rsidP="00D31248">
      <w:pPr>
        <w:jc w:val="center"/>
        <w:rPr>
          <w:rFonts w:ascii="Times New Roman" w:hAnsi="Times New Roman" w:cs="Times New Roman"/>
          <w:sz w:val="32"/>
          <w:szCs w:val="36"/>
        </w:rPr>
      </w:pPr>
      <w:r>
        <w:rPr>
          <w:rFonts w:ascii="Times New Roman" w:hAnsi="Times New Roman" w:cs="Times New Roman"/>
          <w:noProof/>
          <w:sz w:val="32"/>
          <w:szCs w:val="36"/>
        </w:rPr>
        <w:drawing>
          <wp:inline distT="0" distB="0" distL="0" distR="0" wp14:anchorId="78D52279" wp14:editId="239875DE">
            <wp:extent cx="2968832" cy="2360534"/>
            <wp:effectExtent l="0" t="0" r="3175" b="1905"/>
            <wp:docPr id="205021962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92429" cy="2379296"/>
                    </a:xfrm>
                    <a:prstGeom prst="rect">
                      <a:avLst/>
                    </a:prstGeom>
                    <a:noFill/>
                  </pic:spPr>
                </pic:pic>
              </a:graphicData>
            </a:graphic>
          </wp:inline>
        </w:drawing>
      </w:r>
    </w:p>
    <w:p w14:paraId="3AA0A15D" w14:textId="77777777" w:rsidR="00D31248" w:rsidRPr="0011311D" w:rsidRDefault="00D31248" w:rsidP="00D31248">
      <w:pPr>
        <w:rPr>
          <w:rFonts w:eastAsiaTheme="minorHAnsi" w:cs="Times New Roman"/>
          <w:kern w:val="44"/>
          <w:sz w:val="16"/>
          <w:szCs w:val="16"/>
        </w:rPr>
      </w:pPr>
      <w:r w:rsidRPr="0011311D">
        <w:rPr>
          <w:rFonts w:eastAsiaTheme="minorHAnsi" w:cs="Times New Roman"/>
          <w:b/>
          <w:bCs/>
          <w:kern w:val="44"/>
          <w:sz w:val="16"/>
          <w:szCs w:val="16"/>
        </w:rPr>
        <w:t>Extended Data Fig.1.</w:t>
      </w:r>
      <w:r w:rsidRPr="0011311D">
        <w:rPr>
          <w:rFonts w:eastAsiaTheme="minorHAnsi" w:cs="Times New Roman"/>
          <w:kern w:val="44"/>
          <w:sz w:val="16"/>
          <w:szCs w:val="16"/>
        </w:rPr>
        <w:t xml:space="preserve"> Schematic diagram illustrating the operating principle of a balanced frequency doubler based on an artificial microstructure Schottky diode series array.</w:t>
      </w:r>
    </w:p>
    <w:p w14:paraId="3F5B4606" w14:textId="77777777" w:rsidR="00D31248" w:rsidRPr="0011311D" w:rsidRDefault="00D31248" w:rsidP="00D31248">
      <w:pPr>
        <w:ind w:firstLineChars="200" w:firstLine="400"/>
        <w:rPr>
          <w:rFonts w:ascii="Times New Roman" w:hAnsi="Times New Roman" w:cs="Times New Roman"/>
          <w:kern w:val="44"/>
          <w:sz w:val="20"/>
          <w:szCs w:val="20"/>
        </w:rPr>
      </w:pPr>
      <w:r w:rsidRPr="0011311D">
        <w:rPr>
          <w:rFonts w:ascii="Times New Roman" w:hAnsi="Times New Roman" w:cs="Times New Roman"/>
          <w:kern w:val="44"/>
          <w:sz w:val="20"/>
          <w:szCs w:val="20"/>
        </w:rPr>
        <w:t>Solid-state THz frequency doublers typically utilize the classical Erickson structure</w:t>
      </w:r>
      <w:r>
        <w:rPr>
          <w:rFonts w:ascii="Times New Roman" w:hAnsi="Times New Roman" w:cs="Times New Roman" w:hint="eastAsia"/>
          <w:kern w:val="44"/>
          <w:sz w:val="20"/>
          <w:szCs w:val="20"/>
          <w:vertAlign w:val="superscript"/>
        </w:rPr>
        <w:t>41</w:t>
      </w:r>
      <w:r w:rsidRPr="0011311D">
        <w:rPr>
          <w:rFonts w:ascii="Times New Roman" w:hAnsi="Times New Roman" w:cs="Times New Roman"/>
          <w:kern w:val="44"/>
          <w:sz w:val="20"/>
          <w:szCs w:val="20"/>
        </w:rPr>
        <w:t xml:space="preserve"> as the most common circuit topology. In this structure, reverse-connected diodes are laterally placed within the input waveguide. The solder pads on both sides are connected to the waveguide walls, and the central solder pad is led out through a suspended microstrip line. The generated second harmonic passes through the matching circuit on the suspended microstrip and transitions to the waveguide at the output end, ultimately transmitted to the output waveguide.</w:t>
      </w:r>
    </w:p>
    <w:p w14:paraId="2B9A3AD5" w14:textId="77777777" w:rsidR="00D31248" w:rsidRPr="0011311D" w:rsidRDefault="00D31248" w:rsidP="00D31248">
      <w:pPr>
        <w:ind w:firstLineChars="200" w:firstLine="400"/>
        <w:rPr>
          <w:rFonts w:ascii="Times New Roman" w:hAnsi="Times New Roman" w:cs="Times New Roman"/>
          <w:kern w:val="44"/>
          <w:sz w:val="20"/>
          <w:szCs w:val="20"/>
        </w:rPr>
      </w:pPr>
      <w:r w:rsidRPr="0011311D">
        <w:rPr>
          <w:rFonts w:ascii="Times New Roman" w:hAnsi="Times New Roman" w:cs="Times New Roman"/>
          <w:kern w:val="44"/>
          <w:sz w:val="20"/>
          <w:szCs w:val="20"/>
        </w:rPr>
        <w:t xml:space="preserve">Since the dominant mode transmitted through the input waveguide is the TE10 mode, and the output suspended microstrip line supports the quasi-TEM mode, these two modes are orthogonal to each other.  Therefore, a natural mode isolation is formed between the input and output, eliminating the need for filters to prevent input signal leakage into the suspended microstrip.  This not only eliminates the losses introduced by filters but also simplifies the design of the frequency </w:t>
      </w:r>
      <w:r w:rsidRPr="0011311D">
        <w:rPr>
          <w:rFonts w:ascii="Times New Roman" w:hAnsi="Times New Roman" w:cs="Times New Roman" w:hint="eastAsia"/>
          <w:kern w:val="44"/>
          <w:sz w:val="20"/>
          <w:szCs w:val="20"/>
        </w:rPr>
        <w:t>multiplier</w:t>
      </w:r>
      <w:r w:rsidRPr="0011311D">
        <w:rPr>
          <w:rFonts w:ascii="Times New Roman" w:hAnsi="Times New Roman" w:cs="Times New Roman"/>
          <w:kern w:val="44"/>
          <w:sz w:val="20"/>
          <w:szCs w:val="20"/>
        </w:rPr>
        <w:t>.</w:t>
      </w:r>
    </w:p>
    <w:p w14:paraId="56CFD15F" w14:textId="77777777" w:rsidR="00D31248" w:rsidRPr="0011311D" w:rsidRDefault="00D31248" w:rsidP="00D31248">
      <w:pPr>
        <w:ind w:firstLineChars="200" w:firstLine="400"/>
        <w:rPr>
          <w:rFonts w:ascii="Times New Roman" w:hAnsi="Times New Roman" w:cs="Times New Roman"/>
          <w:kern w:val="44"/>
          <w:sz w:val="20"/>
          <w:szCs w:val="20"/>
        </w:rPr>
      </w:pPr>
      <w:r w:rsidRPr="0011311D">
        <w:rPr>
          <w:rFonts w:ascii="Times New Roman" w:hAnsi="Times New Roman" w:cs="Times New Roman"/>
          <w:kern w:val="44"/>
          <w:sz w:val="20"/>
          <w:szCs w:val="20"/>
        </w:rPr>
        <w:t>On the other hand, the balanced configuration of the diodes ensures that the power levels of all odd-order harmonics in the input signal are strongly suppressed, and only even-order harmonics are output on the suspended microstrip. This enhances the purity of the output spectrum. The level balance and symmetry of this circuit rely more on the superior accuracy of the MMIC chip photolithography manufacturing than on the precision of manually assembling multiple devices, especially at higher frequencies. This significantly reduces waveguide losses resulting from the use of unnecessary waveguide power combiner structures.</w:t>
      </w:r>
    </w:p>
    <w:p w14:paraId="7DA01B19" w14:textId="77777777" w:rsidR="00D31248" w:rsidRPr="0011311D" w:rsidRDefault="00D31248" w:rsidP="00D31248">
      <w:pPr>
        <w:ind w:firstLineChars="200" w:firstLine="400"/>
        <w:rPr>
          <w:rFonts w:ascii="Times New Roman" w:hAnsi="Times New Roman" w:cs="Times New Roman"/>
          <w:kern w:val="44"/>
          <w:sz w:val="20"/>
          <w:szCs w:val="20"/>
        </w:rPr>
      </w:pPr>
      <w:r w:rsidRPr="0011311D">
        <w:rPr>
          <w:rFonts w:ascii="Times New Roman" w:hAnsi="Times New Roman" w:cs="Times New Roman"/>
          <w:kern w:val="44"/>
          <w:sz w:val="20"/>
          <w:szCs w:val="20"/>
        </w:rPr>
        <w:t>The operating principle of a balanced frequency doubler can be analyzed straightforwardly, assuming that the diodes on both sides are symmetric and satisfy the same nonlinear equation. In this case, the current through the diode branches on both sides can be expanded into a Taylor series and represented as Equation (A) and Equation (B) respectively:</w:t>
      </w:r>
    </w:p>
    <w:p w14:paraId="023C9C60" w14:textId="77777777" w:rsidR="00D31248" w:rsidRPr="0011311D" w:rsidRDefault="00D31248" w:rsidP="00D31248">
      <w:pPr>
        <w:ind w:firstLineChars="200" w:firstLine="400"/>
        <w:rPr>
          <w:rFonts w:ascii="Times New Roman" w:hAnsi="Times New Roman" w:cs="Times New Roman"/>
          <w:kern w:val="44"/>
          <w:sz w:val="20"/>
          <w:szCs w:val="20"/>
        </w:rPr>
      </w:pPr>
      <w:r w:rsidRPr="0011311D">
        <w:rPr>
          <w:rFonts w:ascii="Times New Roman" w:hAnsi="Times New Roman" w:cs="Times New Roman"/>
          <w:kern w:val="44"/>
          <w:sz w:val="20"/>
          <w:szCs w:val="20"/>
        </w:rPr>
        <w:t>(A) The expansion of current through the diode branch on the first side:</w:t>
      </w:r>
    </w:p>
    <w:p w14:paraId="6A47BFF3" w14:textId="77777777" w:rsidR="00D31248" w:rsidRPr="0011311D" w:rsidRDefault="00D31248" w:rsidP="00D31248">
      <w:pPr>
        <w:ind w:firstLineChars="200" w:firstLine="400"/>
        <w:jc w:val="right"/>
        <w:rPr>
          <w:rFonts w:ascii="Times New Roman" w:hAnsi="Times New Roman" w:cs="Times New Roman"/>
          <w:kern w:val="44"/>
          <w:sz w:val="20"/>
          <w:szCs w:val="20"/>
        </w:rPr>
      </w:pPr>
      <w:r w:rsidRPr="0011311D">
        <w:rPr>
          <w:rFonts w:ascii="Times New Roman" w:hAnsi="Times New Roman" w:cs="Times New Roman"/>
          <w:kern w:val="44"/>
          <w:position w:val="-14"/>
          <w:sz w:val="20"/>
          <w:szCs w:val="20"/>
        </w:rPr>
        <w:object w:dxaOrig="4580" w:dyaOrig="400" w14:anchorId="7EBE1B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6.95pt;height:20.15pt" o:ole="">
            <v:imagedata r:id="rId9" o:title=""/>
          </v:shape>
          <o:OLEObject Type="Embed" ProgID="Equation.DSMT4" ShapeID="_x0000_i1025" DrawAspect="Content" ObjectID="_1780476939" r:id="rId10"/>
        </w:object>
      </w:r>
      <w:r w:rsidRPr="0011311D">
        <w:rPr>
          <w:rFonts w:ascii="Times New Roman" w:hAnsi="Times New Roman" w:cs="Times New Roman"/>
          <w:kern w:val="44"/>
          <w:sz w:val="20"/>
          <w:szCs w:val="20"/>
        </w:rPr>
        <w:t xml:space="preserve">                           (A)</w:t>
      </w:r>
    </w:p>
    <w:p w14:paraId="5D9BCC82" w14:textId="77777777" w:rsidR="00D31248" w:rsidRPr="0011311D" w:rsidRDefault="00D31248" w:rsidP="00D31248">
      <w:pPr>
        <w:ind w:firstLineChars="200" w:firstLine="400"/>
        <w:rPr>
          <w:rFonts w:ascii="Times New Roman" w:hAnsi="Times New Roman" w:cs="Times New Roman"/>
          <w:kern w:val="44"/>
          <w:sz w:val="20"/>
          <w:szCs w:val="20"/>
        </w:rPr>
      </w:pPr>
      <w:r w:rsidRPr="0011311D">
        <w:rPr>
          <w:rFonts w:ascii="Times New Roman" w:hAnsi="Times New Roman" w:cs="Times New Roman"/>
          <w:kern w:val="44"/>
          <w:sz w:val="20"/>
          <w:szCs w:val="20"/>
        </w:rPr>
        <w:t>(B) The expansion of current through the diode branch on the second side:</w:t>
      </w:r>
    </w:p>
    <w:p w14:paraId="3D01720A" w14:textId="77777777" w:rsidR="00D31248" w:rsidRPr="0011311D" w:rsidRDefault="00D31248" w:rsidP="00D31248">
      <w:pPr>
        <w:jc w:val="right"/>
        <w:rPr>
          <w:rFonts w:ascii="Times New Roman" w:hAnsi="Times New Roman" w:cs="Times New Roman"/>
          <w:kern w:val="44"/>
          <w:sz w:val="20"/>
          <w:szCs w:val="20"/>
        </w:rPr>
      </w:pPr>
      <w:r w:rsidRPr="0011311D">
        <w:rPr>
          <w:rFonts w:ascii="Times New Roman" w:hAnsi="Times New Roman" w:cs="Times New Roman"/>
          <w:kern w:val="44"/>
          <w:position w:val="-14"/>
          <w:sz w:val="20"/>
          <w:szCs w:val="20"/>
        </w:rPr>
        <w:object w:dxaOrig="4740" w:dyaOrig="400" w14:anchorId="5E42F0A6">
          <v:shape id="_x0000_i1026" type="#_x0000_t75" style="width:236.15pt;height:20.15pt" o:ole="">
            <v:imagedata r:id="rId11" o:title=""/>
          </v:shape>
          <o:OLEObject Type="Embed" ProgID="Equation.DSMT4" ShapeID="_x0000_i1026" DrawAspect="Content" ObjectID="_1780476940" r:id="rId12"/>
        </w:object>
      </w:r>
      <w:r w:rsidRPr="0011311D">
        <w:rPr>
          <w:rFonts w:ascii="Times New Roman" w:hAnsi="Times New Roman" w:cs="Times New Roman"/>
          <w:kern w:val="44"/>
          <w:sz w:val="20"/>
          <w:szCs w:val="20"/>
        </w:rPr>
        <w:t xml:space="preserve">                        (B)</w:t>
      </w:r>
    </w:p>
    <w:p w14:paraId="7B80C92A" w14:textId="77777777" w:rsidR="00D31248" w:rsidRPr="0011311D" w:rsidRDefault="00D31248" w:rsidP="00D31248">
      <w:pPr>
        <w:ind w:firstLineChars="200" w:firstLine="400"/>
        <w:rPr>
          <w:rFonts w:ascii="Times New Roman" w:hAnsi="Times New Roman" w:cs="Times New Roman"/>
          <w:kern w:val="44"/>
          <w:sz w:val="20"/>
          <w:szCs w:val="20"/>
        </w:rPr>
      </w:pPr>
      <w:r w:rsidRPr="0011311D">
        <w:rPr>
          <w:rFonts w:ascii="Times New Roman" w:hAnsi="Times New Roman" w:cs="Times New Roman"/>
          <w:kern w:val="44"/>
          <w:sz w:val="20"/>
          <w:szCs w:val="20"/>
        </w:rPr>
        <w:lastRenderedPageBreak/>
        <w:t xml:space="preserve">Here, </w:t>
      </w:r>
      <w:r w:rsidRPr="0011311D">
        <w:rPr>
          <w:rFonts w:ascii="Times New Roman" w:hAnsi="Times New Roman" w:cs="Times New Roman"/>
          <w:kern w:val="44"/>
          <w:position w:val="-12"/>
          <w:sz w:val="20"/>
          <w:szCs w:val="20"/>
        </w:rPr>
        <w:object w:dxaOrig="180" w:dyaOrig="360" w14:anchorId="4916F323">
          <v:shape id="_x0000_i1027" type="#_x0000_t75" style="width:6.35pt;height:20.15pt" o:ole="">
            <v:imagedata r:id="rId13" o:title=""/>
          </v:shape>
          <o:OLEObject Type="Embed" ProgID="Equation.DSMT4" ShapeID="_x0000_i1027" DrawAspect="Content" ObjectID="_1780476941" r:id="rId14"/>
        </w:object>
      </w:r>
      <w:r w:rsidRPr="0011311D">
        <w:rPr>
          <w:rFonts w:ascii="Times New Roman" w:hAnsi="Times New Roman" w:cs="Times New Roman"/>
          <w:kern w:val="44"/>
          <w:sz w:val="20"/>
          <w:szCs w:val="20"/>
        </w:rPr>
        <w:t xml:space="preserve"> and </w:t>
      </w:r>
      <w:r w:rsidRPr="0011311D">
        <w:rPr>
          <w:rFonts w:ascii="Times New Roman" w:hAnsi="Times New Roman" w:cs="Times New Roman"/>
          <w:kern w:val="44"/>
          <w:position w:val="-12"/>
          <w:sz w:val="20"/>
          <w:szCs w:val="20"/>
        </w:rPr>
        <w:object w:dxaOrig="200" w:dyaOrig="360" w14:anchorId="107A4F99">
          <v:shape id="_x0000_i1028" type="#_x0000_t75" style="width:6.35pt;height:20.15pt" o:ole="">
            <v:imagedata r:id="rId15" o:title=""/>
          </v:shape>
          <o:OLEObject Type="Embed" ProgID="Equation.DSMT4" ShapeID="_x0000_i1028" DrawAspect="Content" ObjectID="_1780476942" r:id="rId16"/>
        </w:object>
      </w:r>
      <w:r w:rsidRPr="0011311D">
        <w:rPr>
          <w:rFonts w:ascii="Times New Roman" w:hAnsi="Times New Roman" w:cs="Times New Roman"/>
          <w:kern w:val="44"/>
          <w:sz w:val="20"/>
          <w:szCs w:val="20"/>
        </w:rPr>
        <w:t xml:space="preserve"> represent the currents through the diode branches on the first and second sides, respectively, while </w:t>
      </w:r>
      <w:r w:rsidRPr="0011311D">
        <w:rPr>
          <w:rFonts w:ascii="Times New Roman" w:hAnsi="Times New Roman" w:cs="Times New Roman"/>
          <w:kern w:val="44"/>
          <w:position w:val="-6"/>
          <w:sz w:val="20"/>
          <w:szCs w:val="20"/>
        </w:rPr>
        <w:object w:dxaOrig="180" w:dyaOrig="220" w14:anchorId="3F4C57CE">
          <v:shape id="_x0000_i1029" type="#_x0000_t75" style="width:6.35pt;height:13.8pt" o:ole="">
            <v:imagedata r:id="rId17" o:title=""/>
          </v:shape>
          <o:OLEObject Type="Embed" ProgID="Equation.DSMT4" ShapeID="_x0000_i1029" DrawAspect="Content" ObjectID="_1780476943" r:id="rId18"/>
        </w:object>
      </w:r>
      <w:r w:rsidRPr="0011311D">
        <w:rPr>
          <w:rFonts w:ascii="Times New Roman" w:hAnsi="Times New Roman" w:cs="Times New Roman"/>
          <w:kern w:val="44"/>
          <w:sz w:val="20"/>
          <w:szCs w:val="20"/>
        </w:rPr>
        <w:t xml:space="preserve">  represents the voltage applied to the diode pair.</w:t>
      </w:r>
    </w:p>
    <w:p w14:paraId="16B240CE" w14:textId="77777777" w:rsidR="00D31248" w:rsidRPr="0011311D" w:rsidRDefault="00D31248" w:rsidP="00D31248">
      <w:pPr>
        <w:ind w:firstLine="420"/>
        <w:rPr>
          <w:rFonts w:ascii="Times New Roman" w:hAnsi="Times New Roman" w:cs="Times New Roman"/>
          <w:kern w:val="44"/>
          <w:sz w:val="20"/>
          <w:szCs w:val="20"/>
        </w:rPr>
      </w:pPr>
      <w:r w:rsidRPr="0011311D">
        <w:rPr>
          <w:rFonts w:ascii="Times New Roman" w:hAnsi="Times New Roman" w:cs="Times New Roman"/>
          <w:kern w:val="44"/>
          <w:sz w:val="20"/>
          <w:szCs w:val="20"/>
        </w:rPr>
        <w:t>It is important to note that this analysis is based on the expansion of the nonlinear characteristics of the diode branches and assumes their symmetry. The design and adjustment of this balanced frequency doubler rely on precise current and voltage balance, as well as accurate modeling and control of the nonlinear characteristics, to achieve efficient frequency doubling performance.</w:t>
      </w:r>
    </w:p>
    <w:p w14:paraId="4F6CCBB8" w14:textId="77777777" w:rsidR="00D31248" w:rsidRPr="0011311D" w:rsidRDefault="00D31248" w:rsidP="00D31248">
      <w:pPr>
        <w:ind w:firstLine="420"/>
        <w:rPr>
          <w:rFonts w:ascii="Times New Roman" w:hAnsi="Times New Roman" w:cs="Times New Roman"/>
          <w:kern w:val="44"/>
          <w:sz w:val="20"/>
          <w:szCs w:val="20"/>
        </w:rPr>
      </w:pPr>
      <w:r w:rsidRPr="0011311D">
        <w:rPr>
          <w:rFonts w:ascii="Times New Roman" w:hAnsi="Times New Roman" w:cs="Times New Roman"/>
          <w:kern w:val="44"/>
          <w:sz w:val="20"/>
          <w:szCs w:val="20"/>
        </w:rPr>
        <w:t>The total current on the suspended microstrip line is the sum of the currents in the two side branches and can be written as Equation (C):</w:t>
      </w:r>
    </w:p>
    <w:p w14:paraId="1BD0241E" w14:textId="77777777" w:rsidR="00D31248" w:rsidRPr="0011311D" w:rsidRDefault="00D31248" w:rsidP="00D31248">
      <w:pPr>
        <w:wordWrap w:val="0"/>
        <w:jc w:val="right"/>
        <w:rPr>
          <w:rFonts w:ascii="Times New Roman" w:hAnsi="Times New Roman" w:cs="Times New Roman"/>
          <w:kern w:val="44"/>
          <w:sz w:val="20"/>
          <w:szCs w:val="20"/>
        </w:rPr>
      </w:pPr>
      <w:r w:rsidRPr="0011311D">
        <w:rPr>
          <w:rFonts w:ascii="Times New Roman" w:hAnsi="Times New Roman" w:cs="Times New Roman"/>
          <w:kern w:val="44"/>
          <w:position w:val="-12"/>
          <w:sz w:val="20"/>
          <w:szCs w:val="20"/>
        </w:rPr>
        <w:object w:dxaOrig="3360" w:dyaOrig="380" w14:anchorId="6ED14EA7">
          <v:shape id="_x0000_i1030" type="#_x0000_t75" style="width:163.6pt;height:20.15pt" o:ole="">
            <v:imagedata r:id="rId19" o:title=""/>
          </v:shape>
          <o:OLEObject Type="Embed" ProgID="Equation.DSMT4" ShapeID="_x0000_i1030" DrawAspect="Content" ObjectID="_1780476944" r:id="rId20"/>
        </w:object>
      </w:r>
      <w:r w:rsidRPr="0011311D">
        <w:rPr>
          <w:rFonts w:ascii="Times New Roman" w:hAnsi="Times New Roman" w:cs="Times New Roman"/>
          <w:kern w:val="44"/>
          <w:sz w:val="20"/>
          <w:szCs w:val="20"/>
        </w:rPr>
        <w:t xml:space="preserve">                                    </w:t>
      </w:r>
      <w:r w:rsidRPr="0011311D">
        <w:rPr>
          <w:rFonts w:ascii="Times New Roman" w:hAnsi="Times New Roman" w:cs="Times New Roman" w:hint="eastAsia"/>
          <w:kern w:val="44"/>
          <w:sz w:val="20"/>
          <w:szCs w:val="20"/>
        </w:rPr>
        <w:t>(</w:t>
      </w:r>
      <w:r w:rsidRPr="0011311D">
        <w:rPr>
          <w:rFonts w:ascii="Times New Roman" w:hAnsi="Times New Roman" w:cs="Times New Roman"/>
          <w:kern w:val="44"/>
          <w:sz w:val="20"/>
          <w:szCs w:val="20"/>
        </w:rPr>
        <w:t>C)</w:t>
      </w:r>
    </w:p>
    <w:p w14:paraId="1B065750" w14:textId="77777777" w:rsidR="00D31248" w:rsidRPr="0011311D" w:rsidRDefault="00D31248" w:rsidP="00D31248">
      <w:pPr>
        <w:widowControl/>
        <w:jc w:val="left"/>
        <w:rPr>
          <w:rFonts w:ascii="Times New Roman" w:hAnsi="Times New Roman" w:cs="Times New Roman"/>
          <w:kern w:val="44"/>
          <w:sz w:val="20"/>
          <w:szCs w:val="20"/>
        </w:rPr>
      </w:pPr>
      <w:r w:rsidRPr="0011311D">
        <w:rPr>
          <w:rFonts w:ascii="Times New Roman" w:hAnsi="Times New Roman" w:cs="Times New Roman"/>
          <w:kern w:val="44"/>
          <w:sz w:val="20"/>
          <w:szCs w:val="20"/>
        </w:rPr>
        <w:t xml:space="preserve">From Equation (C), it can be seen that all odd-order harmonics are suppressed in its output current spectrum, leaving only even-order harmonics. Assuming the input signal </w:t>
      </w:r>
      <w:r w:rsidRPr="0011311D">
        <w:rPr>
          <w:rFonts w:ascii="Times New Roman" w:hAnsi="Times New Roman" w:cs="Times New Roman"/>
          <w:kern w:val="44"/>
          <w:position w:val="-14"/>
          <w:sz w:val="20"/>
          <w:szCs w:val="20"/>
        </w:rPr>
        <w:object w:dxaOrig="1380" w:dyaOrig="400" w14:anchorId="6EC34E2F">
          <v:shape id="_x0000_i1031" type="#_x0000_t75" style="width:1in;height:20.15pt" o:ole="">
            <v:imagedata r:id="rId21" o:title=""/>
          </v:shape>
          <o:OLEObject Type="Embed" ProgID="Equation.DSMT4" ShapeID="_x0000_i1031" DrawAspect="Content" ObjectID="_1780476945" r:id="rId22"/>
        </w:object>
      </w:r>
      <w:r w:rsidRPr="0011311D">
        <w:rPr>
          <w:rFonts w:ascii="Times New Roman" w:hAnsi="Times New Roman" w:cs="Times New Roman"/>
          <w:kern w:val="44"/>
          <w:sz w:val="20"/>
          <w:szCs w:val="20"/>
        </w:rPr>
        <w:t>, the output current is represented by Equation (D):</w:t>
      </w:r>
    </w:p>
    <w:p w14:paraId="5D504551" w14:textId="77777777" w:rsidR="00D31248" w:rsidRPr="0011311D" w:rsidRDefault="00D31248" w:rsidP="00D31248">
      <w:pPr>
        <w:widowControl/>
        <w:jc w:val="center"/>
        <w:rPr>
          <w:rFonts w:ascii="Times New Roman" w:hAnsi="Times New Roman" w:cs="Times New Roman"/>
          <w:kern w:val="44"/>
          <w:sz w:val="20"/>
          <w:szCs w:val="20"/>
        </w:rPr>
      </w:pPr>
      <w:r w:rsidRPr="0011311D">
        <w:rPr>
          <w:rFonts w:ascii="Times New Roman" w:hAnsi="Times New Roman" w:cs="Times New Roman"/>
          <w:kern w:val="44"/>
          <w:position w:val="-16"/>
          <w:sz w:val="20"/>
          <w:szCs w:val="20"/>
        </w:rPr>
        <w:object w:dxaOrig="4800" w:dyaOrig="480" w14:anchorId="559B421B">
          <v:shape id="_x0000_i1032" type="#_x0000_t75" style="width:238.45pt;height:20.15pt" o:ole="">
            <v:imagedata r:id="rId23" o:title=""/>
          </v:shape>
          <o:OLEObject Type="Embed" ProgID="Equation.DSMT4" ShapeID="_x0000_i1032" DrawAspect="Content" ObjectID="_1780476946" r:id="rId24"/>
        </w:object>
      </w:r>
    </w:p>
    <w:p w14:paraId="6B802989" w14:textId="77777777" w:rsidR="00D31248" w:rsidRPr="0011311D" w:rsidRDefault="00D31248" w:rsidP="00D31248">
      <w:pPr>
        <w:widowControl/>
        <w:jc w:val="right"/>
        <w:rPr>
          <w:rFonts w:ascii="Times New Roman" w:hAnsi="Times New Roman" w:cs="Times New Roman"/>
          <w:kern w:val="44"/>
          <w:sz w:val="20"/>
          <w:szCs w:val="20"/>
        </w:rPr>
      </w:pPr>
      <w:r w:rsidRPr="0011311D">
        <w:rPr>
          <w:rFonts w:ascii="Times New Roman" w:hAnsi="Times New Roman" w:cs="Times New Roman"/>
          <w:kern w:val="44"/>
          <w:position w:val="-28"/>
          <w:sz w:val="20"/>
          <w:szCs w:val="20"/>
        </w:rPr>
        <w:object w:dxaOrig="7040" w:dyaOrig="680" w14:anchorId="4043E857">
          <v:shape id="_x0000_i1033" type="#_x0000_t75" style="width:280.5pt;height:29.95pt" o:ole="">
            <v:imagedata r:id="rId25" o:title=""/>
          </v:shape>
          <o:OLEObject Type="Embed" ProgID="Equation.DSMT4" ShapeID="_x0000_i1033" DrawAspect="Content" ObjectID="_1780476947" r:id="rId26"/>
        </w:object>
      </w:r>
      <w:r w:rsidRPr="0011311D">
        <w:rPr>
          <w:rFonts w:ascii="Times New Roman" w:hAnsi="Times New Roman" w:cs="Times New Roman"/>
          <w:kern w:val="44"/>
          <w:sz w:val="20"/>
          <w:szCs w:val="20"/>
        </w:rPr>
        <w:t xml:space="preserve"> </w:t>
      </w:r>
      <w:r>
        <w:rPr>
          <w:rFonts w:ascii="Times New Roman" w:hAnsi="Times New Roman" w:cs="Times New Roman" w:hint="eastAsia"/>
          <w:kern w:val="44"/>
          <w:sz w:val="20"/>
          <w:szCs w:val="20"/>
        </w:rPr>
        <w:t xml:space="preserve">        </w:t>
      </w:r>
      <w:r w:rsidRPr="0011311D">
        <w:rPr>
          <w:rFonts w:ascii="Times New Roman" w:hAnsi="Times New Roman" w:cs="Times New Roman"/>
          <w:kern w:val="44"/>
          <w:sz w:val="20"/>
          <w:szCs w:val="20"/>
        </w:rPr>
        <w:t xml:space="preserve">  (D)</w:t>
      </w:r>
    </w:p>
    <w:p w14:paraId="2EC6694D" w14:textId="77777777" w:rsidR="00D31248" w:rsidRPr="0011311D" w:rsidRDefault="00D31248" w:rsidP="00D31248">
      <w:pPr>
        <w:widowControl/>
        <w:rPr>
          <w:rFonts w:ascii="Times New Roman" w:hAnsi="Times New Roman" w:cs="Times New Roman"/>
          <w:kern w:val="44"/>
          <w:sz w:val="20"/>
          <w:szCs w:val="20"/>
        </w:rPr>
      </w:pPr>
      <w:r w:rsidRPr="0011311D">
        <w:rPr>
          <w:rFonts w:ascii="Times New Roman" w:hAnsi="Times New Roman" w:cs="Times New Roman"/>
          <w:kern w:val="44"/>
          <w:sz w:val="20"/>
          <w:szCs w:val="20"/>
        </w:rPr>
        <w:t>In the equation, the DC component proportion is the largest, and the even-order harmonic components gradually decrease, indicating lower efficiency for higher-order harmonics.  By establishing an appropriate matching network, the second harmonic component can be selected to the maximum extent. Combined with the selective frequency characteristic of the waveguide, higher-order harmonic components can be interrupted, thus obtaining a purer THz wave.</w:t>
      </w:r>
    </w:p>
    <w:p w14:paraId="0CC2849F" w14:textId="77777777" w:rsidR="00D31248" w:rsidRPr="00AF61FA" w:rsidRDefault="00D31248" w:rsidP="00D31248">
      <w:pPr>
        <w:widowControl/>
        <w:jc w:val="left"/>
        <w:rPr>
          <w:rFonts w:ascii="Times New Roman" w:hAnsi="Times New Roman" w:cs="Times New Roman"/>
          <w:kern w:val="44"/>
          <w:sz w:val="24"/>
          <w:szCs w:val="24"/>
        </w:rPr>
      </w:pPr>
      <w:r>
        <w:rPr>
          <w:rFonts w:ascii="Times New Roman" w:hAnsi="Times New Roman" w:cs="Times New Roman"/>
          <w:kern w:val="44"/>
          <w:sz w:val="24"/>
          <w:szCs w:val="24"/>
        </w:rPr>
        <w:br w:type="page"/>
      </w:r>
    </w:p>
    <w:p w14:paraId="1D666C7B" w14:textId="77777777" w:rsidR="00D31248" w:rsidRPr="0011311D" w:rsidRDefault="00D31248" w:rsidP="00D31248">
      <w:pPr>
        <w:rPr>
          <w:rFonts w:ascii="Times New Roman" w:hAnsi="Times New Roman" w:cs="Times New Roman"/>
          <w:b/>
          <w:bCs/>
          <w:sz w:val="24"/>
          <w:szCs w:val="28"/>
        </w:rPr>
      </w:pPr>
      <w:r w:rsidRPr="0011311D">
        <w:rPr>
          <w:rFonts w:ascii="Times New Roman" w:hAnsi="Times New Roman" w:cs="Times New Roman"/>
          <w:b/>
          <w:bCs/>
          <w:sz w:val="24"/>
          <w:szCs w:val="28"/>
        </w:rPr>
        <w:lastRenderedPageBreak/>
        <w:t xml:space="preserve">Extended Data </w:t>
      </w:r>
      <w:r w:rsidRPr="0011311D">
        <w:rPr>
          <w:rFonts w:ascii="Times New Roman" w:hAnsi="Times New Roman" w:cs="Times New Roman" w:hint="eastAsia"/>
          <w:b/>
          <w:bCs/>
          <w:sz w:val="24"/>
          <w:szCs w:val="28"/>
        </w:rPr>
        <w:t>2</w:t>
      </w:r>
      <w:r w:rsidRPr="0011311D">
        <w:rPr>
          <w:rFonts w:ascii="Times New Roman" w:hAnsi="Times New Roman" w:cs="Times New Roman"/>
          <w:b/>
          <w:bCs/>
          <w:sz w:val="24"/>
          <w:szCs w:val="28"/>
        </w:rPr>
        <w:t>: The preparation process of the chip</w:t>
      </w:r>
    </w:p>
    <w:p w14:paraId="7D5C5E4E" w14:textId="77777777" w:rsidR="00D31248" w:rsidRDefault="00D31248" w:rsidP="00D31248">
      <w:pPr>
        <w:jc w:val="center"/>
        <w:rPr>
          <w:noProof/>
        </w:rPr>
      </w:pPr>
      <w:r>
        <w:rPr>
          <w:noProof/>
        </w:rPr>
        <w:drawing>
          <wp:inline distT="0" distB="0" distL="0" distR="0" wp14:anchorId="2AEE8D82" wp14:editId="1CB76F1F">
            <wp:extent cx="4735462" cy="3198233"/>
            <wp:effectExtent l="0" t="0" r="8255" b="2540"/>
            <wp:docPr id="2038218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27">
                      <a:extLst>
                        <a:ext uri="{28A0092B-C50C-407E-A947-70E740481C1C}">
                          <a14:useLocalDpi xmlns:a14="http://schemas.microsoft.com/office/drawing/2010/main" val="0"/>
                        </a:ext>
                      </a:extLst>
                    </a:blip>
                    <a:srcRect l="7575"/>
                    <a:stretch/>
                  </pic:blipFill>
                  <pic:spPr bwMode="auto">
                    <a:xfrm>
                      <a:off x="0" y="0"/>
                      <a:ext cx="4781590" cy="3229387"/>
                    </a:xfrm>
                    <a:prstGeom prst="rect">
                      <a:avLst/>
                    </a:prstGeom>
                    <a:noFill/>
                    <a:ln>
                      <a:noFill/>
                    </a:ln>
                    <a:extLst>
                      <a:ext uri="{53640926-AAD7-44D8-BBD7-CCE9431645EC}">
                        <a14:shadowObscured xmlns:a14="http://schemas.microsoft.com/office/drawing/2010/main"/>
                      </a:ext>
                    </a:extLst>
                  </pic:spPr>
                </pic:pic>
              </a:graphicData>
            </a:graphic>
          </wp:inline>
        </w:drawing>
      </w:r>
    </w:p>
    <w:p w14:paraId="5B9ADC4E" w14:textId="77777777" w:rsidR="00D31248" w:rsidRPr="0011311D" w:rsidRDefault="00D31248" w:rsidP="00D31248">
      <w:pPr>
        <w:rPr>
          <w:rFonts w:eastAsiaTheme="minorHAnsi" w:cs="Times New Roman"/>
          <w:kern w:val="44"/>
          <w:sz w:val="16"/>
          <w:szCs w:val="16"/>
        </w:rPr>
      </w:pPr>
      <w:r w:rsidRPr="0011311D">
        <w:rPr>
          <w:rFonts w:eastAsiaTheme="minorHAnsi" w:cs="Times New Roman"/>
          <w:b/>
          <w:bCs/>
          <w:kern w:val="44"/>
          <w:sz w:val="16"/>
          <w:szCs w:val="16"/>
        </w:rPr>
        <w:t>Extended Data Fig.</w:t>
      </w:r>
      <w:r w:rsidRPr="0011311D">
        <w:rPr>
          <w:rFonts w:eastAsiaTheme="minorHAnsi" w:cs="Times New Roman" w:hint="eastAsia"/>
          <w:b/>
          <w:bCs/>
          <w:kern w:val="44"/>
          <w:sz w:val="16"/>
          <w:szCs w:val="16"/>
        </w:rPr>
        <w:t>2</w:t>
      </w:r>
      <w:r w:rsidRPr="0011311D">
        <w:rPr>
          <w:rFonts w:eastAsiaTheme="minorHAnsi" w:cs="Times New Roman"/>
          <w:b/>
          <w:bCs/>
          <w:kern w:val="44"/>
          <w:sz w:val="16"/>
          <w:szCs w:val="16"/>
        </w:rPr>
        <w:t>.</w:t>
      </w:r>
      <w:r w:rsidRPr="0011311D">
        <w:rPr>
          <w:rFonts w:eastAsiaTheme="minorHAnsi" w:cs="Times New Roman"/>
          <w:kern w:val="44"/>
          <w:sz w:val="16"/>
          <w:szCs w:val="16"/>
        </w:rPr>
        <w:t xml:space="preserve"> Substrate device fabrication process steps.</w:t>
      </w:r>
      <w:r w:rsidRPr="0011311D">
        <w:rPr>
          <w:rFonts w:eastAsiaTheme="minorHAnsi" w:cs="Times New Roman" w:hint="eastAsia"/>
          <w:kern w:val="44"/>
          <w:sz w:val="16"/>
          <w:szCs w:val="16"/>
        </w:rPr>
        <w:t xml:space="preserve"> </w:t>
      </w:r>
      <w:r w:rsidRPr="0011311D">
        <w:rPr>
          <w:rFonts w:eastAsiaTheme="minorHAnsi" w:cs="Times New Roman" w:hint="eastAsia"/>
          <w:b/>
          <w:bCs/>
          <w:kern w:val="44"/>
          <w:sz w:val="16"/>
          <w:szCs w:val="16"/>
        </w:rPr>
        <w:t xml:space="preserve">a, </w:t>
      </w:r>
      <w:r w:rsidRPr="0011311D">
        <w:rPr>
          <w:rFonts w:eastAsiaTheme="minorHAnsi" w:cs="Times New Roman"/>
          <w:kern w:val="44"/>
          <w:sz w:val="16"/>
          <w:szCs w:val="16"/>
        </w:rPr>
        <w:t xml:space="preserve">Mesa definition; </w:t>
      </w:r>
      <w:r w:rsidRPr="0011311D">
        <w:rPr>
          <w:rFonts w:eastAsiaTheme="minorHAnsi" w:cs="Times New Roman" w:hint="eastAsia"/>
          <w:b/>
          <w:bCs/>
          <w:kern w:val="44"/>
          <w:sz w:val="16"/>
          <w:szCs w:val="16"/>
        </w:rPr>
        <w:t>b,</w:t>
      </w:r>
      <w:r w:rsidRPr="0011311D">
        <w:rPr>
          <w:rFonts w:eastAsiaTheme="minorHAnsi" w:cs="Times New Roman" w:hint="eastAsia"/>
          <w:kern w:val="44"/>
          <w:sz w:val="16"/>
          <w:szCs w:val="16"/>
        </w:rPr>
        <w:t xml:space="preserve"> </w:t>
      </w:r>
      <w:r w:rsidRPr="0011311D">
        <w:rPr>
          <w:rFonts w:eastAsiaTheme="minorHAnsi" w:cs="Times New Roman"/>
          <w:kern w:val="44"/>
          <w:sz w:val="16"/>
          <w:szCs w:val="16"/>
        </w:rPr>
        <w:t xml:space="preserve">Ohmic definition. </w:t>
      </w:r>
      <w:r w:rsidRPr="0011311D">
        <w:rPr>
          <w:rFonts w:eastAsiaTheme="minorHAnsi" w:cs="Times New Roman" w:hint="eastAsia"/>
          <w:b/>
          <w:bCs/>
          <w:kern w:val="44"/>
          <w:sz w:val="16"/>
          <w:szCs w:val="16"/>
        </w:rPr>
        <w:t>c,</w:t>
      </w:r>
      <w:r w:rsidRPr="0011311D">
        <w:rPr>
          <w:rFonts w:eastAsiaTheme="minorHAnsi" w:cs="Times New Roman"/>
          <w:kern w:val="44"/>
          <w:sz w:val="16"/>
          <w:szCs w:val="16"/>
        </w:rPr>
        <w:t xml:space="preserve"> Schottky definition; </w:t>
      </w:r>
      <w:r w:rsidRPr="0011311D">
        <w:rPr>
          <w:rFonts w:eastAsiaTheme="minorHAnsi" w:cs="Times New Roman"/>
          <w:b/>
          <w:bCs/>
          <w:kern w:val="44"/>
          <w:sz w:val="16"/>
          <w:szCs w:val="16"/>
        </w:rPr>
        <w:t>d</w:t>
      </w:r>
      <w:r w:rsidRPr="0011311D">
        <w:rPr>
          <w:rFonts w:eastAsiaTheme="minorHAnsi" w:cs="Times New Roman" w:hint="eastAsia"/>
          <w:b/>
          <w:bCs/>
          <w:kern w:val="44"/>
          <w:sz w:val="16"/>
          <w:szCs w:val="16"/>
        </w:rPr>
        <w:t>,</w:t>
      </w:r>
      <w:r w:rsidRPr="0011311D">
        <w:rPr>
          <w:rFonts w:eastAsiaTheme="minorHAnsi" w:cs="Times New Roman"/>
          <w:kern w:val="44"/>
          <w:sz w:val="16"/>
          <w:szCs w:val="16"/>
        </w:rPr>
        <w:t xml:space="preserve"> Mesa etching and air-bridged Schottky deposition. </w:t>
      </w:r>
      <w:r w:rsidRPr="0011311D">
        <w:rPr>
          <w:rFonts w:eastAsiaTheme="minorHAnsi" w:cs="Times New Roman" w:hint="eastAsia"/>
          <w:b/>
          <w:bCs/>
          <w:kern w:val="44"/>
          <w:sz w:val="16"/>
          <w:szCs w:val="16"/>
        </w:rPr>
        <w:t xml:space="preserve">e, </w:t>
      </w:r>
      <w:r w:rsidRPr="0011311D">
        <w:rPr>
          <w:rFonts w:eastAsiaTheme="minorHAnsi" w:cs="Times New Roman"/>
          <w:kern w:val="44"/>
          <w:sz w:val="16"/>
          <w:szCs w:val="16"/>
        </w:rPr>
        <w:t xml:space="preserve">Bridge metal definition. </w:t>
      </w:r>
      <w:r w:rsidRPr="0011311D">
        <w:rPr>
          <w:rFonts w:eastAsiaTheme="minorHAnsi" w:cs="Times New Roman" w:hint="eastAsia"/>
          <w:b/>
          <w:bCs/>
          <w:kern w:val="44"/>
          <w:sz w:val="16"/>
          <w:szCs w:val="16"/>
        </w:rPr>
        <w:t>f,</w:t>
      </w:r>
      <w:r w:rsidRPr="0011311D">
        <w:rPr>
          <w:rFonts w:eastAsiaTheme="minorHAnsi" w:cs="Times New Roman"/>
          <w:kern w:val="44"/>
          <w:sz w:val="16"/>
          <w:szCs w:val="16"/>
        </w:rPr>
        <w:t xml:space="preserve"> Backside thinning and device separation.</w:t>
      </w:r>
    </w:p>
    <w:p w14:paraId="5F0293D8" w14:textId="77777777" w:rsidR="00D31248" w:rsidRPr="00122122" w:rsidRDefault="00D31248" w:rsidP="00D31248">
      <w:pPr>
        <w:rPr>
          <w:rFonts w:ascii="Times New Roman" w:hAnsi="Times New Roman" w:cs="Times New Roman"/>
          <w:kern w:val="44"/>
          <w:sz w:val="20"/>
          <w:szCs w:val="20"/>
        </w:rPr>
      </w:pPr>
      <w:r>
        <w:rPr>
          <w:noProof/>
        </w:rPr>
        <w:tab/>
      </w:r>
      <w:r w:rsidRPr="00122122">
        <w:rPr>
          <w:rFonts w:ascii="Times New Roman" w:hAnsi="Times New Roman" w:cs="Times New Roman"/>
          <w:kern w:val="44"/>
          <w:sz w:val="20"/>
          <w:szCs w:val="20"/>
        </w:rPr>
        <w:t>Extended Data 2 gives steps on the core substrate device fabrication process.</w:t>
      </w:r>
    </w:p>
    <w:p w14:paraId="00EEBAD0" w14:textId="77777777" w:rsidR="00D31248" w:rsidRPr="00122122" w:rsidRDefault="00D31248" w:rsidP="00D31248">
      <w:pPr>
        <w:widowControl/>
        <w:ind w:firstLine="420"/>
        <w:rPr>
          <w:rFonts w:ascii="Times New Roman" w:hAnsi="Times New Roman" w:cs="Times New Roman"/>
          <w:kern w:val="44"/>
          <w:sz w:val="20"/>
          <w:szCs w:val="20"/>
        </w:rPr>
      </w:pPr>
      <w:r w:rsidRPr="00122122">
        <w:rPr>
          <w:rFonts w:ascii="Times New Roman" w:hAnsi="Times New Roman" w:cs="Times New Roman"/>
          <w:kern w:val="44"/>
          <w:sz w:val="20"/>
          <w:szCs w:val="20"/>
        </w:rPr>
        <w:t>Compared with the traditional "flip-chip" method of assembling planar Schottky diodes on the circuit microstrip, the monolithic integration technology can greatly improve the performance of terahertz solid-state devices by growing diodes on the circuit substrate directly instead of manual assembly through the semiconductor process. The diodes are grown or lutted on a semi-insulating substrate, on which the beam leads are generated to provide a grounding potential for the diodes and support the entire circuit substrate.</w:t>
      </w:r>
      <w:r w:rsidRPr="00122122">
        <w:rPr>
          <w:rFonts w:hint="eastAsia"/>
          <w:sz w:val="20"/>
          <w:szCs w:val="20"/>
        </w:rPr>
        <w:t xml:space="preserve"> </w:t>
      </w:r>
      <w:r w:rsidRPr="00122122">
        <w:rPr>
          <w:rFonts w:ascii="Times New Roman" w:hAnsi="Times New Roman" w:cs="Times New Roman"/>
          <w:kern w:val="44"/>
          <w:sz w:val="20"/>
          <w:szCs w:val="20"/>
        </w:rPr>
        <w:t>This helps to realize unique diode arrangement structures, as conventional diodes are molded in one piece and modifying operations cannot be made.</w:t>
      </w:r>
      <w:r w:rsidRPr="00122122">
        <w:rPr>
          <w:sz w:val="20"/>
          <w:szCs w:val="20"/>
        </w:rPr>
        <w:t xml:space="preserve"> </w:t>
      </w:r>
      <w:r w:rsidRPr="00122122">
        <w:rPr>
          <w:rFonts w:ascii="Times New Roman" w:hAnsi="Times New Roman" w:cs="Times New Roman"/>
          <w:kern w:val="44"/>
          <w:sz w:val="20"/>
          <w:szCs w:val="20"/>
        </w:rPr>
        <w:t>For example, in this paper, we propose artificial microstructures for multi-anode SBDs, which need to be accomplished under an advanced monolithic integration process. The process steps used to fabricate the chips are described below.</w:t>
      </w:r>
    </w:p>
    <w:p w14:paraId="61815BE8" w14:textId="77777777" w:rsidR="00D31248" w:rsidRPr="00122122" w:rsidRDefault="00D31248" w:rsidP="00D31248">
      <w:pPr>
        <w:widowControl/>
        <w:ind w:firstLineChars="200" w:firstLine="400"/>
        <w:rPr>
          <w:rFonts w:ascii="Times New Roman" w:hAnsi="Times New Roman" w:cs="Times New Roman"/>
          <w:kern w:val="44"/>
          <w:sz w:val="20"/>
          <w:szCs w:val="20"/>
        </w:rPr>
      </w:pPr>
      <w:r w:rsidRPr="00122122">
        <w:rPr>
          <w:rFonts w:ascii="Times New Roman" w:hAnsi="Times New Roman" w:cs="Times New Roman"/>
          <w:kern w:val="44"/>
          <w:sz w:val="20"/>
          <w:szCs w:val="20"/>
        </w:rPr>
        <w:t>The structure of the GaAs monolithic Schottky diode is similar to the planar Schottky diode. The GaAs substrate serves as the bottom layer and the doping layers are grown on the base of the GaAs substrate. The high doping buffer layer (</w:t>
      </w:r>
      <w:r w:rsidRPr="00122122">
        <w:rPr>
          <w:rFonts w:ascii="Times New Roman" w:hAnsi="Times New Roman" w:cs="Times New Roman" w:hint="eastAsia"/>
          <w:kern w:val="44"/>
          <w:sz w:val="20"/>
          <w:szCs w:val="20"/>
        </w:rPr>
        <w:t>n</w:t>
      </w:r>
      <w:r w:rsidRPr="00122122">
        <w:rPr>
          <w:rFonts w:ascii="Times New Roman" w:hAnsi="Times New Roman" w:cs="Times New Roman"/>
          <w:kern w:val="44"/>
          <w:sz w:val="20"/>
          <w:szCs w:val="20"/>
        </w:rPr>
        <w:t xml:space="preserve"> +GaAs) is located between the epitaxial layer and the substrate, which prevents the impurities in the substrate from diffusing into the epitaxial layer, thus ensuring the electrical performance of the device. At the same time, the layer forms an ohmic contact with the pad metal, and the high doping concentration ensures a small ohmic resistance. The doping concentration of the layer is usually at the order of 10</w:t>
      </w:r>
      <w:r w:rsidRPr="00122122">
        <w:rPr>
          <w:rFonts w:ascii="Times New Roman" w:hAnsi="Times New Roman" w:cs="Times New Roman"/>
          <w:kern w:val="44"/>
          <w:sz w:val="20"/>
          <w:szCs w:val="20"/>
          <w:vertAlign w:val="superscript"/>
        </w:rPr>
        <w:t>18</w:t>
      </w:r>
      <w:r w:rsidRPr="00122122">
        <w:rPr>
          <w:rFonts w:ascii="Times New Roman" w:hAnsi="Times New Roman" w:cs="Times New Roman"/>
          <w:kern w:val="44"/>
          <w:sz w:val="20"/>
          <w:szCs w:val="20"/>
        </w:rPr>
        <w:t xml:space="preserve"> cm</w:t>
      </w:r>
      <w:r w:rsidRPr="00122122">
        <w:rPr>
          <w:rFonts w:ascii="Times New Roman" w:hAnsi="Times New Roman" w:cs="Times New Roman"/>
          <w:kern w:val="44"/>
          <w:sz w:val="20"/>
          <w:szCs w:val="20"/>
          <w:vertAlign w:val="superscript"/>
        </w:rPr>
        <w:t>-3</w:t>
      </w:r>
      <w:r w:rsidRPr="00122122">
        <w:rPr>
          <w:rFonts w:ascii="Times New Roman" w:hAnsi="Times New Roman" w:cs="Times New Roman"/>
          <w:kern w:val="44"/>
          <w:sz w:val="20"/>
          <w:szCs w:val="20"/>
        </w:rPr>
        <w:t>. The epitaxial layer (</w:t>
      </w:r>
      <w:r w:rsidRPr="00122122">
        <w:rPr>
          <w:rFonts w:ascii="Times New Roman" w:hAnsi="Times New Roman" w:cs="Times New Roman" w:hint="eastAsia"/>
          <w:kern w:val="44"/>
          <w:sz w:val="20"/>
          <w:szCs w:val="20"/>
        </w:rPr>
        <w:t>n</w:t>
      </w:r>
      <w:r w:rsidRPr="00122122">
        <w:rPr>
          <w:rFonts w:ascii="Times New Roman" w:hAnsi="Times New Roman" w:cs="Times New Roman"/>
          <w:kern w:val="44"/>
          <w:sz w:val="20"/>
          <w:szCs w:val="20"/>
        </w:rPr>
        <w:t xml:space="preserve">-GaAs) and the anode metal form the Schottky contact, and the doping concentration is usually 1~2 orders of magnitude lower than that of the </w:t>
      </w:r>
      <w:r w:rsidRPr="00122122">
        <w:rPr>
          <w:rFonts w:ascii="Times New Roman" w:hAnsi="Times New Roman" w:cs="Times New Roman" w:hint="eastAsia"/>
          <w:kern w:val="44"/>
          <w:sz w:val="20"/>
          <w:szCs w:val="20"/>
        </w:rPr>
        <w:t>n</w:t>
      </w:r>
      <w:r w:rsidRPr="00122122">
        <w:rPr>
          <w:rFonts w:ascii="Times New Roman" w:hAnsi="Times New Roman" w:cs="Times New Roman"/>
          <w:kern w:val="44"/>
          <w:sz w:val="20"/>
          <w:szCs w:val="20"/>
        </w:rPr>
        <w:t>+GaAs, which is 5×10</w:t>
      </w:r>
      <w:r w:rsidRPr="00122122">
        <w:rPr>
          <w:rFonts w:ascii="Times New Roman" w:hAnsi="Times New Roman" w:cs="Times New Roman"/>
          <w:kern w:val="44"/>
          <w:sz w:val="20"/>
          <w:szCs w:val="20"/>
          <w:vertAlign w:val="superscript"/>
        </w:rPr>
        <w:t>16</w:t>
      </w:r>
      <w:r w:rsidRPr="00122122">
        <w:rPr>
          <w:rFonts w:ascii="Times New Roman" w:hAnsi="Times New Roman" w:cs="Times New Roman"/>
          <w:kern w:val="44"/>
          <w:sz w:val="20"/>
          <w:szCs w:val="20"/>
        </w:rPr>
        <w:t xml:space="preserve"> cm</w:t>
      </w:r>
      <w:r w:rsidRPr="00122122">
        <w:rPr>
          <w:rFonts w:ascii="Times New Roman" w:hAnsi="Times New Roman" w:cs="Times New Roman"/>
          <w:kern w:val="44"/>
          <w:sz w:val="20"/>
          <w:szCs w:val="20"/>
          <w:vertAlign w:val="superscript"/>
        </w:rPr>
        <w:t>-3</w:t>
      </w:r>
      <w:r w:rsidRPr="00122122">
        <w:rPr>
          <w:rFonts w:ascii="Times New Roman" w:hAnsi="Times New Roman" w:cs="Times New Roman"/>
          <w:kern w:val="44"/>
          <w:sz w:val="20"/>
          <w:szCs w:val="20"/>
        </w:rPr>
        <w:t xml:space="preserve"> ~5×10</w:t>
      </w:r>
      <w:r w:rsidRPr="00122122">
        <w:rPr>
          <w:rFonts w:ascii="Times New Roman" w:hAnsi="Times New Roman" w:cs="Times New Roman"/>
          <w:kern w:val="44"/>
          <w:sz w:val="20"/>
          <w:szCs w:val="20"/>
          <w:vertAlign w:val="superscript"/>
        </w:rPr>
        <w:t xml:space="preserve">17 </w:t>
      </w:r>
      <w:r w:rsidRPr="00122122">
        <w:rPr>
          <w:rFonts w:ascii="Times New Roman" w:hAnsi="Times New Roman" w:cs="Times New Roman"/>
          <w:kern w:val="44"/>
          <w:sz w:val="20"/>
          <w:szCs w:val="20"/>
        </w:rPr>
        <w:t>cm</w:t>
      </w:r>
      <w:r w:rsidRPr="00122122">
        <w:rPr>
          <w:rFonts w:ascii="Times New Roman" w:hAnsi="Times New Roman" w:cs="Times New Roman"/>
          <w:kern w:val="44"/>
          <w:sz w:val="20"/>
          <w:szCs w:val="20"/>
          <w:vertAlign w:val="superscript"/>
        </w:rPr>
        <w:t>-3</w:t>
      </w:r>
      <w:r w:rsidRPr="00122122">
        <w:rPr>
          <w:rFonts w:ascii="Times New Roman" w:hAnsi="Times New Roman" w:cs="Times New Roman"/>
          <w:kern w:val="44"/>
          <w:sz w:val="20"/>
          <w:szCs w:val="20"/>
        </w:rPr>
        <w:t>.</w:t>
      </w:r>
      <w:r w:rsidRPr="00122122">
        <w:rPr>
          <w:sz w:val="20"/>
          <w:szCs w:val="20"/>
        </w:rPr>
        <w:t xml:space="preserve"> </w:t>
      </w:r>
      <w:r w:rsidRPr="00122122">
        <w:rPr>
          <w:rFonts w:ascii="Times New Roman" w:hAnsi="Times New Roman" w:cs="Times New Roman"/>
          <w:kern w:val="44"/>
          <w:sz w:val="20"/>
          <w:szCs w:val="20"/>
        </w:rPr>
        <w:t>In steps c,d, a selective dry etch is used to define the device table, which stops at the AlGaAs etch stop layer.</w:t>
      </w:r>
      <w:r w:rsidRPr="00122122">
        <w:rPr>
          <w:sz w:val="20"/>
          <w:szCs w:val="20"/>
        </w:rPr>
        <w:t xml:space="preserve"> </w:t>
      </w:r>
      <w:r w:rsidRPr="00122122">
        <w:rPr>
          <w:rFonts w:ascii="Times New Roman" w:hAnsi="Times New Roman" w:cs="Times New Roman"/>
          <w:kern w:val="44"/>
          <w:sz w:val="20"/>
          <w:szCs w:val="20"/>
        </w:rPr>
        <w:t>In steps e,f, the GaAs substrate is thinned to the desired thickness by grinding, polishing and wet etching.</w:t>
      </w:r>
    </w:p>
    <w:p w14:paraId="3AAFC2C7" w14:textId="77777777" w:rsidR="00D31248" w:rsidRPr="00122122" w:rsidRDefault="00D31248" w:rsidP="00D31248">
      <w:pPr>
        <w:widowControl/>
        <w:ind w:firstLineChars="200" w:firstLine="400"/>
        <w:rPr>
          <w:rFonts w:ascii="Times New Roman" w:hAnsi="Times New Roman" w:cs="Times New Roman"/>
          <w:kern w:val="44"/>
          <w:sz w:val="20"/>
          <w:szCs w:val="20"/>
        </w:rPr>
      </w:pPr>
      <w:r w:rsidRPr="00122122">
        <w:rPr>
          <w:rFonts w:ascii="Times New Roman" w:hAnsi="Times New Roman" w:cs="Times New Roman"/>
          <w:kern w:val="44"/>
          <w:sz w:val="20"/>
          <w:szCs w:val="20"/>
        </w:rPr>
        <w:lastRenderedPageBreak/>
        <w:t>Processing of the chip is accomplished by the monolithic preparation process described above.</w:t>
      </w:r>
      <w:r w:rsidRPr="00122122">
        <w:rPr>
          <w:sz w:val="20"/>
          <w:szCs w:val="20"/>
        </w:rPr>
        <w:t xml:space="preserve"> </w:t>
      </w:r>
      <w:r w:rsidRPr="00122122">
        <w:rPr>
          <w:rFonts w:ascii="Times New Roman" w:hAnsi="Times New Roman" w:cs="Times New Roman"/>
          <w:kern w:val="44"/>
          <w:sz w:val="20"/>
          <w:szCs w:val="20"/>
        </w:rPr>
        <w:t>An array of sixteen diodes, eight on each arm, in a balanced configuration was used. The diodes are doped using an epitaxial layer of 2 × 10</w:t>
      </w:r>
      <w:r w:rsidRPr="00122122">
        <w:rPr>
          <w:rFonts w:ascii="Times New Roman" w:hAnsi="Times New Roman" w:cs="Times New Roman"/>
          <w:kern w:val="44"/>
          <w:sz w:val="20"/>
          <w:szCs w:val="20"/>
          <w:vertAlign w:val="superscript"/>
        </w:rPr>
        <w:t>17</w:t>
      </w:r>
      <w:r w:rsidRPr="00122122">
        <w:rPr>
          <w:rFonts w:ascii="Times New Roman" w:hAnsi="Times New Roman" w:cs="Times New Roman"/>
          <w:kern w:val="44"/>
          <w:sz w:val="20"/>
          <w:szCs w:val="20"/>
        </w:rPr>
        <w:t xml:space="preserve"> cm</w:t>
      </w:r>
      <w:r w:rsidRPr="00122122">
        <w:rPr>
          <w:rFonts w:ascii="Times New Roman" w:hAnsi="Times New Roman" w:cs="Times New Roman" w:hint="eastAsia"/>
          <w:kern w:val="44"/>
          <w:sz w:val="20"/>
          <w:szCs w:val="20"/>
          <w:vertAlign w:val="superscript"/>
        </w:rPr>
        <w:t>-3</w:t>
      </w:r>
      <w:r w:rsidRPr="00122122">
        <w:rPr>
          <w:rFonts w:ascii="Times New Roman" w:hAnsi="Times New Roman" w:cs="Times New Roman"/>
          <w:kern w:val="44"/>
          <w:sz w:val="20"/>
          <w:szCs w:val="20"/>
        </w:rPr>
        <w:t xml:space="preserve"> and a diode anode size of 4um radius is employed.</w:t>
      </w:r>
      <w:r w:rsidRPr="00122122">
        <w:rPr>
          <w:sz w:val="20"/>
          <w:szCs w:val="20"/>
        </w:rPr>
        <w:t xml:space="preserve"> </w:t>
      </w:r>
      <w:r w:rsidRPr="00122122">
        <w:rPr>
          <w:rFonts w:ascii="Times New Roman" w:hAnsi="Times New Roman" w:cs="Times New Roman"/>
          <w:kern w:val="44"/>
          <w:sz w:val="20"/>
          <w:szCs w:val="20"/>
        </w:rPr>
        <w:t>Our diode model calculations predict a zero-bias junction capacitance of 85 fF and a series resistance of 2 for these devices.</w:t>
      </w:r>
      <w:r w:rsidRPr="00122122">
        <w:rPr>
          <w:sz w:val="20"/>
          <w:szCs w:val="20"/>
        </w:rPr>
        <w:t xml:space="preserve"> </w:t>
      </w:r>
      <w:r w:rsidRPr="00122122">
        <w:rPr>
          <w:rFonts w:ascii="Times New Roman" w:hAnsi="Times New Roman" w:cs="Times New Roman"/>
          <w:kern w:val="44"/>
          <w:sz w:val="20"/>
          <w:szCs w:val="20"/>
        </w:rPr>
        <w:t>The frequency doubler is optimized for an input pump power of around 0.5/1W.</w:t>
      </w:r>
    </w:p>
    <w:p w14:paraId="03D01607" w14:textId="77777777" w:rsidR="00D31248" w:rsidRPr="00122122" w:rsidRDefault="00D31248" w:rsidP="00D31248">
      <w:pPr>
        <w:widowControl/>
        <w:jc w:val="left"/>
        <w:rPr>
          <w:rFonts w:ascii="Times New Roman" w:hAnsi="Times New Roman" w:cs="Times New Roman"/>
          <w:sz w:val="20"/>
          <w:szCs w:val="20"/>
        </w:rPr>
      </w:pPr>
      <w:r w:rsidRPr="00122122">
        <w:rPr>
          <w:rFonts w:ascii="Times New Roman" w:hAnsi="Times New Roman" w:cs="Times New Roman"/>
          <w:sz w:val="20"/>
          <w:szCs w:val="20"/>
        </w:rPr>
        <w:br w:type="page"/>
      </w:r>
    </w:p>
    <w:p w14:paraId="60E9B3D4" w14:textId="77777777" w:rsidR="00D31248" w:rsidRPr="00122122" w:rsidRDefault="00D31248" w:rsidP="00D31248">
      <w:pPr>
        <w:rPr>
          <w:rFonts w:ascii="Times New Roman" w:hAnsi="Times New Roman" w:cs="Times New Roman"/>
          <w:b/>
          <w:bCs/>
          <w:sz w:val="24"/>
          <w:szCs w:val="28"/>
        </w:rPr>
      </w:pPr>
      <w:r w:rsidRPr="00122122">
        <w:rPr>
          <w:rFonts w:ascii="Times New Roman" w:hAnsi="Times New Roman" w:cs="Times New Roman"/>
          <w:b/>
          <w:bCs/>
          <w:sz w:val="24"/>
          <w:szCs w:val="28"/>
        </w:rPr>
        <w:lastRenderedPageBreak/>
        <w:t xml:space="preserve">Extended Data </w:t>
      </w:r>
      <w:r w:rsidRPr="00122122">
        <w:rPr>
          <w:rFonts w:ascii="Times New Roman" w:hAnsi="Times New Roman" w:cs="Times New Roman" w:hint="eastAsia"/>
          <w:b/>
          <w:bCs/>
          <w:sz w:val="24"/>
          <w:szCs w:val="28"/>
        </w:rPr>
        <w:t>3</w:t>
      </w:r>
      <w:r w:rsidRPr="00122122">
        <w:rPr>
          <w:rFonts w:ascii="Times New Roman" w:hAnsi="Times New Roman" w:cs="Times New Roman"/>
          <w:b/>
          <w:bCs/>
          <w:sz w:val="24"/>
          <w:szCs w:val="28"/>
        </w:rPr>
        <w:t>: Influence of Three-Dimensional Field Coupling on Transmission Characteristics</w:t>
      </w:r>
    </w:p>
    <w:p w14:paraId="00A4A915" w14:textId="77777777" w:rsidR="00D31248" w:rsidRDefault="00D31248" w:rsidP="00D31248">
      <w:pPr>
        <w:widowControl/>
        <w:jc w:val="center"/>
        <w:rPr>
          <w:rFonts w:ascii="Times New Roman" w:hAnsi="Times New Roman" w:cs="Times New Roman"/>
          <w:sz w:val="32"/>
          <w:szCs w:val="36"/>
        </w:rPr>
      </w:pPr>
      <w:r>
        <w:rPr>
          <w:rFonts w:ascii="Times New Roman" w:hAnsi="Times New Roman" w:cs="Times New Roman"/>
          <w:noProof/>
          <w:sz w:val="32"/>
          <w:szCs w:val="36"/>
        </w:rPr>
        <w:drawing>
          <wp:inline distT="0" distB="0" distL="0" distR="0" wp14:anchorId="442EC942" wp14:editId="51EBD060">
            <wp:extent cx="5286953" cy="2826925"/>
            <wp:effectExtent l="0" t="0" r="0" b="0"/>
            <wp:docPr id="87854417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8544175" name="图片 8"/>
                    <pic:cNvPicPr>
                      <a:picLocks noChangeAspect="1" noChangeArrowheads="1"/>
                    </pic:cNvPicPr>
                  </pic:nvPicPr>
                  <pic:blipFill>
                    <a:blip r:embed="rId28">
                      <a:extLst>
                        <a:ext uri="{96DAC541-7B7A-43D3-8B79-37D633B846F1}">
                          <asvg:svgBlip xmlns:asvg="http://schemas.microsoft.com/office/drawing/2016/SVG/main" r:embed="rId29"/>
                        </a:ext>
                      </a:extLst>
                    </a:blip>
                    <a:stretch>
                      <a:fillRect/>
                    </a:stretch>
                  </pic:blipFill>
                  <pic:spPr bwMode="auto">
                    <a:xfrm>
                      <a:off x="0" y="0"/>
                      <a:ext cx="5286953" cy="2826925"/>
                    </a:xfrm>
                    <a:prstGeom prst="rect">
                      <a:avLst/>
                    </a:prstGeom>
                  </pic:spPr>
                </pic:pic>
              </a:graphicData>
            </a:graphic>
          </wp:inline>
        </w:drawing>
      </w:r>
    </w:p>
    <w:p w14:paraId="47F72EAB" w14:textId="77777777" w:rsidR="00D31248" w:rsidRPr="00122122" w:rsidRDefault="00D31248" w:rsidP="00D31248">
      <w:pPr>
        <w:rPr>
          <w:rFonts w:eastAsiaTheme="minorHAnsi" w:cs="Times New Roman"/>
          <w:b/>
          <w:bCs/>
          <w:kern w:val="44"/>
          <w:sz w:val="16"/>
          <w:szCs w:val="16"/>
        </w:rPr>
      </w:pPr>
      <w:r w:rsidRPr="00122122">
        <w:rPr>
          <w:rFonts w:eastAsiaTheme="minorHAnsi" w:cs="Times New Roman"/>
          <w:b/>
          <w:bCs/>
          <w:kern w:val="44"/>
          <w:sz w:val="16"/>
          <w:szCs w:val="16"/>
        </w:rPr>
        <w:t xml:space="preserve">Extended Data </w:t>
      </w:r>
      <w:r w:rsidRPr="00122122">
        <w:rPr>
          <w:rFonts w:eastAsiaTheme="minorHAnsi" w:cs="Times New Roman" w:hint="eastAsia"/>
          <w:b/>
          <w:bCs/>
          <w:kern w:val="44"/>
          <w:sz w:val="16"/>
          <w:szCs w:val="16"/>
        </w:rPr>
        <w:t>3.</w:t>
      </w:r>
      <w:r w:rsidRPr="00122122">
        <w:rPr>
          <w:rFonts w:eastAsiaTheme="minorHAnsi" w:cs="Times New Roman"/>
          <w:b/>
          <w:bCs/>
          <w:kern w:val="44"/>
          <w:sz w:val="16"/>
          <w:szCs w:val="16"/>
        </w:rPr>
        <w:t xml:space="preserve"> Influence of three-dimensional field coupling on transmission characteristics.</w:t>
      </w:r>
    </w:p>
    <w:p w14:paraId="70C63E1F" w14:textId="77777777" w:rsidR="00D31248" w:rsidRPr="00122122" w:rsidRDefault="00D31248" w:rsidP="00D31248">
      <w:pPr>
        <w:widowControl/>
        <w:ind w:firstLineChars="200" w:firstLine="400"/>
        <w:rPr>
          <w:rFonts w:ascii="Times New Roman" w:hAnsi="Times New Roman" w:cs="Times New Roman"/>
          <w:sz w:val="20"/>
          <w:szCs w:val="21"/>
        </w:rPr>
      </w:pPr>
      <w:r w:rsidRPr="00122122">
        <w:rPr>
          <w:rFonts w:ascii="Times New Roman" w:hAnsi="Times New Roman" w:cs="Times New Roman"/>
          <w:color w:val="FF0000"/>
          <w:sz w:val="20"/>
          <w:szCs w:val="21"/>
        </w:rPr>
        <w:t xml:space="preserve">Extended Data </w:t>
      </w:r>
      <w:r w:rsidRPr="00122122">
        <w:rPr>
          <w:rFonts w:ascii="Times New Roman" w:hAnsi="Times New Roman" w:cs="Times New Roman" w:hint="eastAsia"/>
          <w:color w:val="FF0000"/>
          <w:sz w:val="20"/>
          <w:szCs w:val="21"/>
        </w:rPr>
        <w:t>3</w:t>
      </w:r>
      <w:r w:rsidRPr="00122122">
        <w:rPr>
          <w:rFonts w:ascii="Times New Roman" w:hAnsi="Times New Roman" w:cs="Times New Roman"/>
          <w:sz w:val="20"/>
          <w:szCs w:val="21"/>
        </w:rPr>
        <w:t xml:space="preserve"> presents simulation results concerning the three-dimensional field coupling and its impact on transmission characteristics. Specifically, the study examines the influence of altering two coupling parameters on the input and output transmission characteristics of the device.</w:t>
      </w:r>
      <w:r w:rsidRPr="00122122">
        <w:rPr>
          <w:rFonts w:ascii="Times New Roman" w:hAnsi="Times New Roman" w:cs="Times New Roman"/>
          <w:color w:val="FF0000"/>
          <w:sz w:val="20"/>
          <w:szCs w:val="21"/>
        </w:rPr>
        <w:t xml:space="preserve"> Figs a and b </w:t>
      </w:r>
      <w:r w:rsidRPr="00122122">
        <w:rPr>
          <w:rFonts w:ascii="Times New Roman" w:hAnsi="Times New Roman" w:cs="Times New Roman"/>
          <w:sz w:val="20"/>
          <w:szCs w:val="21"/>
        </w:rPr>
        <w:t>highlight similarities in the trend of input coupling efficiency with frequency for both the dual-layer MSC and the dual-layer MAC when adjusting the interlayer spacing.</w:t>
      </w:r>
    </w:p>
    <w:p w14:paraId="004A1511" w14:textId="77777777" w:rsidR="00D31248" w:rsidRPr="00122122" w:rsidRDefault="00D31248" w:rsidP="00D31248">
      <w:pPr>
        <w:widowControl/>
        <w:ind w:firstLineChars="200" w:firstLine="400"/>
        <w:rPr>
          <w:rFonts w:ascii="Times New Roman" w:hAnsi="Times New Roman" w:cs="Times New Roman"/>
          <w:sz w:val="20"/>
          <w:szCs w:val="21"/>
        </w:rPr>
      </w:pPr>
      <w:r w:rsidRPr="00122122">
        <w:rPr>
          <w:rFonts w:ascii="Times New Roman" w:hAnsi="Times New Roman" w:cs="Times New Roman"/>
          <w:sz w:val="20"/>
          <w:szCs w:val="21"/>
        </w:rPr>
        <w:t>A reduction in interlayer spacing from a larger value of 270μm to 50μm results in an initial increase and subsequent decrease in coupling efficiency, showing a peak point. Larger interlayer spacing leads to greater deviation from the waveguide center, naturally decreasing coupling efficiency. However, reducing it to 50μm is constrained due to limitations in chip dimensions.</w:t>
      </w:r>
    </w:p>
    <w:p w14:paraId="3516CC92" w14:textId="77777777" w:rsidR="00D31248" w:rsidRPr="00122122" w:rsidRDefault="00D31248" w:rsidP="00D31248">
      <w:pPr>
        <w:widowControl/>
        <w:ind w:firstLineChars="200" w:firstLine="400"/>
        <w:rPr>
          <w:rFonts w:ascii="Times New Roman" w:hAnsi="Times New Roman" w:cs="Times New Roman"/>
          <w:sz w:val="20"/>
          <w:szCs w:val="21"/>
        </w:rPr>
      </w:pPr>
      <w:r w:rsidRPr="00122122">
        <w:rPr>
          <w:rFonts w:ascii="Times New Roman" w:hAnsi="Times New Roman" w:cs="Times New Roman"/>
          <w:color w:val="FF0000"/>
          <w:sz w:val="20"/>
          <w:szCs w:val="21"/>
        </w:rPr>
        <w:t>Figs c and d</w:t>
      </w:r>
      <w:r w:rsidRPr="00122122">
        <w:rPr>
          <w:rFonts w:ascii="Times New Roman" w:hAnsi="Times New Roman" w:cs="Times New Roman"/>
          <w:sz w:val="20"/>
          <w:szCs w:val="21"/>
        </w:rPr>
        <w:t xml:space="preserve"> demonstrate that in the conventional approach, increasing the number of anodes in a single-chip to 14 anodes leads to lower input and output coupling efficiency, resulting in energy waste. By vertically increasing the number of anodes in the xoy plane to form a C-shaped array, input and output coupling efficiency can be enhanced.</w:t>
      </w:r>
    </w:p>
    <w:p w14:paraId="46B2DB00" w14:textId="77777777" w:rsidR="00D31248" w:rsidRPr="00122122" w:rsidRDefault="00D31248" w:rsidP="00D31248">
      <w:pPr>
        <w:widowControl/>
        <w:ind w:firstLineChars="200" w:firstLine="400"/>
        <w:rPr>
          <w:rFonts w:ascii="Times New Roman" w:hAnsi="Times New Roman" w:cs="Times New Roman"/>
          <w:sz w:val="20"/>
          <w:szCs w:val="21"/>
        </w:rPr>
      </w:pPr>
      <w:r w:rsidRPr="00122122">
        <w:rPr>
          <w:rFonts w:ascii="Times New Roman" w:hAnsi="Times New Roman" w:cs="Times New Roman"/>
          <w:sz w:val="20"/>
          <w:szCs w:val="21"/>
        </w:rPr>
        <w:t>For the dual-layer MSC, altering the interlayer spacing has minimal effect on transmission characteristics due to symmetrically distributed fields suppressing near-field coupling, allowing the chips to operate independently without mutual interference. Conversely, for the dual-layer MAC, the optimal interaction point varies with longitudinal interlayer spacing, achieving maximum resonance interaction when reducing it from 270μm to 90μm.</w:t>
      </w:r>
    </w:p>
    <w:p w14:paraId="56886EAF" w14:textId="77777777" w:rsidR="00D31248" w:rsidRPr="00122122" w:rsidRDefault="00D31248" w:rsidP="00D31248">
      <w:pPr>
        <w:widowControl/>
        <w:ind w:firstLineChars="200" w:firstLine="400"/>
        <w:rPr>
          <w:rFonts w:ascii="Times New Roman" w:hAnsi="Times New Roman" w:cs="Times New Roman"/>
          <w:sz w:val="20"/>
          <w:szCs w:val="21"/>
        </w:rPr>
      </w:pPr>
      <w:r w:rsidRPr="00122122">
        <w:rPr>
          <w:rFonts w:ascii="Times New Roman" w:hAnsi="Times New Roman" w:cs="Times New Roman"/>
          <w:sz w:val="20"/>
          <w:szCs w:val="21"/>
        </w:rPr>
        <w:t>Considering the spatial transverse coupling distance, it has a relatively small impact on input coupling efficiency due to inherent mode isolation in transmission. However, under near-field decoupling and near-field coupling states, the spatial transverse coupling distance affects output coupling efficiency. Optimizing this distance identifies regions of optimal coupling, where the minimum size is determined by chip thickness. By accounting for optimal coupling regions for both input and output, near-field coupling between chips can achieve higher output coupling efficiency compared to near-field decoupling.</w:t>
      </w:r>
    </w:p>
    <w:p w14:paraId="4B0B07B1" w14:textId="77777777" w:rsidR="00D31248" w:rsidRDefault="00D31248" w:rsidP="00D31248">
      <w:pPr>
        <w:widowControl/>
        <w:ind w:firstLineChars="200" w:firstLine="400"/>
        <w:rPr>
          <w:rFonts w:ascii="Times New Roman" w:hAnsi="Times New Roman" w:cs="Times New Roman"/>
          <w:sz w:val="32"/>
          <w:szCs w:val="36"/>
        </w:rPr>
      </w:pPr>
      <w:r w:rsidRPr="00122122">
        <w:rPr>
          <w:rFonts w:ascii="Times New Roman" w:hAnsi="Times New Roman" w:cs="Times New Roman"/>
          <w:sz w:val="20"/>
          <w:szCs w:val="21"/>
        </w:rPr>
        <w:t xml:space="preserve">Furthermore, as the transverse coupling distance decreases, the electric field between interchip diodes increases, strengthening coupling between Meta chips, leading to the highest coupling efficiency </w:t>
      </w:r>
      <w:r w:rsidRPr="00122122">
        <w:rPr>
          <w:rFonts w:ascii="Times New Roman" w:hAnsi="Times New Roman" w:cs="Times New Roman"/>
          <w:sz w:val="20"/>
          <w:szCs w:val="21"/>
        </w:rPr>
        <w:lastRenderedPageBreak/>
        <w:t>in the optimal coupling region. However, continued decrease in distance results in reduced coupling efficiency as the transverse electric field between interchip diodes decreases.</w:t>
      </w:r>
      <w:r>
        <w:rPr>
          <w:rFonts w:ascii="Times New Roman" w:hAnsi="Times New Roman" w:cs="Times New Roman"/>
          <w:sz w:val="32"/>
          <w:szCs w:val="36"/>
        </w:rPr>
        <w:br w:type="page"/>
      </w:r>
    </w:p>
    <w:p w14:paraId="0132DC29" w14:textId="77777777" w:rsidR="00D31248" w:rsidRPr="00122122" w:rsidRDefault="00D31248" w:rsidP="00D31248">
      <w:pPr>
        <w:rPr>
          <w:rFonts w:ascii="Times New Roman" w:hAnsi="Times New Roman" w:cs="Times New Roman"/>
          <w:b/>
          <w:bCs/>
          <w:sz w:val="24"/>
          <w:szCs w:val="28"/>
        </w:rPr>
      </w:pPr>
      <w:r w:rsidRPr="00122122">
        <w:rPr>
          <w:rFonts w:ascii="Times New Roman" w:hAnsi="Times New Roman" w:cs="Times New Roman"/>
          <w:b/>
          <w:bCs/>
          <w:sz w:val="24"/>
          <w:szCs w:val="28"/>
        </w:rPr>
        <w:lastRenderedPageBreak/>
        <w:t xml:space="preserve">Extended Data </w:t>
      </w:r>
      <w:r w:rsidRPr="00122122">
        <w:rPr>
          <w:rFonts w:ascii="Times New Roman" w:hAnsi="Times New Roman" w:cs="Times New Roman" w:hint="eastAsia"/>
          <w:b/>
          <w:bCs/>
          <w:sz w:val="24"/>
          <w:szCs w:val="28"/>
        </w:rPr>
        <w:t>4</w:t>
      </w:r>
      <w:r w:rsidRPr="00122122">
        <w:rPr>
          <w:rFonts w:ascii="Times New Roman" w:hAnsi="Times New Roman" w:cs="Times New Roman"/>
          <w:b/>
          <w:bCs/>
          <w:sz w:val="24"/>
          <w:szCs w:val="28"/>
        </w:rPr>
        <w:t xml:space="preserve"> | Experimental Setup</w:t>
      </w:r>
      <w:r w:rsidRPr="00122122">
        <w:rPr>
          <w:rFonts w:ascii="Times New Roman" w:hAnsi="Times New Roman" w:cs="Times New Roman" w:hint="eastAsia"/>
          <w:b/>
          <w:bCs/>
          <w:sz w:val="24"/>
          <w:szCs w:val="28"/>
        </w:rPr>
        <w:t xml:space="preserve"> 1</w:t>
      </w:r>
      <w:r w:rsidRPr="00122122">
        <w:rPr>
          <w:rFonts w:ascii="Times New Roman" w:hAnsi="Times New Roman" w:cs="Times New Roman"/>
          <w:b/>
          <w:bCs/>
          <w:sz w:val="24"/>
          <w:szCs w:val="28"/>
        </w:rPr>
        <w:t>:</w:t>
      </w:r>
    </w:p>
    <w:p w14:paraId="1734AF9E" w14:textId="77777777" w:rsidR="00D31248" w:rsidRPr="00B45D73" w:rsidRDefault="00D31248" w:rsidP="00D31248">
      <w:pPr>
        <w:jc w:val="left"/>
        <w:rPr>
          <w:rFonts w:asciiTheme="minorEastAsia" w:hAnsiTheme="minorEastAsia" w:cs="Times New Roman"/>
          <w:b/>
          <w:bCs/>
          <w:sz w:val="32"/>
          <w:szCs w:val="36"/>
        </w:rPr>
      </w:pPr>
      <w:r w:rsidRPr="00B45D73">
        <w:rPr>
          <w:rFonts w:asciiTheme="minorEastAsia" w:hAnsiTheme="minorEastAsia" w:cs="Times New Roman" w:hint="eastAsia"/>
          <w:b/>
          <w:bCs/>
          <w:sz w:val="32"/>
          <w:szCs w:val="36"/>
        </w:rPr>
        <w:t>a</w:t>
      </w:r>
    </w:p>
    <w:p w14:paraId="5B420602" w14:textId="77777777" w:rsidR="00D31248" w:rsidRDefault="00D31248" w:rsidP="00D31248">
      <w:pPr>
        <w:jc w:val="center"/>
        <w:rPr>
          <w:rFonts w:ascii="Times New Roman" w:hAnsi="Times New Roman" w:cs="Times New Roman"/>
          <w:sz w:val="32"/>
          <w:szCs w:val="36"/>
        </w:rPr>
      </w:pPr>
      <w:r>
        <w:rPr>
          <w:rFonts w:ascii="Times New Roman" w:hAnsi="Times New Roman" w:cs="Times New Roman"/>
          <w:noProof/>
          <w:sz w:val="32"/>
          <w:szCs w:val="36"/>
        </w:rPr>
        <w:drawing>
          <wp:inline distT="0" distB="0" distL="0" distR="0" wp14:anchorId="5EA5E630" wp14:editId="1D7CAE2F">
            <wp:extent cx="5045686" cy="1832003"/>
            <wp:effectExtent l="0" t="0" r="3175" b="0"/>
            <wp:docPr id="22392157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101602" cy="1852305"/>
                    </a:xfrm>
                    <a:prstGeom prst="rect">
                      <a:avLst/>
                    </a:prstGeom>
                    <a:noFill/>
                  </pic:spPr>
                </pic:pic>
              </a:graphicData>
            </a:graphic>
          </wp:inline>
        </w:drawing>
      </w:r>
    </w:p>
    <w:p w14:paraId="0EED5641" w14:textId="77777777" w:rsidR="00D31248" w:rsidRPr="00B45D73" w:rsidRDefault="00D31248" w:rsidP="00D31248">
      <w:pPr>
        <w:jc w:val="left"/>
        <w:rPr>
          <w:rFonts w:asciiTheme="minorEastAsia" w:hAnsiTheme="minorEastAsia" w:cs="Times New Roman"/>
          <w:b/>
          <w:bCs/>
          <w:sz w:val="32"/>
          <w:szCs w:val="36"/>
        </w:rPr>
      </w:pPr>
      <w:r>
        <w:rPr>
          <w:rFonts w:asciiTheme="minorEastAsia" w:hAnsiTheme="minorEastAsia" w:cs="Times New Roman" w:hint="eastAsia"/>
          <w:b/>
          <w:bCs/>
          <w:sz w:val="32"/>
          <w:szCs w:val="36"/>
        </w:rPr>
        <w:t>b</w:t>
      </w:r>
    </w:p>
    <w:p w14:paraId="4212BD67" w14:textId="77777777" w:rsidR="00D31248" w:rsidRDefault="00D31248" w:rsidP="00D31248">
      <w:pPr>
        <w:rPr>
          <w:rFonts w:ascii="Times New Roman" w:hAnsi="Times New Roman" w:cs="Times New Roman"/>
          <w:sz w:val="32"/>
          <w:szCs w:val="36"/>
        </w:rPr>
      </w:pPr>
      <w:r>
        <w:rPr>
          <w:rFonts w:ascii="Times New Roman" w:hAnsi="Times New Roman" w:cs="Times New Roman"/>
          <w:noProof/>
          <w:sz w:val="32"/>
          <w:szCs w:val="36"/>
        </w:rPr>
        <w:drawing>
          <wp:inline distT="0" distB="0" distL="0" distR="0" wp14:anchorId="53330662" wp14:editId="6788B81D">
            <wp:extent cx="5413779" cy="4091577"/>
            <wp:effectExtent l="0" t="0" r="0" b="4445"/>
            <wp:docPr id="22448807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429799" cy="4103685"/>
                    </a:xfrm>
                    <a:prstGeom prst="rect">
                      <a:avLst/>
                    </a:prstGeom>
                    <a:noFill/>
                  </pic:spPr>
                </pic:pic>
              </a:graphicData>
            </a:graphic>
          </wp:inline>
        </w:drawing>
      </w:r>
    </w:p>
    <w:p w14:paraId="63F8DE53" w14:textId="77777777" w:rsidR="00D31248" w:rsidRPr="00122122" w:rsidRDefault="00D31248" w:rsidP="00D31248">
      <w:pPr>
        <w:rPr>
          <w:rFonts w:eastAsiaTheme="minorHAnsi" w:cs="Times New Roman"/>
          <w:kern w:val="44"/>
          <w:sz w:val="16"/>
          <w:szCs w:val="16"/>
        </w:rPr>
      </w:pPr>
      <w:r w:rsidRPr="00122122">
        <w:rPr>
          <w:rFonts w:eastAsiaTheme="minorHAnsi" w:cs="Times New Roman"/>
          <w:b/>
          <w:bCs/>
          <w:kern w:val="44"/>
          <w:sz w:val="16"/>
          <w:szCs w:val="16"/>
        </w:rPr>
        <w:t xml:space="preserve">Extended Data </w:t>
      </w:r>
      <w:r w:rsidRPr="00122122">
        <w:rPr>
          <w:rFonts w:eastAsiaTheme="minorHAnsi" w:cs="Times New Roman" w:hint="eastAsia"/>
          <w:b/>
          <w:bCs/>
          <w:kern w:val="44"/>
          <w:sz w:val="16"/>
          <w:szCs w:val="16"/>
        </w:rPr>
        <w:t>4</w:t>
      </w:r>
      <w:r w:rsidRPr="00122122">
        <w:rPr>
          <w:rFonts w:eastAsiaTheme="minorHAnsi" w:cs="Times New Roman"/>
          <w:b/>
          <w:bCs/>
          <w:kern w:val="44"/>
          <w:sz w:val="16"/>
          <w:szCs w:val="16"/>
        </w:rPr>
        <w:t>.</w:t>
      </w:r>
      <w:r w:rsidRPr="00122122">
        <w:rPr>
          <w:rFonts w:eastAsiaTheme="minorHAnsi" w:cs="Times New Roman"/>
          <w:kern w:val="44"/>
          <w:sz w:val="16"/>
          <w:szCs w:val="16"/>
        </w:rPr>
        <w:t xml:space="preserve"> </w:t>
      </w:r>
      <w:r w:rsidRPr="00122122">
        <w:rPr>
          <w:rFonts w:eastAsiaTheme="minorHAnsi" w:cs="Times New Roman"/>
          <w:b/>
          <w:bCs/>
          <w:kern w:val="44"/>
          <w:sz w:val="16"/>
          <w:szCs w:val="16"/>
        </w:rPr>
        <w:t>Setup of the power experiment testing platform.</w:t>
      </w:r>
    </w:p>
    <w:p w14:paraId="5D76020C" w14:textId="77777777" w:rsidR="00D31248" w:rsidRPr="00122122" w:rsidRDefault="00D31248" w:rsidP="00D31248">
      <w:pPr>
        <w:ind w:firstLineChars="200" w:firstLine="400"/>
        <w:rPr>
          <w:rFonts w:ascii="Times New Roman" w:hAnsi="Times New Roman" w:cs="Times New Roman"/>
          <w:sz w:val="20"/>
          <w:szCs w:val="21"/>
        </w:rPr>
      </w:pPr>
      <w:r w:rsidRPr="00122122">
        <w:rPr>
          <w:rFonts w:ascii="Times New Roman" w:hAnsi="Times New Roman" w:cs="Times New Roman"/>
          <w:sz w:val="20"/>
          <w:szCs w:val="21"/>
        </w:rPr>
        <w:t xml:space="preserve">We constructed a testing platform to test and validate the excellent performance metrics of the dual-layer Meta chip. </w:t>
      </w:r>
      <w:r w:rsidRPr="00122122">
        <w:rPr>
          <w:rFonts w:ascii="Times New Roman" w:hAnsi="Times New Roman" w:cs="Times New Roman"/>
          <w:color w:val="FF0000"/>
          <w:sz w:val="20"/>
          <w:szCs w:val="21"/>
        </w:rPr>
        <w:t>Fig. a</w:t>
      </w:r>
      <w:r w:rsidRPr="00122122">
        <w:rPr>
          <w:rFonts w:ascii="Times New Roman" w:hAnsi="Times New Roman" w:cs="Times New Roman"/>
          <w:sz w:val="20"/>
          <w:szCs w:val="21"/>
        </w:rPr>
        <w:t xml:space="preserve"> shows the schematic diagram of the testing platform, and </w:t>
      </w:r>
      <w:r w:rsidRPr="00122122">
        <w:rPr>
          <w:rFonts w:ascii="Times New Roman" w:hAnsi="Times New Roman" w:cs="Times New Roman"/>
          <w:color w:val="FF0000"/>
          <w:sz w:val="20"/>
          <w:szCs w:val="21"/>
        </w:rPr>
        <w:t>Fig. b</w:t>
      </w:r>
      <w:r w:rsidRPr="00122122">
        <w:rPr>
          <w:rFonts w:ascii="Times New Roman" w:hAnsi="Times New Roman" w:cs="Times New Roman"/>
          <w:sz w:val="20"/>
          <w:szCs w:val="21"/>
        </w:rPr>
        <w:t xml:space="preserve"> presents the actual setup.</w:t>
      </w:r>
    </w:p>
    <w:p w14:paraId="133975C8" w14:textId="77777777" w:rsidR="00D31248" w:rsidRPr="00122122" w:rsidRDefault="00D31248" w:rsidP="00D31248">
      <w:pPr>
        <w:ind w:firstLineChars="200" w:firstLine="400"/>
        <w:rPr>
          <w:rFonts w:ascii="Times New Roman" w:hAnsi="Times New Roman" w:cs="Times New Roman"/>
          <w:sz w:val="20"/>
          <w:szCs w:val="21"/>
        </w:rPr>
      </w:pPr>
      <w:r w:rsidRPr="00122122">
        <w:rPr>
          <w:rFonts w:ascii="Times New Roman" w:hAnsi="Times New Roman" w:cs="Times New Roman"/>
          <w:sz w:val="20"/>
          <w:szCs w:val="21"/>
        </w:rPr>
        <w:t xml:space="preserve">The testing platform consists of a W-band driver amplifier and a millimeter-wave sixfold frequency multiplier, providing a preceding driving signal of 10-20 dBm from right to left. A WR-10 variable attenuator was used to adjust the power of the preceding driving source, controlling the input power.  A power combining power amplifier was used to provide a high-power signal, with a maximum output </w:t>
      </w:r>
      <w:r w:rsidRPr="00122122">
        <w:rPr>
          <w:rFonts w:ascii="Times New Roman" w:hAnsi="Times New Roman" w:cs="Times New Roman"/>
          <w:sz w:val="20"/>
          <w:szCs w:val="21"/>
        </w:rPr>
        <w:lastRenderedPageBreak/>
        <w:t>power of up to 30 dBm. A 70-110 GHz directional coupler connects the straight waveguide and power probe to the VDI PM5, monitoring the input power.</w:t>
      </w:r>
    </w:p>
    <w:p w14:paraId="1E6830F5" w14:textId="77777777" w:rsidR="00D31248" w:rsidRPr="00122122" w:rsidRDefault="00D31248" w:rsidP="00D31248">
      <w:pPr>
        <w:ind w:firstLineChars="200" w:firstLine="400"/>
        <w:rPr>
          <w:rFonts w:ascii="Times New Roman" w:hAnsi="Times New Roman" w:cs="Times New Roman"/>
          <w:sz w:val="20"/>
          <w:szCs w:val="21"/>
        </w:rPr>
      </w:pPr>
      <w:r w:rsidRPr="00122122">
        <w:rPr>
          <w:rFonts w:ascii="Times New Roman" w:hAnsi="Times New Roman" w:cs="Times New Roman"/>
          <w:sz w:val="20"/>
          <w:szCs w:val="21"/>
        </w:rPr>
        <w:t>The input port of the device under test (DUT) was connected to the preceding solid-state devices in series. The DUT employed parallel and independent bias-controlled diodes. The output port of the DUT was connected sequentially to a 10dB fixed attenuator for WR-5.1, a waveguide adapter from WR-5.1 to WR-10, and the probe of VDI PM5. The attenuator serves to protect the instrument and probe, as the detected power may occasionally exceed the rated power. The waveguide adapter and probe are used to convert and measure the output power.</w:t>
      </w:r>
    </w:p>
    <w:p w14:paraId="1E2ADC6E" w14:textId="77777777" w:rsidR="00D31248" w:rsidRPr="00122122" w:rsidRDefault="00D31248" w:rsidP="00D31248">
      <w:pPr>
        <w:ind w:firstLineChars="200" w:firstLine="400"/>
        <w:rPr>
          <w:rFonts w:ascii="Times New Roman" w:hAnsi="Times New Roman" w:cs="Times New Roman"/>
          <w:sz w:val="20"/>
          <w:szCs w:val="21"/>
        </w:rPr>
      </w:pPr>
      <w:r w:rsidRPr="00122122">
        <w:rPr>
          <w:rFonts w:ascii="Times New Roman" w:hAnsi="Times New Roman" w:cs="Times New Roman"/>
          <w:sz w:val="20"/>
          <w:szCs w:val="21"/>
        </w:rPr>
        <w:t>In the experiment, we used power monitor 1 to observe the input power and power monitor 2 to read the output power. Through this method, we were able to test and verify the performance of the device. During the testing process, we conducted high-power tests on the device, starting from a smaller input power and gradually increasing it until the output power exceeded 300mW. This process validated the actual performance of the device.</w:t>
      </w:r>
    </w:p>
    <w:p w14:paraId="6D572EFE" w14:textId="77777777" w:rsidR="00D31248" w:rsidRDefault="00D31248" w:rsidP="00D31248">
      <w:pPr>
        <w:widowControl/>
        <w:jc w:val="left"/>
        <w:rPr>
          <w:rFonts w:ascii="Times New Roman" w:hAnsi="Times New Roman" w:cs="Times New Roman"/>
          <w:sz w:val="32"/>
          <w:szCs w:val="36"/>
        </w:rPr>
      </w:pPr>
      <w:r>
        <w:rPr>
          <w:rFonts w:ascii="Times New Roman" w:hAnsi="Times New Roman" w:cs="Times New Roman"/>
          <w:sz w:val="32"/>
          <w:szCs w:val="36"/>
        </w:rPr>
        <w:br w:type="page"/>
      </w:r>
    </w:p>
    <w:p w14:paraId="44B2A79B" w14:textId="77777777" w:rsidR="00D31248" w:rsidRPr="00122122" w:rsidRDefault="00D31248" w:rsidP="00D31248">
      <w:pPr>
        <w:rPr>
          <w:rFonts w:ascii="Times New Roman" w:hAnsi="Times New Roman" w:cs="Times New Roman"/>
          <w:b/>
          <w:bCs/>
          <w:sz w:val="24"/>
          <w:szCs w:val="28"/>
        </w:rPr>
      </w:pPr>
      <w:r w:rsidRPr="00122122">
        <w:rPr>
          <w:rFonts w:ascii="Times New Roman" w:hAnsi="Times New Roman" w:cs="Times New Roman"/>
          <w:b/>
          <w:bCs/>
          <w:sz w:val="24"/>
          <w:szCs w:val="28"/>
        </w:rPr>
        <w:lastRenderedPageBreak/>
        <w:t>Extended Data Table 1 | Comparison between THz Frequency Multipliers based on Meta-device Concept and Traditional Devices:</w:t>
      </w:r>
    </w:p>
    <w:p w14:paraId="14D4BD5A" w14:textId="77777777" w:rsidR="00D31248" w:rsidRPr="00CE1F33" w:rsidRDefault="00D31248" w:rsidP="00D31248">
      <w:pPr>
        <w:rPr>
          <w:rFonts w:ascii="Times New Roman" w:hAnsi="Times New Roman" w:cs="Times New Roman"/>
          <w:sz w:val="32"/>
          <w:szCs w:val="36"/>
        </w:rPr>
      </w:pPr>
      <w:r>
        <w:rPr>
          <w:rFonts w:ascii="Times New Roman" w:hAnsi="Times New Roman" w:cs="Times New Roman"/>
          <w:noProof/>
          <w:sz w:val="32"/>
          <w:szCs w:val="36"/>
        </w:rPr>
        <w:drawing>
          <wp:inline distT="0" distB="0" distL="0" distR="0" wp14:anchorId="030C1A90" wp14:editId="0263BA9E">
            <wp:extent cx="5117930" cy="3403422"/>
            <wp:effectExtent l="0" t="0" r="6985" b="6985"/>
            <wp:docPr id="396979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136140" cy="3415532"/>
                    </a:xfrm>
                    <a:prstGeom prst="rect">
                      <a:avLst/>
                    </a:prstGeom>
                    <a:noFill/>
                  </pic:spPr>
                </pic:pic>
              </a:graphicData>
            </a:graphic>
          </wp:inline>
        </w:drawing>
      </w:r>
    </w:p>
    <w:p w14:paraId="4070E995" w14:textId="77777777" w:rsidR="00D31248" w:rsidRPr="00122122" w:rsidRDefault="00D31248" w:rsidP="00D31248">
      <w:pPr>
        <w:widowControl/>
        <w:ind w:firstLine="420"/>
        <w:rPr>
          <w:rFonts w:ascii="Times New Roman" w:hAnsi="Times New Roman" w:cs="Times New Roman"/>
          <w:kern w:val="44"/>
          <w:sz w:val="20"/>
          <w:szCs w:val="20"/>
        </w:rPr>
      </w:pPr>
      <w:r w:rsidRPr="00122122">
        <w:rPr>
          <w:rFonts w:ascii="Times New Roman" w:hAnsi="Times New Roman" w:cs="Times New Roman"/>
          <w:kern w:val="44"/>
          <w:sz w:val="20"/>
          <w:szCs w:val="20"/>
        </w:rPr>
        <w:t>The technical specifications for THz frequency multipliers</w:t>
      </w:r>
      <w:r>
        <w:rPr>
          <w:rFonts w:ascii="Times New Roman" w:hAnsi="Times New Roman" w:cs="Times New Roman"/>
          <w:kern w:val="44"/>
          <w:sz w:val="20"/>
          <w:szCs w:val="20"/>
        </w:rPr>
        <w:fldChar w:fldCharType="begin"/>
      </w:r>
      <w:r>
        <w:rPr>
          <w:rFonts w:ascii="Times New Roman" w:hAnsi="Times New Roman" w:cs="Times New Roman"/>
          <w:kern w:val="44"/>
          <w:sz w:val="20"/>
          <w:szCs w:val="20"/>
        </w:rPr>
        <w:instrText xml:space="preserve"> ADDIN ZOTERO_ITEM CSL_CITATION {"citationID":"K3Kmh8CX","properties":{"formattedCitation":"\\super 7,15,18,23,25,33\\uc0\\u8211{}36\\nosupersub{}","plainCitation":"7,15,18,23,25,33–36","noteIndex":0},"citationItems":[{"id":140,"uris":["http://zotero.org/users/7778468/items/3R2PCKWN"],"itemData":{"id":140,"type":"article-journal","abstract":"We report on the design, fabrication, and testing of a new generation of all-solid-state frequency-multiplied terahertz sources providing up to ten times more output power at room temperature than the previous state of the art. These new sources beneﬁt from both a novel “on-chip” power combined topology recently introduced and new devices and circuits thoroughly optimized for high-power operation. Prototypes centered at 180 GHz, 240 GHz, 340 GHz, 530 GHz, 1 THz, and 1.6 THz have been designed, fabricated, and tested. All sources exhibit record performances with conversion efﬁciencies reaching the theoretical limit predicted by physics-based numerical models. Measured nominal room-temperature output power levels are 500 mW at 180 GHz, 110 mW at 220 GHz, 35 mW at 330 GHz, 30 mW at 550 GHz, 2 mW at 1.03 THz, and 0.7 mW at 1.64 THz.","container-title":"IEEE Transactions on Terahertz Science and Technology","DOI":"10.1109/TTHZ.2018.2876620","ISSN":"2156-342X, 2156-3446","issue":"6","journalAbbreviation":"IEEE Trans. THz Sci. Technol.","language":"en","page":"596-604","source":"DOI.org (Crossref)","title":"A New Generation of Room-Temperature Frequency-Multiplied Sources With up to 10× Higher Output Power in the 160-GHz–1.6-THz Range","volume":"8","author":[{"family":"Siles","given":"Jose V."},{"family":"Cooper","given":"Ken B."},{"family":"Lee","given":"Choonsup"},{"family":"Lin","given":"Robert H."},{"family":"Chattopadhyay","given":"Goutam"},{"family":"Mehdi","given":"Imran"}],"issued":{"date-parts":[["2018",11]]}}},{"id":164,"uris":["http://zotero.org/users/7778468/items/JV7UAVNQ"],"itemData":{"id":164,"type":"article-journal","abstract":"This letter reports on the ﬁrst demonstration of a power-combined Schottky diode frequency doubler that uses counter-rotated E-ﬁelds at the output of two frequency doublers to enable in-phase H-plane power-combining. The single chip integrated circuit comprises of a four-anode structure on a 20-µm-thick GaAs substrate that when used individually demonstrates a peak efﬁciency of 34% and the maximum output power of 109 mW at 180 GHz. In a power-combined conﬁguration, the frequency doubler with counter-rotated E-ﬁelds exhibits a 3-dB bandwidth of 10% and a peak conversion efﬁciency of 37% for input powers between 150 and 200 mW. This doubler delivers 130-mW output power and 26% conversion efﬁciency for 500-mW input. The novel H-plane power-combined frequency doubler is compared with the single-chip doubler to show the combining efﬁciency and the chip-to-chip variation for multiple circuit builds.","container-title":"IEEE Microwave and Wireless Components Letters","DOI":"10.1109/LMWC.2018.2824561","ISSN":"1531-1309, 1558-1764","issue":"6","journalAbbreviation":"IEEE Microw. Wireless Compon. Lett.","language":"en","page":"518-520","source":"DOI.org (Crossref)","title":"A 180-GHz Schottky Diode Frequency Doubler With Counter-Rotated $E$ -Fields to Provide In-Phase Power-Combining","volume":"28","author":[{"family":"Viegas","given":"Colin"},{"family":"Liu","given":"Hairui"},{"family":"Powell","given":"Jeff"},{"family":"Sanghera","given":"Hosh"},{"family":"Whimster","given":"Andrew"},{"family":"Donoghue","given":"Lynn"},{"family":"Huggard","given":"Peter G."},{"family":"Alderman","given":"Byron"}],"issued":{"date-parts":[["2018",6]]}}},{"id":355,"uris":["http://zotero.org/users/7778468/items/35MWHM38"],"itemData":{"id":355,"type":"article-journal","abstract":"A tunable G-band frequency-modulated continuous-wave radar system has been developed and used to perform differential absorption atmospheric humidity measurements for the ﬁrst time. The radar’s transmitter uses highpower-handling GaAs Schottky diodes to generate between 15–23 dBm over a 10-GHz bandwidth near 183 GHz. By virtue of a high-isolation circular polarization duplexer, the monostatic radar’s receiver maintains a noise ﬁgure of about 7 dB even while the transmitter is on. With an antenna gain of 40 dB, highSNR detection of light rain is achieved out to several hundred meters distance. Owing to the strong spectral dependence of the atmospheric absorption over the upper ﬂank of the 183-GHz water absorption line, range-resolved measurements of absolute humidity can be obtained by ratioing the rain echoes over both range and frequency. Absorption measurements obtained are consistent with models of atmospheric millimeter-wave attenuation, and they demonstrate a new method for improving the accuracy of humidity measurements inside of clouds.","container-title":"IEEE Geoscience and Remote Sensing Letters","DOI":"10.1109/LGRS.2017.2776078","ISSN":"1545-598X, 1558-0571","issue":"2","journalAbbreviation":"IEEE Geosci. Remote Sensing Lett.","language":"en","page":"163-167","source":"DOI.org (Crossref)","title":"Atmospheric Humidity Sounding Using Differential Absorption Radar Near 183 GHz","volume":"15","author":[{"family":"Cooper","given":"Ken B."},{"family":"Rodriguez Monje","given":"Raquel"},{"family":"Millan","given":"Luis"},{"family":"Lebsock","given":"Matthew"},{"family":"Tanelli","given":"Simone"},{"family":"Siles","given":"Jose V."},{"family":"Lee","given":"Choonsup"},{"family":"Brown","given":"Andrew"}],"issued":{"date-parts":[["2018",2]]}}},{"id":441,"uris":["http://zotero.org/users/7778468/items/HVD4BCRT"],"itemData":{"id":441,"type":"article-journal","container-title":"IEEE Microwave and Wireless Components Letters","DOI":"10.1109/LMWC.2015.2390539","ISSN":"1531-1309, 1558-1764","issue":"3","journalAbbreviation":"IEEE Microw. Wireless Compon. Lett.","language":"en","page":"157-159","source":"DOI.org (Crossref)","title":"A High-Power 105–120 GHz Broadband On-Chip Power-Combined Frequency Tripler","volume":"25","author":[{"family":"Siles","given":"Jose V."},{"family":"Lee","given":"Choonsup"},{"family":"Lin","given":"Robert"},{"family":"Chattopadhyay","given":"Goutam"},{"family":"Reck","given":"Theodore"},{"family":"Jung-Kubiak","given":"Cecile"},{"family":"Mehdi","given":"Imran"},{"family":"Cooper","given":"Ken B."}],"issued":{"date-parts":[["2015",3]]}}},{"id":85,"uris":["http://zotero.org/users/7778468/items/D6TWQ44W"],"itemData":{"id":85,"type":"paper-conference","abstract":"A series of THz-MIC-s were successfully fabricated by a so-called Film-Diode process. Sub-millimeterwave multipliers based on these MIC-s were tested with excellent results. Peak measured output power of these multipliers was 14mW@332GHz, 12mW@440GHz, and 5mW@600GHz. These results represent European state-of-the-art performance at these frequencies.","container-title":"2016 46th European Microwave Conference (EuMC)","DOI":"10.1109/EuMC.2016.7824347","event-place":"London, United Kingdom","event-title":"2016 46th European Microwave Conference (EuMC)","ISBN":"978-2-87487-043-9","language":"en","page":"337-340","publisher":"IEEE","publisher-place":"London, United Kingdom","source":"DOI.org (Crossref)","title":"SubMM-wave multipliers by film-diode technology","URL":"http://ieeexplore.ieee.org/document/7824347/","author":[{"family":"Cojocari","given":"Oleg"},{"family":"Oprea","given":"Ion"},{"family":"Gibson","given":"Hugh"},{"family":"Walber","given":"Achim"}],"accessed":{"date-parts":[["2021",4,1]]},"issued":{"date-parts":[["2016",10]]}}},{"id":184,"uris":["http://zotero.org/users/7778468/items/Q7GBN2ER"],"itemData":{"id":184,"type":"article-journal","abstract":"This letter presents our study on a high power 220 GHz frequency tripler based on a pair of GaN planar Schottky barrier diode chain chips. In the proposed frequency tripler, the pair of diode chips was directly mounted across the metal diaphragm in parallel with the opposite polarisation inside the rectangular waveguide. The RF ﬁeld is tuned to its hot-spot, coupling directly onto the diode chains, turning on a diode chain at a time in an alternative manner. Unlike the traditional ones, in order to achieve better heat dissipation, the diodes are directly connected with the metal block. Beneﬁtting from a better heat dissipation and the power endurance capacity of GaN material, the proposed tripler can work well under a watt level input power. The simulated tripler frequency conversion performance agrees with the measurement results very well. In addition, the experiments show that the frequency tripler can endure a maximum input power of 1.1W. In addition, the output power of this frequency tripler is 17.5mW at 219.5GHz driven by 900mW input power with the best efﬁciency of 1.93%.","container-title":"IEEE Electron Device Letters","DOI":"10.1109/LED.2019.2903430","ISSN":"0741-3106, 1558-0563","issue":"5","journalAbbreviation":"IEEE Electron Device Lett.","language":"en","page":"780-783","source":"DOI.org (Crossref)","title":"A Novel 220-GHz GaN Diode On-Chip Tripler With High Driven Power","volume":"40","author":[{"family":"Zhang","given":"Bo"},{"family":"Ji","given":"Dongfeng"},{"family":"Fang","given":"Deng"},{"family":"Liang","given":"Shixiong"},{"family":"Fan","given":"Yong"},{"family":"Chen","given":"Xiaodong"}],"issued":{"date-parts":[["2019",5]]}}},{"id":177,"uris":["http://zotero.org/users/7778468/items/YKYLIZVB"],"itemData":{"id":177,"type":"article-journal","abstract":"In this paper, the development of two high power 220 GHz frequency triplers is proposed. The GaAs Schottky diodes with six nodes are applied to realize high efﬁciency 220 GHz tripler, while the application of GaN Schottky diodes with eight nodes is another attempt to improve power handling of the 220 GHz tripler. To reduce thermal effect of high power multipliers, the AlN substrates with high thermal conductivity are applied to provide better heat dissipation at the diode areas. A combination of electrical and thermal model of the Schottky diodes is established while the optimization of 220 GHz triplers are realized with 3D electromagnetic (EM) simulation and harmonic balanced simulation. Good agreement is achieved between the simulated results based on electro-thermal model and measured performances of the triplers. At room temperature, peak efﬁciency of the tripler based on GaAs Schottky diodes is 17.8%, while the maximum output of the tripler is 38.2 mW with 300 mW input power. As for the 220 GHz GaN Schottky diode tripler, measured results show that the maximum power handling is beyond 400 mW. The peak efﬁciency and maximum output are 4.7% and 18.4 mW, respectively. The proposed methods of developing high power multipliers can be applied in higher frequency band in the future.","container-title":"IEEE Access","DOI":"10.1109/ACCESS.2020.2988454","ISSN":"2169-3536","journalAbbreviation":"IEEE Access","language":"en","page":"74401-74412","source":"DOI.org (Crossref)","title":"Development of High Power 220 GHz Frequency Triplers Based on Schottky Diodes","volume":"8","author":[{"family":"Yang","given":"Yilin"},{"family":"Zhang","given":"Bo"},{"family":"Wang","given":"Yiwei"},{"family":"Niu","given":"Zhongqian"},{"family":"Ji","given":"Dongfeng"},{"family":"Zhao","given":"Xiangyang"},{"family":"Fan","given":"Yong"}],"issued":{"date-parts":[["2020"]]}}},{"id":80,"uris":["http://zotero.org/users/7778468/items/7Z65UX82"],"itemData":{"id":80,"type":"paper-conference","abstract":"We report on a new series of millimeter and submillimeter-wave frequency multipliers specifically optimized for very high-power operation in order to meet the requirements of next generation terahertz instruments for Astrophysics, Planetary science, Earth science and radar imaging applications. New frequency multiplier chips have been designed and fabricated in the 100 GHz to 1 THz range focusing on higher power operation. Initial tests have shown efficiencies of around 30% for a single-chip 105-120 GHz tripler, and 25% for a singlechip 170-200 GHz doubler, when pumped with 500 mW. These results correspond to a factor of 2-3 improvement with regards to previous designs at these frequencies. Similar improvements are expected for the new designs at higher frequencies.","container-title":"2015 40th International Conference on Infrared, Millimeter, and Terahertz waves (IRMMW-THz)","DOI":"10.1109/IRMMW-THz.2015.7327677","event-place":"Hong Kong, China","event-title":"2015 40th International Conference on Infrared, Millimeter, and Terahertz waves (IRMMW-THz)","ISBN":"978-1-4799-8272-1","language":"en","page":"1-1","publisher":"IEEE","publisher-place":"Hong Kong, China","source":"DOI.org (Crossref)","title":"High-efficiency planar Schottky diode based submillimeter-wave frequency multipliers optimized for high-power operation","URL":"http://ieeexplore.ieee.org/document/7327677/","author":[{"family":"Siles","given":"Jose V."},{"family":"Schlecht","given":"Erich"},{"family":"Lin","given":"Robert"},{"family":"Lee","given":"Choonsup"},{"family":"Mehdi","given":"Imran"}],"accessed":{"date-parts":[["2021",4,1]]},"issued":{"date-parts":[["2015",8]]}}},{"id":153,"uris":["http://zotero.org/users/7778468/items/7SCXFTCF"],"itemData":{"id":153,"type":"paper-conference","abstract":"A novel approach has been developed at ACST for realization of high-power frequency multipliers in MM/SubMMWave range. This approach is based on discrete Schottky structures with monolithically-integrated diamond heatspreader.","container-title":"2018 43rd International Conference on Infrared, Millimeter, and Terahertz Waves (IRMMW-THz)","DOI":"10.1109/IRMMW-THz.2018.8509861","event-place":"Nagoya","event-title":"2018 43rd International Conference on Infrared, Millimeter, and Terahertz Waves (IRMMW-THz 2018)","ISBN":"978-1-5386-3809-5","language":"en","page":"1-2","publisher":"IEEE","publisher-place":"Nagoya","source":"DOI.org (Crossref)","title":"High-Power MM-Wave Sources based on Schottky Diodes","URL":"https://ieeexplore.ieee.org/document/8509861/","author":[{"family":"Cojocari","given":"Oleg"},{"family":"Moro-Melgar","given":"Diego"},{"family":"Oprea","given":"Ion"},{"family":"Hoefle","given":"Matthias"},{"family":"Rickes","given":"Martin"}],"accessed":{"date-parts":[["2021",4,1]]},"issued":{"date-parts":[["2018",9]]}}}],"schema":"https://github.com/citation-style-language/schema/raw/master/csl-citation.json"} </w:instrText>
      </w:r>
      <w:r>
        <w:rPr>
          <w:rFonts w:ascii="Times New Roman" w:hAnsi="Times New Roman" w:cs="Times New Roman"/>
          <w:kern w:val="44"/>
          <w:sz w:val="20"/>
          <w:szCs w:val="20"/>
        </w:rPr>
        <w:fldChar w:fldCharType="separate"/>
      </w:r>
      <w:r w:rsidRPr="004F4666">
        <w:rPr>
          <w:rFonts w:ascii="Times New Roman" w:hAnsi="Times New Roman" w:cs="Times New Roman"/>
          <w:kern w:val="0"/>
          <w:sz w:val="20"/>
          <w:szCs w:val="24"/>
          <w:vertAlign w:val="superscript"/>
        </w:rPr>
        <w:t>7,15,18,23,25,33–</w:t>
      </w:r>
      <w:r>
        <w:rPr>
          <w:rFonts w:ascii="Times New Roman" w:hAnsi="Times New Roman" w:cs="Times New Roman" w:hint="eastAsia"/>
          <w:kern w:val="0"/>
          <w:sz w:val="20"/>
          <w:szCs w:val="24"/>
          <w:vertAlign w:val="superscript"/>
        </w:rPr>
        <w:t>40</w:t>
      </w:r>
      <w:r>
        <w:rPr>
          <w:rFonts w:ascii="Times New Roman" w:hAnsi="Times New Roman" w:cs="Times New Roman"/>
          <w:kern w:val="44"/>
          <w:sz w:val="20"/>
          <w:szCs w:val="20"/>
        </w:rPr>
        <w:fldChar w:fldCharType="end"/>
      </w:r>
      <w:r w:rsidRPr="00122122">
        <w:rPr>
          <w:rFonts w:ascii="Times New Roman" w:hAnsi="Times New Roman" w:cs="Times New Roman"/>
          <w:kern w:val="44"/>
          <w:sz w:val="20"/>
          <w:szCs w:val="20"/>
        </w:rPr>
        <w:t xml:space="preserve">. Classic THz frequency multipliers often utilize two semiconductor materials, GaN and GaAs, to achieve higher power. However, the less heat-resistant GaN material is typically operated at very low duty cycles to achieve greater pulse power capacity. Nevertheless, for practical applications, continuous wave (CW) THz takes precedence, and power combining techniques can further extend the power capacity. However, for practical applications, </w:t>
      </w:r>
      <w:r>
        <w:rPr>
          <w:rFonts w:ascii="Times New Roman" w:hAnsi="Times New Roman" w:cs="Times New Roman" w:hint="eastAsia"/>
          <w:kern w:val="44"/>
          <w:sz w:val="20"/>
          <w:szCs w:val="20"/>
        </w:rPr>
        <w:t>CW</w:t>
      </w:r>
      <w:r w:rsidRPr="00122122">
        <w:rPr>
          <w:rFonts w:ascii="Times New Roman" w:hAnsi="Times New Roman" w:cs="Times New Roman"/>
          <w:kern w:val="44"/>
          <w:sz w:val="20"/>
          <w:szCs w:val="20"/>
        </w:rPr>
        <w:t xml:space="preserve"> THz is dominant, and power combining techniques can further extend the power capacity. Taking the WR-5.1 waveguide standard as an example, # represents the Meta single-layer frequency multiplier structure, and * represents the Meta double-layer frequency multiplier structure, both of which are capable of competing with, or even outperforming, the power combining approach.</w:t>
      </w:r>
    </w:p>
    <w:p w14:paraId="7D4CA870" w14:textId="46BDC255" w:rsidR="006B52E2" w:rsidRPr="00D31248" w:rsidRDefault="006B52E2" w:rsidP="00FC1083">
      <w:pPr>
        <w:widowControl/>
        <w:jc w:val="left"/>
        <w:rPr>
          <w:rFonts w:ascii="Times New Roman" w:hAnsi="Times New Roman" w:cs="Times New Roman"/>
          <w:kern w:val="44"/>
          <w:sz w:val="20"/>
          <w:szCs w:val="20"/>
        </w:rPr>
      </w:pPr>
    </w:p>
    <w:sectPr w:rsidR="006B52E2" w:rsidRPr="00D31248" w:rsidSect="00F528F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6593A74" w14:textId="77777777" w:rsidR="008F6611" w:rsidRDefault="008F6611" w:rsidP="002F6C5F">
      <w:r>
        <w:separator/>
      </w:r>
    </w:p>
  </w:endnote>
  <w:endnote w:type="continuationSeparator" w:id="0">
    <w:p w14:paraId="093429DC" w14:textId="77777777" w:rsidR="008F6611" w:rsidRDefault="008F6611" w:rsidP="002F6C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39CFFE4" w14:textId="77777777" w:rsidR="008F6611" w:rsidRDefault="008F6611" w:rsidP="002F6C5F">
      <w:r>
        <w:separator/>
      </w:r>
    </w:p>
  </w:footnote>
  <w:footnote w:type="continuationSeparator" w:id="0">
    <w:p w14:paraId="5AB25F3C" w14:textId="77777777" w:rsidR="008F6611" w:rsidRDefault="008F6611" w:rsidP="002F6C5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2A396D"/>
    <w:multiLevelType w:val="hybridMultilevel"/>
    <w:tmpl w:val="DC9CDAFE"/>
    <w:lvl w:ilvl="0" w:tplc="DB1A0136">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num w:numId="1" w16cid:durableId="11701766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defaultTabStop w:val="42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4B51"/>
    <w:rsid w:val="000000B1"/>
    <w:rsid w:val="00000584"/>
    <w:rsid w:val="00000ACF"/>
    <w:rsid w:val="00001C7F"/>
    <w:rsid w:val="00002368"/>
    <w:rsid w:val="000034FE"/>
    <w:rsid w:val="00005B3F"/>
    <w:rsid w:val="000075B6"/>
    <w:rsid w:val="00007FC9"/>
    <w:rsid w:val="00011791"/>
    <w:rsid w:val="00020B35"/>
    <w:rsid w:val="0002403C"/>
    <w:rsid w:val="00034106"/>
    <w:rsid w:val="0003467B"/>
    <w:rsid w:val="000349E4"/>
    <w:rsid w:val="00036F65"/>
    <w:rsid w:val="000373C2"/>
    <w:rsid w:val="00037E84"/>
    <w:rsid w:val="00041292"/>
    <w:rsid w:val="0004393E"/>
    <w:rsid w:val="000445B7"/>
    <w:rsid w:val="00045642"/>
    <w:rsid w:val="00051732"/>
    <w:rsid w:val="0005238F"/>
    <w:rsid w:val="0005564C"/>
    <w:rsid w:val="00055DF2"/>
    <w:rsid w:val="000573E6"/>
    <w:rsid w:val="00057A71"/>
    <w:rsid w:val="00061230"/>
    <w:rsid w:val="000640EB"/>
    <w:rsid w:val="0006482C"/>
    <w:rsid w:val="000662F0"/>
    <w:rsid w:val="00066E68"/>
    <w:rsid w:val="000670C1"/>
    <w:rsid w:val="000670D1"/>
    <w:rsid w:val="000679BE"/>
    <w:rsid w:val="00070488"/>
    <w:rsid w:val="00070E31"/>
    <w:rsid w:val="00072227"/>
    <w:rsid w:val="00072DAD"/>
    <w:rsid w:val="000747E4"/>
    <w:rsid w:val="000760EF"/>
    <w:rsid w:val="000763E6"/>
    <w:rsid w:val="00077DB4"/>
    <w:rsid w:val="00082592"/>
    <w:rsid w:val="000854FE"/>
    <w:rsid w:val="00085D17"/>
    <w:rsid w:val="00085E0C"/>
    <w:rsid w:val="00092894"/>
    <w:rsid w:val="0009441B"/>
    <w:rsid w:val="000955B1"/>
    <w:rsid w:val="000A3CC5"/>
    <w:rsid w:val="000A48EA"/>
    <w:rsid w:val="000A5534"/>
    <w:rsid w:val="000A7D7C"/>
    <w:rsid w:val="000B051E"/>
    <w:rsid w:val="000B4600"/>
    <w:rsid w:val="000B4BC9"/>
    <w:rsid w:val="000B5DF3"/>
    <w:rsid w:val="000B6F8E"/>
    <w:rsid w:val="000C0157"/>
    <w:rsid w:val="000C11E3"/>
    <w:rsid w:val="000C43AB"/>
    <w:rsid w:val="000C7080"/>
    <w:rsid w:val="000D0575"/>
    <w:rsid w:val="000D11AC"/>
    <w:rsid w:val="000D144B"/>
    <w:rsid w:val="000D1FEF"/>
    <w:rsid w:val="000D2DE1"/>
    <w:rsid w:val="000D5375"/>
    <w:rsid w:val="000D6DBC"/>
    <w:rsid w:val="000D6DC1"/>
    <w:rsid w:val="000D6F4C"/>
    <w:rsid w:val="000E1693"/>
    <w:rsid w:val="000E6282"/>
    <w:rsid w:val="000E651B"/>
    <w:rsid w:val="000E7953"/>
    <w:rsid w:val="000F1C3C"/>
    <w:rsid w:val="000F2275"/>
    <w:rsid w:val="000F3A4E"/>
    <w:rsid w:val="000F3D16"/>
    <w:rsid w:val="000F5372"/>
    <w:rsid w:val="000F538D"/>
    <w:rsid w:val="000F6E53"/>
    <w:rsid w:val="00103D5E"/>
    <w:rsid w:val="00104B39"/>
    <w:rsid w:val="00106F0E"/>
    <w:rsid w:val="0011059C"/>
    <w:rsid w:val="001105FE"/>
    <w:rsid w:val="00111962"/>
    <w:rsid w:val="0011311D"/>
    <w:rsid w:val="00115083"/>
    <w:rsid w:val="001156A1"/>
    <w:rsid w:val="00115714"/>
    <w:rsid w:val="001164BD"/>
    <w:rsid w:val="00116D91"/>
    <w:rsid w:val="00120544"/>
    <w:rsid w:val="00120842"/>
    <w:rsid w:val="00120A7A"/>
    <w:rsid w:val="00120C3D"/>
    <w:rsid w:val="00122122"/>
    <w:rsid w:val="00122CC9"/>
    <w:rsid w:val="00125F4F"/>
    <w:rsid w:val="00126E20"/>
    <w:rsid w:val="00135BF0"/>
    <w:rsid w:val="00135C70"/>
    <w:rsid w:val="00137510"/>
    <w:rsid w:val="00141685"/>
    <w:rsid w:val="00142931"/>
    <w:rsid w:val="00142AFF"/>
    <w:rsid w:val="00144D2E"/>
    <w:rsid w:val="00145032"/>
    <w:rsid w:val="00147174"/>
    <w:rsid w:val="0015001A"/>
    <w:rsid w:val="0015396B"/>
    <w:rsid w:val="00154611"/>
    <w:rsid w:val="001559D4"/>
    <w:rsid w:val="00155EA2"/>
    <w:rsid w:val="00160061"/>
    <w:rsid w:val="001606E5"/>
    <w:rsid w:val="00161964"/>
    <w:rsid w:val="00164549"/>
    <w:rsid w:val="001663D8"/>
    <w:rsid w:val="00167253"/>
    <w:rsid w:val="00170458"/>
    <w:rsid w:val="00170B34"/>
    <w:rsid w:val="00172EC8"/>
    <w:rsid w:val="00174CE0"/>
    <w:rsid w:val="0018111A"/>
    <w:rsid w:val="00181829"/>
    <w:rsid w:val="00184418"/>
    <w:rsid w:val="001854CE"/>
    <w:rsid w:val="00185967"/>
    <w:rsid w:val="00190E88"/>
    <w:rsid w:val="001931E2"/>
    <w:rsid w:val="00194AC5"/>
    <w:rsid w:val="00195202"/>
    <w:rsid w:val="0019575B"/>
    <w:rsid w:val="00196440"/>
    <w:rsid w:val="00196515"/>
    <w:rsid w:val="00197D46"/>
    <w:rsid w:val="001A1210"/>
    <w:rsid w:val="001A153B"/>
    <w:rsid w:val="001A314C"/>
    <w:rsid w:val="001A4411"/>
    <w:rsid w:val="001A523F"/>
    <w:rsid w:val="001A667E"/>
    <w:rsid w:val="001B0343"/>
    <w:rsid w:val="001B16BA"/>
    <w:rsid w:val="001B1A56"/>
    <w:rsid w:val="001B1C14"/>
    <w:rsid w:val="001B3A9C"/>
    <w:rsid w:val="001B4E6F"/>
    <w:rsid w:val="001B6931"/>
    <w:rsid w:val="001C31B4"/>
    <w:rsid w:val="001C37EC"/>
    <w:rsid w:val="001C40C0"/>
    <w:rsid w:val="001C5252"/>
    <w:rsid w:val="001C5C32"/>
    <w:rsid w:val="001C5F1D"/>
    <w:rsid w:val="001C6D9C"/>
    <w:rsid w:val="001C706C"/>
    <w:rsid w:val="001C7508"/>
    <w:rsid w:val="001C7D77"/>
    <w:rsid w:val="001D024B"/>
    <w:rsid w:val="001D1F7B"/>
    <w:rsid w:val="001D6E41"/>
    <w:rsid w:val="001E1945"/>
    <w:rsid w:val="001E2170"/>
    <w:rsid w:val="001E6B52"/>
    <w:rsid w:val="001F3C49"/>
    <w:rsid w:val="001F5C1A"/>
    <w:rsid w:val="001F7C40"/>
    <w:rsid w:val="00201CB0"/>
    <w:rsid w:val="0020690A"/>
    <w:rsid w:val="00207B91"/>
    <w:rsid w:val="00210F3E"/>
    <w:rsid w:val="00215968"/>
    <w:rsid w:val="00215B34"/>
    <w:rsid w:val="00216D44"/>
    <w:rsid w:val="002171A7"/>
    <w:rsid w:val="00221FAD"/>
    <w:rsid w:val="0022207A"/>
    <w:rsid w:val="00230E77"/>
    <w:rsid w:val="002333CF"/>
    <w:rsid w:val="00240613"/>
    <w:rsid w:val="002441A4"/>
    <w:rsid w:val="0024482D"/>
    <w:rsid w:val="0024509A"/>
    <w:rsid w:val="00246B42"/>
    <w:rsid w:val="00247BA7"/>
    <w:rsid w:val="00247BEE"/>
    <w:rsid w:val="00256749"/>
    <w:rsid w:val="00261683"/>
    <w:rsid w:val="0026696F"/>
    <w:rsid w:val="002738D1"/>
    <w:rsid w:val="00274736"/>
    <w:rsid w:val="00275223"/>
    <w:rsid w:val="00276D27"/>
    <w:rsid w:val="00277C8D"/>
    <w:rsid w:val="0028426F"/>
    <w:rsid w:val="00284CD2"/>
    <w:rsid w:val="002859E3"/>
    <w:rsid w:val="002878F9"/>
    <w:rsid w:val="00290BCE"/>
    <w:rsid w:val="0029204C"/>
    <w:rsid w:val="00292D7F"/>
    <w:rsid w:val="00292DB9"/>
    <w:rsid w:val="00293B34"/>
    <w:rsid w:val="00293C5A"/>
    <w:rsid w:val="002944AC"/>
    <w:rsid w:val="00295288"/>
    <w:rsid w:val="002953EE"/>
    <w:rsid w:val="002A0089"/>
    <w:rsid w:val="002A0C27"/>
    <w:rsid w:val="002A2387"/>
    <w:rsid w:val="002B1C28"/>
    <w:rsid w:val="002B2AAA"/>
    <w:rsid w:val="002B2F56"/>
    <w:rsid w:val="002B3332"/>
    <w:rsid w:val="002B53CE"/>
    <w:rsid w:val="002B59FA"/>
    <w:rsid w:val="002B5E38"/>
    <w:rsid w:val="002B6DFA"/>
    <w:rsid w:val="002B770F"/>
    <w:rsid w:val="002C318C"/>
    <w:rsid w:val="002C5138"/>
    <w:rsid w:val="002C650E"/>
    <w:rsid w:val="002C6BC1"/>
    <w:rsid w:val="002C7132"/>
    <w:rsid w:val="002C713D"/>
    <w:rsid w:val="002C7B6A"/>
    <w:rsid w:val="002D00DD"/>
    <w:rsid w:val="002D43AA"/>
    <w:rsid w:val="002D6697"/>
    <w:rsid w:val="002D6D66"/>
    <w:rsid w:val="002D6FC5"/>
    <w:rsid w:val="002E2214"/>
    <w:rsid w:val="002E3830"/>
    <w:rsid w:val="002E7CCF"/>
    <w:rsid w:val="002F0562"/>
    <w:rsid w:val="002F2C5E"/>
    <w:rsid w:val="002F3DBF"/>
    <w:rsid w:val="002F48A5"/>
    <w:rsid w:val="002F584A"/>
    <w:rsid w:val="002F6C5F"/>
    <w:rsid w:val="002F7A09"/>
    <w:rsid w:val="00301A83"/>
    <w:rsid w:val="00301C94"/>
    <w:rsid w:val="003040A8"/>
    <w:rsid w:val="0030450F"/>
    <w:rsid w:val="00304B1C"/>
    <w:rsid w:val="00304D47"/>
    <w:rsid w:val="00304DF6"/>
    <w:rsid w:val="00305CA0"/>
    <w:rsid w:val="00306C0E"/>
    <w:rsid w:val="00306E37"/>
    <w:rsid w:val="00307795"/>
    <w:rsid w:val="00310CD8"/>
    <w:rsid w:val="003116C7"/>
    <w:rsid w:val="00313F63"/>
    <w:rsid w:val="00314846"/>
    <w:rsid w:val="003225EF"/>
    <w:rsid w:val="003227DB"/>
    <w:rsid w:val="00324960"/>
    <w:rsid w:val="00326D6C"/>
    <w:rsid w:val="0032729B"/>
    <w:rsid w:val="00330D75"/>
    <w:rsid w:val="00331911"/>
    <w:rsid w:val="00335EFE"/>
    <w:rsid w:val="00340128"/>
    <w:rsid w:val="00341592"/>
    <w:rsid w:val="00341AA6"/>
    <w:rsid w:val="00342B81"/>
    <w:rsid w:val="00343975"/>
    <w:rsid w:val="003439C7"/>
    <w:rsid w:val="003454BA"/>
    <w:rsid w:val="0035220C"/>
    <w:rsid w:val="0035469C"/>
    <w:rsid w:val="003560FE"/>
    <w:rsid w:val="00357492"/>
    <w:rsid w:val="003574F4"/>
    <w:rsid w:val="003606E7"/>
    <w:rsid w:val="00362E49"/>
    <w:rsid w:val="00363621"/>
    <w:rsid w:val="00364287"/>
    <w:rsid w:val="00365C70"/>
    <w:rsid w:val="00365D2B"/>
    <w:rsid w:val="00366DBE"/>
    <w:rsid w:val="00371128"/>
    <w:rsid w:val="00372006"/>
    <w:rsid w:val="00372CF0"/>
    <w:rsid w:val="0037410C"/>
    <w:rsid w:val="00374B43"/>
    <w:rsid w:val="00377686"/>
    <w:rsid w:val="00377A99"/>
    <w:rsid w:val="00381036"/>
    <w:rsid w:val="00381D17"/>
    <w:rsid w:val="00386093"/>
    <w:rsid w:val="003912D7"/>
    <w:rsid w:val="00395053"/>
    <w:rsid w:val="003A2C23"/>
    <w:rsid w:val="003A4DA6"/>
    <w:rsid w:val="003A6725"/>
    <w:rsid w:val="003A6FFC"/>
    <w:rsid w:val="003B1733"/>
    <w:rsid w:val="003B19FB"/>
    <w:rsid w:val="003B2543"/>
    <w:rsid w:val="003B3C2B"/>
    <w:rsid w:val="003B4D4C"/>
    <w:rsid w:val="003B5257"/>
    <w:rsid w:val="003B60F8"/>
    <w:rsid w:val="003C0282"/>
    <w:rsid w:val="003C5C05"/>
    <w:rsid w:val="003C7BC0"/>
    <w:rsid w:val="003D1ED1"/>
    <w:rsid w:val="003D279C"/>
    <w:rsid w:val="003E04BF"/>
    <w:rsid w:val="003E16B0"/>
    <w:rsid w:val="003E48B0"/>
    <w:rsid w:val="003E5659"/>
    <w:rsid w:val="003E5B98"/>
    <w:rsid w:val="003E6A28"/>
    <w:rsid w:val="003F0BFA"/>
    <w:rsid w:val="003F0DBA"/>
    <w:rsid w:val="003F276B"/>
    <w:rsid w:val="003F3C5B"/>
    <w:rsid w:val="003F56F1"/>
    <w:rsid w:val="003F5D45"/>
    <w:rsid w:val="003F6FAD"/>
    <w:rsid w:val="003F7C29"/>
    <w:rsid w:val="004018F2"/>
    <w:rsid w:val="00405A85"/>
    <w:rsid w:val="00406213"/>
    <w:rsid w:val="00407083"/>
    <w:rsid w:val="004126C8"/>
    <w:rsid w:val="00412D1A"/>
    <w:rsid w:val="00413B38"/>
    <w:rsid w:val="00413D40"/>
    <w:rsid w:val="004152DC"/>
    <w:rsid w:val="0042106C"/>
    <w:rsid w:val="0042175E"/>
    <w:rsid w:val="00421962"/>
    <w:rsid w:val="00427144"/>
    <w:rsid w:val="004334B2"/>
    <w:rsid w:val="0044001C"/>
    <w:rsid w:val="00443043"/>
    <w:rsid w:val="004432AF"/>
    <w:rsid w:val="004435E3"/>
    <w:rsid w:val="004445F7"/>
    <w:rsid w:val="00445BBA"/>
    <w:rsid w:val="00446A93"/>
    <w:rsid w:val="00447345"/>
    <w:rsid w:val="00447BE4"/>
    <w:rsid w:val="00450668"/>
    <w:rsid w:val="0045098E"/>
    <w:rsid w:val="00456F5D"/>
    <w:rsid w:val="00460A34"/>
    <w:rsid w:val="00461A5E"/>
    <w:rsid w:val="00463DE3"/>
    <w:rsid w:val="00466365"/>
    <w:rsid w:val="0047349C"/>
    <w:rsid w:val="00475D44"/>
    <w:rsid w:val="0047757C"/>
    <w:rsid w:val="00480849"/>
    <w:rsid w:val="004830E4"/>
    <w:rsid w:val="00483698"/>
    <w:rsid w:val="00492856"/>
    <w:rsid w:val="004935C7"/>
    <w:rsid w:val="004940CC"/>
    <w:rsid w:val="0049410B"/>
    <w:rsid w:val="0049690D"/>
    <w:rsid w:val="004A0F8D"/>
    <w:rsid w:val="004A1CC4"/>
    <w:rsid w:val="004A434B"/>
    <w:rsid w:val="004A6546"/>
    <w:rsid w:val="004B1179"/>
    <w:rsid w:val="004B20FF"/>
    <w:rsid w:val="004B3EAB"/>
    <w:rsid w:val="004B508B"/>
    <w:rsid w:val="004B663E"/>
    <w:rsid w:val="004B6B9E"/>
    <w:rsid w:val="004B7C81"/>
    <w:rsid w:val="004C2039"/>
    <w:rsid w:val="004C3E57"/>
    <w:rsid w:val="004C3F27"/>
    <w:rsid w:val="004C5380"/>
    <w:rsid w:val="004C5B4A"/>
    <w:rsid w:val="004C610F"/>
    <w:rsid w:val="004C759C"/>
    <w:rsid w:val="004D0BD0"/>
    <w:rsid w:val="004D0D8B"/>
    <w:rsid w:val="004D3774"/>
    <w:rsid w:val="004D3DEE"/>
    <w:rsid w:val="004E0068"/>
    <w:rsid w:val="004E0339"/>
    <w:rsid w:val="004E0B3D"/>
    <w:rsid w:val="004E549F"/>
    <w:rsid w:val="004E73A3"/>
    <w:rsid w:val="004E7860"/>
    <w:rsid w:val="004F4666"/>
    <w:rsid w:val="004F4949"/>
    <w:rsid w:val="00500B4F"/>
    <w:rsid w:val="00501E69"/>
    <w:rsid w:val="00503A8B"/>
    <w:rsid w:val="00504C78"/>
    <w:rsid w:val="00505FAE"/>
    <w:rsid w:val="00506576"/>
    <w:rsid w:val="005106EE"/>
    <w:rsid w:val="00514377"/>
    <w:rsid w:val="00514698"/>
    <w:rsid w:val="0051501A"/>
    <w:rsid w:val="0051588C"/>
    <w:rsid w:val="005178F2"/>
    <w:rsid w:val="0052016C"/>
    <w:rsid w:val="005202D2"/>
    <w:rsid w:val="0052103F"/>
    <w:rsid w:val="00523AB2"/>
    <w:rsid w:val="0052598D"/>
    <w:rsid w:val="005279D6"/>
    <w:rsid w:val="0053050C"/>
    <w:rsid w:val="00532424"/>
    <w:rsid w:val="005333AF"/>
    <w:rsid w:val="00534DA5"/>
    <w:rsid w:val="00534F1E"/>
    <w:rsid w:val="00534F93"/>
    <w:rsid w:val="005354F4"/>
    <w:rsid w:val="00536915"/>
    <w:rsid w:val="00536D40"/>
    <w:rsid w:val="00537FAA"/>
    <w:rsid w:val="005401C4"/>
    <w:rsid w:val="005411DF"/>
    <w:rsid w:val="00541F6B"/>
    <w:rsid w:val="00543505"/>
    <w:rsid w:val="00543D8C"/>
    <w:rsid w:val="005446EC"/>
    <w:rsid w:val="00546173"/>
    <w:rsid w:val="00547B36"/>
    <w:rsid w:val="00551BFC"/>
    <w:rsid w:val="0055476B"/>
    <w:rsid w:val="00554C1F"/>
    <w:rsid w:val="005567C2"/>
    <w:rsid w:val="00556D2D"/>
    <w:rsid w:val="005619AD"/>
    <w:rsid w:val="005623B2"/>
    <w:rsid w:val="00562F04"/>
    <w:rsid w:val="0056412D"/>
    <w:rsid w:val="005668D3"/>
    <w:rsid w:val="00572F6A"/>
    <w:rsid w:val="00574E48"/>
    <w:rsid w:val="005767DE"/>
    <w:rsid w:val="005772CA"/>
    <w:rsid w:val="005802E4"/>
    <w:rsid w:val="0058159F"/>
    <w:rsid w:val="00582459"/>
    <w:rsid w:val="00582EA6"/>
    <w:rsid w:val="00586071"/>
    <w:rsid w:val="00586AC8"/>
    <w:rsid w:val="005878F2"/>
    <w:rsid w:val="00587FB3"/>
    <w:rsid w:val="00590B55"/>
    <w:rsid w:val="00595DA3"/>
    <w:rsid w:val="00596C9D"/>
    <w:rsid w:val="00597778"/>
    <w:rsid w:val="005A097A"/>
    <w:rsid w:val="005A1395"/>
    <w:rsid w:val="005A185F"/>
    <w:rsid w:val="005A1FC2"/>
    <w:rsid w:val="005A3FF6"/>
    <w:rsid w:val="005B3863"/>
    <w:rsid w:val="005B3908"/>
    <w:rsid w:val="005B5EAC"/>
    <w:rsid w:val="005C3798"/>
    <w:rsid w:val="005C401D"/>
    <w:rsid w:val="005C504A"/>
    <w:rsid w:val="005C5F3C"/>
    <w:rsid w:val="005C607B"/>
    <w:rsid w:val="005C63E9"/>
    <w:rsid w:val="005C7762"/>
    <w:rsid w:val="005C79C8"/>
    <w:rsid w:val="005C7B94"/>
    <w:rsid w:val="005D0166"/>
    <w:rsid w:val="005D035B"/>
    <w:rsid w:val="005D378B"/>
    <w:rsid w:val="005D63FF"/>
    <w:rsid w:val="005E2DB6"/>
    <w:rsid w:val="005E33D2"/>
    <w:rsid w:val="005E4459"/>
    <w:rsid w:val="005E5102"/>
    <w:rsid w:val="005E607A"/>
    <w:rsid w:val="005F03FA"/>
    <w:rsid w:val="005F0651"/>
    <w:rsid w:val="005F2381"/>
    <w:rsid w:val="005F3FA1"/>
    <w:rsid w:val="005F48CA"/>
    <w:rsid w:val="005F48D1"/>
    <w:rsid w:val="005F50D2"/>
    <w:rsid w:val="005F60EA"/>
    <w:rsid w:val="005F73DB"/>
    <w:rsid w:val="005F7A6E"/>
    <w:rsid w:val="0060070D"/>
    <w:rsid w:val="00600BEA"/>
    <w:rsid w:val="00603768"/>
    <w:rsid w:val="00604D3D"/>
    <w:rsid w:val="00604EC3"/>
    <w:rsid w:val="006052F5"/>
    <w:rsid w:val="0061726D"/>
    <w:rsid w:val="00621285"/>
    <w:rsid w:val="006233E9"/>
    <w:rsid w:val="006243C9"/>
    <w:rsid w:val="00624EFC"/>
    <w:rsid w:val="006257ED"/>
    <w:rsid w:val="00626B2A"/>
    <w:rsid w:val="00626FD9"/>
    <w:rsid w:val="00627FE8"/>
    <w:rsid w:val="006308D9"/>
    <w:rsid w:val="00631948"/>
    <w:rsid w:val="00631CE1"/>
    <w:rsid w:val="00632B73"/>
    <w:rsid w:val="00633A8B"/>
    <w:rsid w:val="0063441C"/>
    <w:rsid w:val="00634A95"/>
    <w:rsid w:val="006350F6"/>
    <w:rsid w:val="006352D0"/>
    <w:rsid w:val="0063664E"/>
    <w:rsid w:val="00640448"/>
    <w:rsid w:val="00642977"/>
    <w:rsid w:val="00646CB2"/>
    <w:rsid w:val="006479A1"/>
    <w:rsid w:val="00650075"/>
    <w:rsid w:val="00650F45"/>
    <w:rsid w:val="00651E16"/>
    <w:rsid w:val="00655528"/>
    <w:rsid w:val="0065562C"/>
    <w:rsid w:val="00660A8E"/>
    <w:rsid w:val="006610F8"/>
    <w:rsid w:val="0066176C"/>
    <w:rsid w:val="00663A75"/>
    <w:rsid w:val="00665911"/>
    <w:rsid w:val="00673677"/>
    <w:rsid w:val="00676001"/>
    <w:rsid w:val="00676EC9"/>
    <w:rsid w:val="00677ED4"/>
    <w:rsid w:val="00681DE6"/>
    <w:rsid w:val="00683A54"/>
    <w:rsid w:val="00684F6F"/>
    <w:rsid w:val="00692250"/>
    <w:rsid w:val="00693B80"/>
    <w:rsid w:val="00694023"/>
    <w:rsid w:val="006940C2"/>
    <w:rsid w:val="0069420E"/>
    <w:rsid w:val="00695A02"/>
    <w:rsid w:val="006A045B"/>
    <w:rsid w:val="006A15A7"/>
    <w:rsid w:val="006A1733"/>
    <w:rsid w:val="006A5218"/>
    <w:rsid w:val="006B0B71"/>
    <w:rsid w:val="006B2FD0"/>
    <w:rsid w:val="006B52E2"/>
    <w:rsid w:val="006B68C8"/>
    <w:rsid w:val="006C052D"/>
    <w:rsid w:val="006C0D10"/>
    <w:rsid w:val="006C42F3"/>
    <w:rsid w:val="006C4AD3"/>
    <w:rsid w:val="006C7349"/>
    <w:rsid w:val="006D0CC7"/>
    <w:rsid w:val="006D2191"/>
    <w:rsid w:val="006D2C4D"/>
    <w:rsid w:val="006D4003"/>
    <w:rsid w:val="006E00EF"/>
    <w:rsid w:val="006E0C46"/>
    <w:rsid w:val="006E2914"/>
    <w:rsid w:val="006E2D45"/>
    <w:rsid w:val="006E3C85"/>
    <w:rsid w:val="006E45F8"/>
    <w:rsid w:val="006E4856"/>
    <w:rsid w:val="006E4FD2"/>
    <w:rsid w:val="006E58D1"/>
    <w:rsid w:val="006E771F"/>
    <w:rsid w:val="006F011E"/>
    <w:rsid w:val="006F0BFD"/>
    <w:rsid w:val="006F52A1"/>
    <w:rsid w:val="006F7200"/>
    <w:rsid w:val="00700501"/>
    <w:rsid w:val="00701D6A"/>
    <w:rsid w:val="00702009"/>
    <w:rsid w:val="007024B0"/>
    <w:rsid w:val="0070376C"/>
    <w:rsid w:val="0070595A"/>
    <w:rsid w:val="0070599E"/>
    <w:rsid w:val="0070750E"/>
    <w:rsid w:val="00707B71"/>
    <w:rsid w:val="00711B67"/>
    <w:rsid w:val="007141AC"/>
    <w:rsid w:val="00714B3E"/>
    <w:rsid w:val="007153DC"/>
    <w:rsid w:val="00716249"/>
    <w:rsid w:val="0071786C"/>
    <w:rsid w:val="00720069"/>
    <w:rsid w:val="0072020A"/>
    <w:rsid w:val="00720877"/>
    <w:rsid w:val="00722731"/>
    <w:rsid w:val="00723A8B"/>
    <w:rsid w:val="00725958"/>
    <w:rsid w:val="0072597F"/>
    <w:rsid w:val="007314DB"/>
    <w:rsid w:val="0073283C"/>
    <w:rsid w:val="007344BF"/>
    <w:rsid w:val="00735491"/>
    <w:rsid w:val="00737DE4"/>
    <w:rsid w:val="00740EE6"/>
    <w:rsid w:val="00742D34"/>
    <w:rsid w:val="0074350D"/>
    <w:rsid w:val="007435F7"/>
    <w:rsid w:val="007444E4"/>
    <w:rsid w:val="00745A3D"/>
    <w:rsid w:val="00746B20"/>
    <w:rsid w:val="00750317"/>
    <w:rsid w:val="0075068E"/>
    <w:rsid w:val="00751D3F"/>
    <w:rsid w:val="00751F5F"/>
    <w:rsid w:val="00752249"/>
    <w:rsid w:val="007529AF"/>
    <w:rsid w:val="00752F47"/>
    <w:rsid w:val="007534CA"/>
    <w:rsid w:val="00763532"/>
    <w:rsid w:val="0076652A"/>
    <w:rsid w:val="007670B8"/>
    <w:rsid w:val="00767531"/>
    <w:rsid w:val="0077664A"/>
    <w:rsid w:val="00777758"/>
    <w:rsid w:val="00781C3A"/>
    <w:rsid w:val="00782A7A"/>
    <w:rsid w:val="00787A5C"/>
    <w:rsid w:val="007935A6"/>
    <w:rsid w:val="0079408B"/>
    <w:rsid w:val="00794437"/>
    <w:rsid w:val="0079764E"/>
    <w:rsid w:val="007A0108"/>
    <w:rsid w:val="007A069C"/>
    <w:rsid w:val="007A23DC"/>
    <w:rsid w:val="007A6D66"/>
    <w:rsid w:val="007A75EE"/>
    <w:rsid w:val="007B169B"/>
    <w:rsid w:val="007B29B4"/>
    <w:rsid w:val="007B37D0"/>
    <w:rsid w:val="007B48A3"/>
    <w:rsid w:val="007B4C4E"/>
    <w:rsid w:val="007B4E39"/>
    <w:rsid w:val="007B56AD"/>
    <w:rsid w:val="007C0240"/>
    <w:rsid w:val="007C2D34"/>
    <w:rsid w:val="007C60A1"/>
    <w:rsid w:val="007C7194"/>
    <w:rsid w:val="007D0CA5"/>
    <w:rsid w:val="007D1578"/>
    <w:rsid w:val="007D2DC9"/>
    <w:rsid w:val="007D35EF"/>
    <w:rsid w:val="007E0526"/>
    <w:rsid w:val="007E0751"/>
    <w:rsid w:val="007E089A"/>
    <w:rsid w:val="007E1175"/>
    <w:rsid w:val="007E3A45"/>
    <w:rsid w:val="007E449B"/>
    <w:rsid w:val="007E7B06"/>
    <w:rsid w:val="007E7DE6"/>
    <w:rsid w:val="007F126B"/>
    <w:rsid w:val="007F12AC"/>
    <w:rsid w:val="007F4C54"/>
    <w:rsid w:val="007F5B34"/>
    <w:rsid w:val="007F7FEE"/>
    <w:rsid w:val="00801A2F"/>
    <w:rsid w:val="00803520"/>
    <w:rsid w:val="00806FF7"/>
    <w:rsid w:val="008100E7"/>
    <w:rsid w:val="00813194"/>
    <w:rsid w:val="008146BD"/>
    <w:rsid w:val="008228F0"/>
    <w:rsid w:val="00822DB4"/>
    <w:rsid w:val="00824E4C"/>
    <w:rsid w:val="0082697D"/>
    <w:rsid w:val="00826AA4"/>
    <w:rsid w:val="00827D4A"/>
    <w:rsid w:val="00831498"/>
    <w:rsid w:val="00832B2B"/>
    <w:rsid w:val="00836355"/>
    <w:rsid w:val="008400D0"/>
    <w:rsid w:val="0084072A"/>
    <w:rsid w:val="00845938"/>
    <w:rsid w:val="00845CB8"/>
    <w:rsid w:val="00847E9A"/>
    <w:rsid w:val="00851F5B"/>
    <w:rsid w:val="00854D7E"/>
    <w:rsid w:val="00861A9C"/>
    <w:rsid w:val="00864475"/>
    <w:rsid w:val="008658C0"/>
    <w:rsid w:val="00866052"/>
    <w:rsid w:val="008717DC"/>
    <w:rsid w:val="008726A4"/>
    <w:rsid w:val="008731D0"/>
    <w:rsid w:val="0087481D"/>
    <w:rsid w:val="00875A29"/>
    <w:rsid w:val="00877DB6"/>
    <w:rsid w:val="0088181F"/>
    <w:rsid w:val="008828D6"/>
    <w:rsid w:val="0088425F"/>
    <w:rsid w:val="00884D7E"/>
    <w:rsid w:val="00884E5E"/>
    <w:rsid w:val="00893E7C"/>
    <w:rsid w:val="008948E8"/>
    <w:rsid w:val="00897D83"/>
    <w:rsid w:val="00897D9F"/>
    <w:rsid w:val="008A1B56"/>
    <w:rsid w:val="008A6599"/>
    <w:rsid w:val="008A724F"/>
    <w:rsid w:val="008B0F36"/>
    <w:rsid w:val="008B27A2"/>
    <w:rsid w:val="008B2CCB"/>
    <w:rsid w:val="008B340C"/>
    <w:rsid w:val="008B3C24"/>
    <w:rsid w:val="008B6F32"/>
    <w:rsid w:val="008B70A2"/>
    <w:rsid w:val="008C08A5"/>
    <w:rsid w:val="008C1A24"/>
    <w:rsid w:val="008C2B23"/>
    <w:rsid w:val="008C3C12"/>
    <w:rsid w:val="008C3F9B"/>
    <w:rsid w:val="008C46F6"/>
    <w:rsid w:val="008C593B"/>
    <w:rsid w:val="008C6040"/>
    <w:rsid w:val="008C6FAD"/>
    <w:rsid w:val="008D256F"/>
    <w:rsid w:val="008E2C21"/>
    <w:rsid w:val="008E2E51"/>
    <w:rsid w:val="008E3648"/>
    <w:rsid w:val="008E36FB"/>
    <w:rsid w:val="008E3C73"/>
    <w:rsid w:val="008E492A"/>
    <w:rsid w:val="008E527B"/>
    <w:rsid w:val="008E5B47"/>
    <w:rsid w:val="008F094B"/>
    <w:rsid w:val="008F3C84"/>
    <w:rsid w:val="008F4956"/>
    <w:rsid w:val="008F54DC"/>
    <w:rsid w:val="008F6611"/>
    <w:rsid w:val="009007C9"/>
    <w:rsid w:val="00901B9B"/>
    <w:rsid w:val="0091122D"/>
    <w:rsid w:val="00915583"/>
    <w:rsid w:val="00915B1E"/>
    <w:rsid w:val="00917DF2"/>
    <w:rsid w:val="00923645"/>
    <w:rsid w:val="009246A5"/>
    <w:rsid w:val="00927FB6"/>
    <w:rsid w:val="00935250"/>
    <w:rsid w:val="00936799"/>
    <w:rsid w:val="00937B59"/>
    <w:rsid w:val="00940A5E"/>
    <w:rsid w:val="0094145C"/>
    <w:rsid w:val="0094792B"/>
    <w:rsid w:val="00950837"/>
    <w:rsid w:val="009512AE"/>
    <w:rsid w:val="009532FE"/>
    <w:rsid w:val="009546B8"/>
    <w:rsid w:val="00955065"/>
    <w:rsid w:val="00955DFF"/>
    <w:rsid w:val="00955ED0"/>
    <w:rsid w:val="00957E2C"/>
    <w:rsid w:val="0096208F"/>
    <w:rsid w:val="00962D7A"/>
    <w:rsid w:val="00964E45"/>
    <w:rsid w:val="00964F3D"/>
    <w:rsid w:val="009658A0"/>
    <w:rsid w:val="009660D9"/>
    <w:rsid w:val="0097013A"/>
    <w:rsid w:val="00971E63"/>
    <w:rsid w:val="00973770"/>
    <w:rsid w:val="00973EFC"/>
    <w:rsid w:val="00980453"/>
    <w:rsid w:val="0098130B"/>
    <w:rsid w:val="0098232D"/>
    <w:rsid w:val="0098291A"/>
    <w:rsid w:val="00982FAF"/>
    <w:rsid w:val="00983883"/>
    <w:rsid w:val="00985CD1"/>
    <w:rsid w:val="00985F87"/>
    <w:rsid w:val="009861F4"/>
    <w:rsid w:val="00986CAD"/>
    <w:rsid w:val="00990CDB"/>
    <w:rsid w:val="00991297"/>
    <w:rsid w:val="009921BE"/>
    <w:rsid w:val="00992B86"/>
    <w:rsid w:val="00992CFD"/>
    <w:rsid w:val="00992D4B"/>
    <w:rsid w:val="00994685"/>
    <w:rsid w:val="00994DF9"/>
    <w:rsid w:val="00994E87"/>
    <w:rsid w:val="00994FEE"/>
    <w:rsid w:val="00995846"/>
    <w:rsid w:val="00995C3E"/>
    <w:rsid w:val="009A106C"/>
    <w:rsid w:val="009A1BB9"/>
    <w:rsid w:val="009A46B9"/>
    <w:rsid w:val="009A4BCF"/>
    <w:rsid w:val="009A6665"/>
    <w:rsid w:val="009A6DD4"/>
    <w:rsid w:val="009A7CBF"/>
    <w:rsid w:val="009B4D21"/>
    <w:rsid w:val="009B504C"/>
    <w:rsid w:val="009B76CA"/>
    <w:rsid w:val="009B7BA7"/>
    <w:rsid w:val="009C2287"/>
    <w:rsid w:val="009C2E11"/>
    <w:rsid w:val="009C3627"/>
    <w:rsid w:val="009C4942"/>
    <w:rsid w:val="009C666D"/>
    <w:rsid w:val="009C7A47"/>
    <w:rsid w:val="009C7DDA"/>
    <w:rsid w:val="009D15FD"/>
    <w:rsid w:val="009D1A8F"/>
    <w:rsid w:val="009D22EE"/>
    <w:rsid w:val="009D3EEB"/>
    <w:rsid w:val="009D7CFD"/>
    <w:rsid w:val="009E0DCF"/>
    <w:rsid w:val="009E3863"/>
    <w:rsid w:val="009E5277"/>
    <w:rsid w:val="009E574A"/>
    <w:rsid w:val="009E7C4A"/>
    <w:rsid w:val="009F4210"/>
    <w:rsid w:val="009F5783"/>
    <w:rsid w:val="009F60D6"/>
    <w:rsid w:val="00A01657"/>
    <w:rsid w:val="00A01CC2"/>
    <w:rsid w:val="00A11C6A"/>
    <w:rsid w:val="00A12B03"/>
    <w:rsid w:val="00A13186"/>
    <w:rsid w:val="00A13BEF"/>
    <w:rsid w:val="00A13D81"/>
    <w:rsid w:val="00A212BB"/>
    <w:rsid w:val="00A21490"/>
    <w:rsid w:val="00A237D4"/>
    <w:rsid w:val="00A26793"/>
    <w:rsid w:val="00A3593B"/>
    <w:rsid w:val="00A35AF1"/>
    <w:rsid w:val="00A35EB9"/>
    <w:rsid w:val="00A36A83"/>
    <w:rsid w:val="00A370D0"/>
    <w:rsid w:val="00A37429"/>
    <w:rsid w:val="00A374FB"/>
    <w:rsid w:val="00A40FCF"/>
    <w:rsid w:val="00A41A32"/>
    <w:rsid w:val="00A42028"/>
    <w:rsid w:val="00A428C6"/>
    <w:rsid w:val="00A44F96"/>
    <w:rsid w:val="00A45D27"/>
    <w:rsid w:val="00A463F3"/>
    <w:rsid w:val="00A4650F"/>
    <w:rsid w:val="00A47611"/>
    <w:rsid w:val="00A47666"/>
    <w:rsid w:val="00A47B8B"/>
    <w:rsid w:val="00A521DC"/>
    <w:rsid w:val="00A572D0"/>
    <w:rsid w:val="00A64EAB"/>
    <w:rsid w:val="00A657A9"/>
    <w:rsid w:val="00A662E6"/>
    <w:rsid w:val="00A70D0D"/>
    <w:rsid w:val="00A73408"/>
    <w:rsid w:val="00A7523A"/>
    <w:rsid w:val="00A8029A"/>
    <w:rsid w:val="00A815EE"/>
    <w:rsid w:val="00A82173"/>
    <w:rsid w:val="00A82D0F"/>
    <w:rsid w:val="00A82EDA"/>
    <w:rsid w:val="00A83EB4"/>
    <w:rsid w:val="00A85BFD"/>
    <w:rsid w:val="00A86CC7"/>
    <w:rsid w:val="00A90147"/>
    <w:rsid w:val="00A90425"/>
    <w:rsid w:val="00A93819"/>
    <w:rsid w:val="00A940ED"/>
    <w:rsid w:val="00A946CB"/>
    <w:rsid w:val="00A958D3"/>
    <w:rsid w:val="00A97266"/>
    <w:rsid w:val="00A97498"/>
    <w:rsid w:val="00AA0BF5"/>
    <w:rsid w:val="00AA3738"/>
    <w:rsid w:val="00AA64A5"/>
    <w:rsid w:val="00AA685F"/>
    <w:rsid w:val="00AB00A5"/>
    <w:rsid w:val="00AB1976"/>
    <w:rsid w:val="00AB1D8A"/>
    <w:rsid w:val="00AB6FEF"/>
    <w:rsid w:val="00AB7473"/>
    <w:rsid w:val="00AB7649"/>
    <w:rsid w:val="00AC0953"/>
    <w:rsid w:val="00AC0992"/>
    <w:rsid w:val="00AC2E87"/>
    <w:rsid w:val="00AC3DDA"/>
    <w:rsid w:val="00AD0BF5"/>
    <w:rsid w:val="00AD0FAA"/>
    <w:rsid w:val="00AD2BDA"/>
    <w:rsid w:val="00AD73D0"/>
    <w:rsid w:val="00AE402D"/>
    <w:rsid w:val="00AF1A34"/>
    <w:rsid w:val="00AF2371"/>
    <w:rsid w:val="00AF61FA"/>
    <w:rsid w:val="00AF692D"/>
    <w:rsid w:val="00B006D1"/>
    <w:rsid w:val="00B01B43"/>
    <w:rsid w:val="00B025C8"/>
    <w:rsid w:val="00B033F1"/>
    <w:rsid w:val="00B03B46"/>
    <w:rsid w:val="00B056F3"/>
    <w:rsid w:val="00B06BE9"/>
    <w:rsid w:val="00B11C8F"/>
    <w:rsid w:val="00B11F05"/>
    <w:rsid w:val="00B129AD"/>
    <w:rsid w:val="00B132C9"/>
    <w:rsid w:val="00B14270"/>
    <w:rsid w:val="00B144D2"/>
    <w:rsid w:val="00B147C1"/>
    <w:rsid w:val="00B14813"/>
    <w:rsid w:val="00B15051"/>
    <w:rsid w:val="00B150DA"/>
    <w:rsid w:val="00B1549A"/>
    <w:rsid w:val="00B161CB"/>
    <w:rsid w:val="00B17EB4"/>
    <w:rsid w:val="00B21299"/>
    <w:rsid w:val="00B323EE"/>
    <w:rsid w:val="00B32F31"/>
    <w:rsid w:val="00B36265"/>
    <w:rsid w:val="00B364A4"/>
    <w:rsid w:val="00B43770"/>
    <w:rsid w:val="00B45D73"/>
    <w:rsid w:val="00B460A8"/>
    <w:rsid w:val="00B55079"/>
    <w:rsid w:val="00B56BA6"/>
    <w:rsid w:val="00B60544"/>
    <w:rsid w:val="00B61077"/>
    <w:rsid w:val="00B6288E"/>
    <w:rsid w:val="00B62978"/>
    <w:rsid w:val="00B63F4E"/>
    <w:rsid w:val="00B66323"/>
    <w:rsid w:val="00B70E63"/>
    <w:rsid w:val="00B71355"/>
    <w:rsid w:val="00B71898"/>
    <w:rsid w:val="00B7438A"/>
    <w:rsid w:val="00B75437"/>
    <w:rsid w:val="00B760A2"/>
    <w:rsid w:val="00B7743F"/>
    <w:rsid w:val="00B86079"/>
    <w:rsid w:val="00B86151"/>
    <w:rsid w:val="00B86A69"/>
    <w:rsid w:val="00B879D6"/>
    <w:rsid w:val="00B87B40"/>
    <w:rsid w:val="00B87DF1"/>
    <w:rsid w:val="00B940B3"/>
    <w:rsid w:val="00BA243C"/>
    <w:rsid w:val="00BA5502"/>
    <w:rsid w:val="00BB0741"/>
    <w:rsid w:val="00BB182E"/>
    <w:rsid w:val="00BB7A41"/>
    <w:rsid w:val="00BC2170"/>
    <w:rsid w:val="00BC48D1"/>
    <w:rsid w:val="00BC589B"/>
    <w:rsid w:val="00BC7509"/>
    <w:rsid w:val="00BD1E9F"/>
    <w:rsid w:val="00BD26A6"/>
    <w:rsid w:val="00BD2995"/>
    <w:rsid w:val="00BD3D14"/>
    <w:rsid w:val="00BD5305"/>
    <w:rsid w:val="00BD67FE"/>
    <w:rsid w:val="00BE1C1E"/>
    <w:rsid w:val="00BE4E43"/>
    <w:rsid w:val="00BF5097"/>
    <w:rsid w:val="00C0325E"/>
    <w:rsid w:val="00C05CC8"/>
    <w:rsid w:val="00C060FD"/>
    <w:rsid w:val="00C07793"/>
    <w:rsid w:val="00C078B1"/>
    <w:rsid w:val="00C13899"/>
    <w:rsid w:val="00C16F3C"/>
    <w:rsid w:val="00C27C26"/>
    <w:rsid w:val="00C30876"/>
    <w:rsid w:val="00C30EAD"/>
    <w:rsid w:val="00C3114C"/>
    <w:rsid w:val="00C31BFF"/>
    <w:rsid w:val="00C331F1"/>
    <w:rsid w:val="00C340B1"/>
    <w:rsid w:val="00C36093"/>
    <w:rsid w:val="00C371B8"/>
    <w:rsid w:val="00C41610"/>
    <w:rsid w:val="00C41734"/>
    <w:rsid w:val="00C425B3"/>
    <w:rsid w:val="00C4278A"/>
    <w:rsid w:val="00C42905"/>
    <w:rsid w:val="00C4344A"/>
    <w:rsid w:val="00C50FEF"/>
    <w:rsid w:val="00C62323"/>
    <w:rsid w:val="00C6258F"/>
    <w:rsid w:val="00C63E62"/>
    <w:rsid w:val="00C64D10"/>
    <w:rsid w:val="00C67124"/>
    <w:rsid w:val="00C70BD2"/>
    <w:rsid w:val="00C71B1D"/>
    <w:rsid w:val="00C71CBC"/>
    <w:rsid w:val="00C722E0"/>
    <w:rsid w:val="00C73A32"/>
    <w:rsid w:val="00C75894"/>
    <w:rsid w:val="00C75EBA"/>
    <w:rsid w:val="00C810B1"/>
    <w:rsid w:val="00C9019A"/>
    <w:rsid w:val="00C9058A"/>
    <w:rsid w:val="00C90990"/>
    <w:rsid w:val="00C91CF0"/>
    <w:rsid w:val="00C930DF"/>
    <w:rsid w:val="00C93811"/>
    <w:rsid w:val="00C94571"/>
    <w:rsid w:val="00C9519E"/>
    <w:rsid w:val="00CA0557"/>
    <w:rsid w:val="00CA108F"/>
    <w:rsid w:val="00CA114F"/>
    <w:rsid w:val="00CA31C8"/>
    <w:rsid w:val="00CA7306"/>
    <w:rsid w:val="00CA73BD"/>
    <w:rsid w:val="00CA7912"/>
    <w:rsid w:val="00CA7B77"/>
    <w:rsid w:val="00CB0A28"/>
    <w:rsid w:val="00CB110A"/>
    <w:rsid w:val="00CB2221"/>
    <w:rsid w:val="00CB390B"/>
    <w:rsid w:val="00CB40D6"/>
    <w:rsid w:val="00CB44B6"/>
    <w:rsid w:val="00CB523C"/>
    <w:rsid w:val="00CB5C2F"/>
    <w:rsid w:val="00CB7A9A"/>
    <w:rsid w:val="00CC14AC"/>
    <w:rsid w:val="00CC53BC"/>
    <w:rsid w:val="00CC5EE4"/>
    <w:rsid w:val="00CC6C74"/>
    <w:rsid w:val="00CD13AE"/>
    <w:rsid w:val="00CD1A49"/>
    <w:rsid w:val="00CD1D23"/>
    <w:rsid w:val="00CD2BED"/>
    <w:rsid w:val="00CD406D"/>
    <w:rsid w:val="00CD41CE"/>
    <w:rsid w:val="00CD43E8"/>
    <w:rsid w:val="00CD61FA"/>
    <w:rsid w:val="00CD64E6"/>
    <w:rsid w:val="00CD6AA5"/>
    <w:rsid w:val="00CD7389"/>
    <w:rsid w:val="00CE0469"/>
    <w:rsid w:val="00CE05D0"/>
    <w:rsid w:val="00CE1F33"/>
    <w:rsid w:val="00CE528C"/>
    <w:rsid w:val="00CE5508"/>
    <w:rsid w:val="00CF3F8A"/>
    <w:rsid w:val="00CF5B54"/>
    <w:rsid w:val="00D037A6"/>
    <w:rsid w:val="00D06DC9"/>
    <w:rsid w:val="00D07074"/>
    <w:rsid w:val="00D07C8A"/>
    <w:rsid w:val="00D13925"/>
    <w:rsid w:val="00D13B61"/>
    <w:rsid w:val="00D21BC9"/>
    <w:rsid w:val="00D232EB"/>
    <w:rsid w:val="00D26CEF"/>
    <w:rsid w:val="00D275B1"/>
    <w:rsid w:val="00D276F9"/>
    <w:rsid w:val="00D31248"/>
    <w:rsid w:val="00D3137B"/>
    <w:rsid w:val="00D3170D"/>
    <w:rsid w:val="00D31EDD"/>
    <w:rsid w:val="00D343DC"/>
    <w:rsid w:val="00D360B5"/>
    <w:rsid w:val="00D36906"/>
    <w:rsid w:val="00D43E45"/>
    <w:rsid w:val="00D446C5"/>
    <w:rsid w:val="00D46D1F"/>
    <w:rsid w:val="00D506E2"/>
    <w:rsid w:val="00D52AD5"/>
    <w:rsid w:val="00D52BF4"/>
    <w:rsid w:val="00D5375B"/>
    <w:rsid w:val="00D5447F"/>
    <w:rsid w:val="00D55344"/>
    <w:rsid w:val="00D55F23"/>
    <w:rsid w:val="00D57769"/>
    <w:rsid w:val="00D61DA8"/>
    <w:rsid w:val="00D6288A"/>
    <w:rsid w:val="00D64BFD"/>
    <w:rsid w:val="00D664D7"/>
    <w:rsid w:val="00D6667B"/>
    <w:rsid w:val="00D666E9"/>
    <w:rsid w:val="00D6749F"/>
    <w:rsid w:val="00D679E1"/>
    <w:rsid w:val="00D7034B"/>
    <w:rsid w:val="00D7116F"/>
    <w:rsid w:val="00D71C04"/>
    <w:rsid w:val="00D730FC"/>
    <w:rsid w:val="00D74A96"/>
    <w:rsid w:val="00D74E6C"/>
    <w:rsid w:val="00D75131"/>
    <w:rsid w:val="00D76C8F"/>
    <w:rsid w:val="00D8160C"/>
    <w:rsid w:val="00D816B8"/>
    <w:rsid w:val="00D8193E"/>
    <w:rsid w:val="00D82C12"/>
    <w:rsid w:val="00D82CB2"/>
    <w:rsid w:val="00D842CD"/>
    <w:rsid w:val="00D875D5"/>
    <w:rsid w:val="00D87953"/>
    <w:rsid w:val="00D87C52"/>
    <w:rsid w:val="00D91CF2"/>
    <w:rsid w:val="00D9447D"/>
    <w:rsid w:val="00D947EC"/>
    <w:rsid w:val="00D97DC0"/>
    <w:rsid w:val="00DA05B8"/>
    <w:rsid w:val="00DA2ADA"/>
    <w:rsid w:val="00DA2E51"/>
    <w:rsid w:val="00DA484E"/>
    <w:rsid w:val="00DB01A6"/>
    <w:rsid w:val="00DB1F28"/>
    <w:rsid w:val="00DB3804"/>
    <w:rsid w:val="00DB3AA0"/>
    <w:rsid w:val="00DB3B1C"/>
    <w:rsid w:val="00DB4554"/>
    <w:rsid w:val="00DB648D"/>
    <w:rsid w:val="00DB6B3F"/>
    <w:rsid w:val="00DB78B0"/>
    <w:rsid w:val="00DC4B82"/>
    <w:rsid w:val="00DC7967"/>
    <w:rsid w:val="00DC7992"/>
    <w:rsid w:val="00DC7DB0"/>
    <w:rsid w:val="00DD05D5"/>
    <w:rsid w:val="00DD1931"/>
    <w:rsid w:val="00DD2F1E"/>
    <w:rsid w:val="00DD5606"/>
    <w:rsid w:val="00DD7DF9"/>
    <w:rsid w:val="00DE1173"/>
    <w:rsid w:val="00DE1949"/>
    <w:rsid w:val="00DE2039"/>
    <w:rsid w:val="00DE3365"/>
    <w:rsid w:val="00DE3CCE"/>
    <w:rsid w:val="00DE765F"/>
    <w:rsid w:val="00DF0450"/>
    <w:rsid w:val="00DF19ED"/>
    <w:rsid w:val="00DF2677"/>
    <w:rsid w:val="00DF5306"/>
    <w:rsid w:val="00DF5352"/>
    <w:rsid w:val="00DF604E"/>
    <w:rsid w:val="00DF72FF"/>
    <w:rsid w:val="00DF79DF"/>
    <w:rsid w:val="00DF7F74"/>
    <w:rsid w:val="00E01EF0"/>
    <w:rsid w:val="00E0345C"/>
    <w:rsid w:val="00E052F3"/>
    <w:rsid w:val="00E057A6"/>
    <w:rsid w:val="00E07231"/>
    <w:rsid w:val="00E072BA"/>
    <w:rsid w:val="00E100AA"/>
    <w:rsid w:val="00E12D34"/>
    <w:rsid w:val="00E1436E"/>
    <w:rsid w:val="00E1485B"/>
    <w:rsid w:val="00E15249"/>
    <w:rsid w:val="00E1655D"/>
    <w:rsid w:val="00E2049E"/>
    <w:rsid w:val="00E22E2C"/>
    <w:rsid w:val="00E23725"/>
    <w:rsid w:val="00E25447"/>
    <w:rsid w:val="00E2702F"/>
    <w:rsid w:val="00E31149"/>
    <w:rsid w:val="00E31F1B"/>
    <w:rsid w:val="00E336B6"/>
    <w:rsid w:val="00E34B0F"/>
    <w:rsid w:val="00E37C29"/>
    <w:rsid w:val="00E40057"/>
    <w:rsid w:val="00E40C9B"/>
    <w:rsid w:val="00E41C12"/>
    <w:rsid w:val="00E42F48"/>
    <w:rsid w:val="00E475FF"/>
    <w:rsid w:val="00E50ABA"/>
    <w:rsid w:val="00E521DF"/>
    <w:rsid w:val="00E536A5"/>
    <w:rsid w:val="00E5370B"/>
    <w:rsid w:val="00E53E5A"/>
    <w:rsid w:val="00E54B33"/>
    <w:rsid w:val="00E55F8F"/>
    <w:rsid w:val="00E560B5"/>
    <w:rsid w:val="00E60115"/>
    <w:rsid w:val="00E60253"/>
    <w:rsid w:val="00E61C6C"/>
    <w:rsid w:val="00E62295"/>
    <w:rsid w:val="00E65253"/>
    <w:rsid w:val="00E66D8C"/>
    <w:rsid w:val="00E673A9"/>
    <w:rsid w:val="00E67897"/>
    <w:rsid w:val="00E67E0E"/>
    <w:rsid w:val="00E701CC"/>
    <w:rsid w:val="00E71F4F"/>
    <w:rsid w:val="00E72837"/>
    <w:rsid w:val="00E733BD"/>
    <w:rsid w:val="00E74028"/>
    <w:rsid w:val="00E743BF"/>
    <w:rsid w:val="00E74C27"/>
    <w:rsid w:val="00E7633E"/>
    <w:rsid w:val="00E77F82"/>
    <w:rsid w:val="00E8084B"/>
    <w:rsid w:val="00E80C06"/>
    <w:rsid w:val="00E8127E"/>
    <w:rsid w:val="00E81372"/>
    <w:rsid w:val="00E82F64"/>
    <w:rsid w:val="00E86EC8"/>
    <w:rsid w:val="00E8726C"/>
    <w:rsid w:val="00E8755C"/>
    <w:rsid w:val="00E91AA0"/>
    <w:rsid w:val="00E92A34"/>
    <w:rsid w:val="00E96070"/>
    <w:rsid w:val="00EA0A54"/>
    <w:rsid w:val="00EA2192"/>
    <w:rsid w:val="00EA382E"/>
    <w:rsid w:val="00EA3B4F"/>
    <w:rsid w:val="00EA5793"/>
    <w:rsid w:val="00EA5AC7"/>
    <w:rsid w:val="00EA5E7C"/>
    <w:rsid w:val="00EA5F44"/>
    <w:rsid w:val="00EB0B6C"/>
    <w:rsid w:val="00EB1013"/>
    <w:rsid w:val="00EB51FF"/>
    <w:rsid w:val="00EB614D"/>
    <w:rsid w:val="00EB721C"/>
    <w:rsid w:val="00EC2DCB"/>
    <w:rsid w:val="00EC658F"/>
    <w:rsid w:val="00ED241B"/>
    <w:rsid w:val="00ED2423"/>
    <w:rsid w:val="00ED41E6"/>
    <w:rsid w:val="00ED61E8"/>
    <w:rsid w:val="00EE1220"/>
    <w:rsid w:val="00EE15C2"/>
    <w:rsid w:val="00EE189C"/>
    <w:rsid w:val="00EE2253"/>
    <w:rsid w:val="00EE41F0"/>
    <w:rsid w:val="00EE6E66"/>
    <w:rsid w:val="00EE7D27"/>
    <w:rsid w:val="00EF0917"/>
    <w:rsid w:val="00EF1696"/>
    <w:rsid w:val="00EF21D1"/>
    <w:rsid w:val="00EF3251"/>
    <w:rsid w:val="00EF3B8D"/>
    <w:rsid w:val="00EF57E8"/>
    <w:rsid w:val="00F0380A"/>
    <w:rsid w:val="00F05EFA"/>
    <w:rsid w:val="00F07C21"/>
    <w:rsid w:val="00F12226"/>
    <w:rsid w:val="00F139B8"/>
    <w:rsid w:val="00F15315"/>
    <w:rsid w:val="00F169B2"/>
    <w:rsid w:val="00F16A6A"/>
    <w:rsid w:val="00F20CFB"/>
    <w:rsid w:val="00F21485"/>
    <w:rsid w:val="00F2172C"/>
    <w:rsid w:val="00F21813"/>
    <w:rsid w:val="00F22AFF"/>
    <w:rsid w:val="00F23C7E"/>
    <w:rsid w:val="00F252AB"/>
    <w:rsid w:val="00F31775"/>
    <w:rsid w:val="00F32D3A"/>
    <w:rsid w:val="00F359E9"/>
    <w:rsid w:val="00F36B17"/>
    <w:rsid w:val="00F37C67"/>
    <w:rsid w:val="00F42976"/>
    <w:rsid w:val="00F43686"/>
    <w:rsid w:val="00F44B62"/>
    <w:rsid w:val="00F45076"/>
    <w:rsid w:val="00F46061"/>
    <w:rsid w:val="00F46163"/>
    <w:rsid w:val="00F47227"/>
    <w:rsid w:val="00F52031"/>
    <w:rsid w:val="00F528FA"/>
    <w:rsid w:val="00F5312F"/>
    <w:rsid w:val="00F53C19"/>
    <w:rsid w:val="00F5644C"/>
    <w:rsid w:val="00F61B3D"/>
    <w:rsid w:val="00F64CBF"/>
    <w:rsid w:val="00F65861"/>
    <w:rsid w:val="00F66010"/>
    <w:rsid w:val="00F721E2"/>
    <w:rsid w:val="00F721EE"/>
    <w:rsid w:val="00F76B2F"/>
    <w:rsid w:val="00F824ED"/>
    <w:rsid w:val="00F867F2"/>
    <w:rsid w:val="00F86BA0"/>
    <w:rsid w:val="00F90338"/>
    <w:rsid w:val="00F913A2"/>
    <w:rsid w:val="00F93966"/>
    <w:rsid w:val="00F94143"/>
    <w:rsid w:val="00F94D46"/>
    <w:rsid w:val="00FA042B"/>
    <w:rsid w:val="00FA3C2A"/>
    <w:rsid w:val="00FA4BCE"/>
    <w:rsid w:val="00FA500F"/>
    <w:rsid w:val="00FA6E8F"/>
    <w:rsid w:val="00FB6DB0"/>
    <w:rsid w:val="00FB72F7"/>
    <w:rsid w:val="00FC06CC"/>
    <w:rsid w:val="00FC1083"/>
    <w:rsid w:val="00FC6D65"/>
    <w:rsid w:val="00FC6DAD"/>
    <w:rsid w:val="00FD1237"/>
    <w:rsid w:val="00FD6CA4"/>
    <w:rsid w:val="00FD77D1"/>
    <w:rsid w:val="00FD7C9D"/>
    <w:rsid w:val="00FE196B"/>
    <w:rsid w:val="00FE21BB"/>
    <w:rsid w:val="00FE2839"/>
    <w:rsid w:val="00FE2B13"/>
    <w:rsid w:val="00FE3204"/>
    <w:rsid w:val="00FE400C"/>
    <w:rsid w:val="00FE78F9"/>
    <w:rsid w:val="00FF18FB"/>
    <w:rsid w:val="00FF26E7"/>
    <w:rsid w:val="00FF4B51"/>
    <w:rsid w:val="00FF5873"/>
    <w:rsid w:val="00FF7A62"/>
    <w:rsid w:val="00FF7C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79ED5B2"/>
  <w14:defaultImageDpi w14:val="32767"/>
  <w15:docId w15:val="{0633CB2E-0372-44C7-B8A1-22E5E571B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31C8"/>
    <w:pPr>
      <w:widowControl w:val="0"/>
      <w:jc w:val="both"/>
    </w:pPr>
  </w:style>
  <w:style w:type="paragraph" w:styleId="Heading1">
    <w:name w:val="heading 1"/>
    <w:basedOn w:val="Normal"/>
    <w:next w:val="Normal"/>
    <w:link w:val="Heading1Char"/>
    <w:uiPriority w:val="9"/>
    <w:qFormat/>
    <w:rsid w:val="002F6C5F"/>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
    <w:unhideWhenUsed/>
    <w:qFormat/>
    <w:rsid w:val="00D679E1"/>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Heading3Char"/>
    <w:uiPriority w:val="9"/>
    <w:unhideWhenUsed/>
    <w:qFormat/>
    <w:rsid w:val="00E1436E"/>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F6C5F"/>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2F6C5F"/>
    <w:rPr>
      <w:sz w:val="18"/>
      <w:szCs w:val="18"/>
    </w:rPr>
  </w:style>
  <w:style w:type="paragraph" w:styleId="Footer">
    <w:name w:val="footer"/>
    <w:basedOn w:val="Normal"/>
    <w:link w:val="FooterChar"/>
    <w:uiPriority w:val="99"/>
    <w:unhideWhenUsed/>
    <w:rsid w:val="002F6C5F"/>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2F6C5F"/>
    <w:rPr>
      <w:sz w:val="18"/>
      <w:szCs w:val="18"/>
    </w:rPr>
  </w:style>
  <w:style w:type="character" w:customStyle="1" w:styleId="Heading1Char">
    <w:name w:val="Heading 1 Char"/>
    <w:basedOn w:val="DefaultParagraphFont"/>
    <w:link w:val="Heading1"/>
    <w:uiPriority w:val="9"/>
    <w:rsid w:val="002F6C5F"/>
    <w:rPr>
      <w:b/>
      <w:bCs/>
      <w:kern w:val="44"/>
      <w:sz w:val="44"/>
      <w:szCs w:val="44"/>
    </w:rPr>
  </w:style>
  <w:style w:type="character" w:styleId="LineNumber">
    <w:name w:val="line number"/>
    <w:basedOn w:val="DefaultParagraphFont"/>
    <w:uiPriority w:val="99"/>
    <w:semiHidden/>
    <w:unhideWhenUsed/>
    <w:rsid w:val="00AC3DDA"/>
  </w:style>
  <w:style w:type="character" w:styleId="Hyperlink">
    <w:name w:val="Hyperlink"/>
    <w:basedOn w:val="DefaultParagraphFont"/>
    <w:uiPriority w:val="99"/>
    <w:unhideWhenUsed/>
    <w:rsid w:val="00BE4E43"/>
    <w:rPr>
      <w:color w:val="0563C1" w:themeColor="hyperlink"/>
      <w:u w:val="single"/>
    </w:rPr>
  </w:style>
  <w:style w:type="character" w:styleId="UnresolvedMention">
    <w:name w:val="Unresolved Mention"/>
    <w:basedOn w:val="DefaultParagraphFont"/>
    <w:uiPriority w:val="99"/>
    <w:semiHidden/>
    <w:unhideWhenUsed/>
    <w:rsid w:val="00BE4E43"/>
    <w:rPr>
      <w:color w:val="605E5C"/>
      <w:shd w:val="clear" w:color="auto" w:fill="E1DFDD"/>
    </w:rPr>
  </w:style>
  <w:style w:type="character" w:styleId="IntenseEmphasis">
    <w:name w:val="Intense Emphasis"/>
    <w:basedOn w:val="DefaultParagraphFont"/>
    <w:uiPriority w:val="21"/>
    <w:qFormat/>
    <w:rsid w:val="00832B2B"/>
    <w:rPr>
      <w:i/>
      <w:iCs/>
      <w:color w:val="4472C4" w:themeColor="accent1"/>
    </w:rPr>
  </w:style>
  <w:style w:type="character" w:styleId="CommentReference">
    <w:name w:val="annotation reference"/>
    <w:basedOn w:val="DefaultParagraphFont"/>
    <w:uiPriority w:val="99"/>
    <w:semiHidden/>
    <w:unhideWhenUsed/>
    <w:rsid w:val="003F7C29"/>
    <w:rPr>
      <w:sz w:val="21"/>
      <w:szCs w:val="21"/>
    </w:rPr>
  </w:style>
  <w:style w:type="paragraph" w:styleId="CommentText">
    <w:name w:val="annotation text"/>
    <w:basedOn w:val="Normal"/>
    <w:link w:val="CommentTextChar"/>
    <w:uiPriority w:val="99"/>
    <w:semiHidden/>
    <w:unhideWhenUsed/>
    <w:rsid w:val="003F7C29"/>
    <w:pPr>
      <w:jc w:val="left"/>
    </w:pPr>
  </w:style>
  <w:style w:type="character" w:customStyle="1" w:styleId="CommentTextChar">
    <w:name w:val="Comment Text Char"/>
    <w:basedOn w:val="DefaultParagraphFont"/>
    <w:link w:val="CommentText"/>
    <w:uiPriority w:val="99"/>
    <w:semiHidden/>
    <w:rsid w:val="003F7C29"/>
  </w:style>
  <w:style w:type="paragraph" w:styleId="CommentSubject">
    <w:name w:val="annotation subject"/>
    <w:basedOn w:val="CommentText"/>
    <w:next w:val="CommentText"/>
    <w:link w:val="CommentSubjectChar"/>
    <w:uiPriority w:val="99"/>
    <w:semiHidden/>
    <w:unhideWhenUsed/>
    <w:rsid w:val="003F7C29"/>
    <w:rPr>
      <w:b/>
      <w:bCs/>
    </w:rPr>
  </w:style>
  <w:style w:type="character" w:customStyle="1" w:styleId="CommentSubjectChar">
    <w:name w:val="Comment Subject Char"/>
    <w:basedOn w:val="CommentTextChar"/>
    <w:link w:val="CommentSubject"/>
    <w:uiPriority w:val="99"/>
    <w:semiHidden/>
    <w:rsid w:val="003F7C29"/>
    <w:rPr>
      <w:b/>
      <w:bCs/>
    </w:rPr>
  </w:style>
  <w:style w:type="paragraph" w:styleId="Revision">
    <w:name w:val="Revision"/>
    <w:hidden/>
    <w:uiPriority w:val="99"/>
    <w:semiHidden/>
    <w:rsid w:val="00CD64E6"/>
  </w:style>
  <w:style w:type="paragraph" w:styleId="ListParagraph">
    <w:name w:val="List Paragraph"/>
    <w:basedOn w:val="Normal"/>
    <w:uiPriority w:val="34"/>
    <w:qFormat/>
    <w:rsid w:val="002C6BC1"/>
    <w:pPr>
      <w:ind w:firstLineChars="200" w:firstLine="420"/>
    </w:pPr>
  </w:style>
  <w:style w:type="paragraph" w:styleId="Bibliography">
    <w:name w:val="Bibliography"/>
    <w:basedOn w:val="Normal"/>
    <w:next w:val="Normal"/>
    <w:uiPriority w:val="37"/>
    <w:unhideWhenUsed/>
    <w:rsid w:val="00587FB3"/>
  </w:style>
  <w:style w:type="paragraph" w:styleId="BalloonText">
    <w:name w:val="Balloon Text"/>
    <w:basedOn w:val="Normal"/>
    <w:link w:val="BalloonTextChar"/>
    <w:uiPriority w:val="99"/>
    <w:semiHidden/>
    <w:unhideWhenUsed/>
    <w:rsid w:val="00EE41F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E41F0"/>
    <w:rPr>
      <w:rFonts w:ascii="Segoe UI" w:hAnsi="Segoe UI" w:cs="Segoe UI"/>
      <w:sz w:val="18"/>
      <w:szCs w:val="18"/>
    </w:rPr>
  </w:style>
  <w:style w:type="paragraph" w:styleId="NormalWeb">
    <w:name w:val="Normal (Web)"/>
    <w:basedOn w:val="Normal"/>
    <w:uiPriority w:val="99"/>
    <w:unhideWhenUsed/>
    <w:rsid w:val="005401C4"/>
    <w:pPr>
      <w:widowControl/>
      <w:spacing w:before="100" w:beforeAutospacing="1" w:after="100" w:afterAutospacing="1"/>
      <w:jc w:val="left"/>
    </w:pPr>
    <w:rPr>
      <w:rFonts w:ascii="SimSun" w:eastAsia="SimSun" w:hAnsi="SimSun" w:cs="SimSun"/>
      <w:kern w:val="0"/>
      <w:sz w:val="24"/>
      <w:szCs w:val="24"/>
    </w:rPr>
  </w:style>
  <w:style w:type="paragraph" w:styleId="z-TopofForm">
    <w:name w:val="HTML Top of Form"/>
    <w:basedOn w:val="Normal"/>
    <w:next w:val="Normal"/>
    <w:link w:val="z-TopofFormChar"/>
    <w:hidden/>
    <w:uiPriority w:val="99"/>
    <w:semiHidden/>
    <w:unhideWhenUsed/>
    <w:rsid w:val="005401C4"/>
    <w:pPr>
      <w:widowControl/>
      <w:pBdr>
        <w:bottom w:val="single" w:sz="6" w:space="1" w:color="auto"/>
      </w:pBdr>
      <w:jc w:val="center"/>
    </w:pPr>
    <w:rPr>
      <w:rFonts w:ascii="Arial" w:eastAsia="SimSun" w:hAnsi="Arial" w:cs="Arial"/>
      <w:vanish/>
      <w:kern w:val="0"/>
      <w:sz w:val="16"/>
      <w:szCs w:val="16"/>
    </w:rPr>
  </w:style>
  <w:style w:type="character" w:customStyle="1" w:styleId="z-TopofFormChar">
    <w:name w:val="z-Top of Form Char"/>
    <w:basedOn w:val="DefaultParagraphFont"/>
    <w:link w:val="z-TopofForm"/>
    <w:uiPriority w:val="99"/>
    <w:semiHidden/>
    <w:rsid w:val="005401C4"/>
    <w:rPr>
      <w:rFonts w:ascii="Arial" w:eastAsia="SimSun" w:hAnsi="Arial" w:cs="Arial"/>
      <w:vanish/>
      <w:kern w:val="0"/>
      <w:sz w:val="16"/>
      <w:szCs w:val="16"/>
    </w:rPr>
  </w:style>
  <w:style w:type="character" w:customStyle="1" w:styleId="Heading2Char">
    <w:name w:val="Heading 2 Char"/>
    <w:basedOn w:val="DefaultParagraphFont"/>
    <w:link w:val="Heading2"/>
    <w:uiPriority w:val="9"/>
    <w:rsid w:val="00D679E1"/>
    <w:rPr>
      <w:rFonts w:asciiTheme="majorHAnsi" w:eastAsiaTheme="majorEastAsia" w:hAnsiTheme="majorHAnsi" w:cstheme="majorBidi"/>
      <w:b/>
      <w:bCs/>
      <w:sz w:val="32"/>
      <w:szCs w:val="32"/>
    </w:rPr>
  </w:style>
  <w:style w:type="character" w:customStyle="1" w:styleId="Heading3Char">
    <w:name w:val="Heading 3 Char"/>
    <w:basedOn w:val="DefaultParagraphFont"/>
    <w:link w:val="Heading3"/>
    <w:uiPriority w:val="9"/>
    <w:rsid w:val="00E1436E"/>
    <w:rPr>
      <w:b/>
      <w:bCs/>
      <w:sz w:val="32"/>
      <w:szCs w:val="32"/>
    </w:rPr>
  </w:style>
  <w:style w:type="character" w:styleId="FollowedHyperlink">
    <w:name w:val="FollowedHyperlink"/>
    <w:basedOn w:val="DefaultParagraphFont"/>
    <w:uiPriority w:val="99"/>
    <w:semiHidden/>
    <w:unhideWhenUsed/>
    <w:rsid w:val="00305CA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0243281">
      <w:bodyDiv w:val="1"/>
      <w:marLeft w:val="0"/>
      <w:marRight w:val="0"/>
      <w:marTop w:val="0"/>
      <w:marBottom w:val="0"/>
      <w:divBdr>
        <w:top w:val="none" w:sz="0" w:space="0" w:color="auto"/>
        <w:left w:val="none" w:sz="0" w:space="0" w:color="auto"/>
        <w:bottom w:val="none" w:sz="0" w:space="0" w:color="auto"/>
        <w:right w:val="none" w:sz="0" w:space="0" w:color="auto"/>
      </w:divBdr>
    </w:div>
    <w:div w:id="116685763">
      <w:bodyDiv w:val="1"/>
      <w:marLeft w:val="0"/>
      <w:marRight w:val="0"/>
      <w:marTop w:val="0"/>
      <w:marBottom w:val="0"/>
      <w:divBdr>
        <w:top w:val="none" w:sz="0" w:space="0" w:color="auto"/>
        <w:left w:val="none" w:sz="0" w:space="0" w:color="auto"/>
        <w:bottom w:val="none" w:sz="0" w:space="0" w:color="auto"/>
        <w:right w:val="none" w:sz="0" w:space="0" w:color="auto"/>
      </w:divBdr>
    </w:div>
    <w:div w:id="135145384">
      <w:bodyDiv w:val="1"/>
      <w:marLeft w:val="0"/>
      <w:marRight w:val="0"/>
      <w:marTop w:val="0"/>
      <w:marBottom w:val="0"/>
      <w:divBdr>
        <w:top w:val="none" w:sz="0" w:space="0" w:color="auto"/>
        <w:left w:val="none" w:sz="0" w:space="0" w:color="auto"/>
        <w:bottom w:val="none" w:sz="0" w:space="0" w:color="auto"/>
        <w:right w:val="none" w:sz="0" w:space="0" w:color="auto"/>
      </w:divBdr>
    </w:div>
    <w:div w:id="399862974">
      <w:bodyDiv w:val="1"/>
      <w:marLeft w:val="0"/>
      <w:marRight w:val="0"/>
      <w:marTop w:val="0"/>
      <w:marBottom w:val="0"/>
      <w:divBdr>
        <w:top w:val="none" w:sz="0" w:space="0" w:color="auto"/>
        <w:left w:val="none" w:sz="0" w:space="0" w:color="auto"/>
        <w:bottom w:val="none" w:sz="0" w:space="0" w:color="auto"/>
        <w:right w:val="none" w:sz="0" w:space="0" w:color="auto"/>
      </w:divBdr>
    </w:div>
    <w:div w:id="1048147019">
      <w:bodyDiv w:val="1"/>
      <w:marLeft w:val="0"/>
      <w:marRight w:val="0"/>
      <w:marTop w:val="0"/>
      <w:marBottom w:val="0"/>
      <w:divBdr>
        <w:top w:val="none" w:sz="0" w:space="0" w:color="auto"/>
        <w:left w:val="none" w:sz="0" w:space="0" w:color="auto"/>
        <w:bottom w:val="none" w:sz="0" w:space="0" w:color="auto"/>
        <w:right w:val="none" w:sz="0" w:space="0" w:color="auto"/>
      </w:divBdr>
    </w:div>
    <w:div w:id="1144931226">
      <w:bodyDiv w:val="1"/>
      <w:marLeft w:val="0"/>
      <w:marRight w:val="0"/>
      <w:marTop w:val="0"/>
      <w:marBottom w:val="0"/>
      <w:divBdr>
        <w:top w:val="none" w:sz="0" w:space="0" w:color="auto"/>
        <w:left w:val="none" w:sz="0" w:space="0" w:color="auto"/>
        <w:bottom w:val="none" w:sz="0" w:space="0" w:color="auto"/>
        <w:right w:val="none" w:sz="0" w:space="0" w:color="auto"/>
      </w:divBdr>
      <w:divsChild>
        <w:div w:id="2140610067">
          <w:marLeft w:val="0"/>
          <w:marRight w:val="0"/>
          <w:marTop w:val="0"/>
          <w:marBottom w:val="0"/>
          <w:divBdr>
            <w:top w:val="single" w:sz="2" w:space="0" w:color="E3E3E3"/>
            <w:left w:val="single" w:sz="2" w:space="0" w:color="E3E3E3"/>
            <w:bottom w:val="single" w:sz="2" w:space="0" w:color="E3E3E3"/>
            <w:right w:val="single" w:sz="2" w:space="0" w:color="E3E3E3"/>
          </w:divBdr>
          <w:divsChild>
            <w:div w:id="1874463948">
              <w:marLeft w:val="0"/>
              <w:marRight w:val="0"/>
              <w:marTop w:val="0"/>
              <w:marBottom w:val="0"/>
              <w:divBdr>
                <w:top w:val="single" w:sz="2" w:space="0" w:color="E3E3E3"/>
                <w:left w:val="single" w:sz="2" w:space="0" w:color="E3E3E3"/>
                <w:bottom w:val="single" w:sz="2" w:space="0" w:color="E3E3E3"/>
                <w:right w:val="single" w:sz="2" w:space="0" w:color="E3E3E3"/>
              </w:divBdr>
              <w:divsChild>
                <w:div w:id="2020037574">
                  <w:marLeft w:val="0"/>
                  <w:marRight w:val="0"/>
                  <w:marTop w:val="0"/>
                  <w:marBottom w:val="0"/>
                  <w:divBdr>
                    <w:top w:val="single" w:sz="2" w:space="0" w:color="E3E3E3"/>
                    <w:left w:val="single" w:sz="2" w:space="0" w:color="E3E3E3"/>
                    <w:bottom w:val="single" w:sz="2" w:space="0" w:color="E3E3E3"/>
                    <w:right w:val="single" w:sz="2" w:space="0" w:color="E3E3E3"/>
                  </w:divBdr>
                  <w:divsChild>
                    <w:div w:id="1858150739">
                      <w:marLeft w:val="0"/>
                      <w:marRight w:val="0"/>
                      <w:marTop w:val="0"/>
                      <w:marBottom w:val="0"/>
                      <w:divBdr>
                        <w:top w:val="single" w:sz="2" w:space="0" w:color="E3E3E3"/>
                        <w:left w:val="single" w:sz="2" w:space="0" w:color="E3E3E3"/>
                        <w:bottom w:val="single" w:sz="2" w:space="0" w:color="E3E3E3"/>
                        <w:right w:val="single" w:sz="2" w:space="0" w:color="E3E3E3"/>
                      </w:divBdr>
                      <w:divsChild>
                        <w:div w:id="518810080">
                          <w:marLeft w:val="0"/>
                          <w:marRight w:val="0"/>
                          <w:marTop w:val="0"/>
                          <w:marBottom w:val="0"/>
                          <w:divBdr>
                            <w:top w:val="single" w:sz="2" w:space="0" w:color="E3E3E3"/>
                            <w:left w:val="single" w:sz="2" w:space="0" w:color="E3E3E3"/>
                            <w:bottom w:val="single" w:sz="2" w:space="0" w:color="E3E3E3"/>
                            <w:right w:val="single" w:sz="2" w:space="0" w:color="E3E3E3"/>
                          </w:divBdr>
                          <w:divsChild>
                            <w:div w:id="1371027347">
                              <w:marLeft w:val="0"/>
                              <w:marRight w:val="0"/>
                              <w:marTop w:val="100"/>
                              <w:marBottom w:val="100"/>
                              <w:divBdr>
                                <w:top w:val="single" w:sz="2" w:space="0" w:color="E3E3E3"/>
                                <w:left w:val="single" w:sz="2" w:space="0" w:color="E3E3E3"/>
                                <w:bottom w:val="single" w:sz="2" w:space="0" w:color="E3E3E3"/>
                                <w:right w:val="single" w:sz="2" w:space="0" w:color="E3E3E3"/>
                              </w:divBdr>
                              <w:divsChild>
                                <w:div w:id="961960171">
                                  <w:marLeft w:val="0"/>
                                  <w:marRight w:val="0"/>
                                  <w:marTop w:val="0"/>
                                  <w:marBottom w:val="0"/>
                                  <w:divBdr>
                                    <w:top w:val="single" w:sz="2" w:space="0" w:color="E3E3E3"/>
                                    <w:left w:val="single" w:sz="2" w:space="0" w:color="E3E3E3"/>
                                    <w:bottom w:val="single" w:sz="2" w:space="0" w:color="E3E3E3"/>
                                    <w:right w:val="single" w:sz="2" w:space="0" w:color="E3E3E3"/>
                                  </w:divBdr>
                                  <w:divsChild>
                                    <w:div w:id="1251042536">
                                      <w:marLeft w:val="0"/>
                                      <w:marRight w:val="0"/>
                                      <w:marTop w:val="0"/>
                                      <w:marBottom w:val="0"/>
                                      <w:divBdr>
                                        <w:top w:val="single" w:sz="2" w:space="0" w:color="E3E3E3"/>
                                        <w:left w:val="single" w:sz="2" w:space="0" w:color="E3E3E3"/>
                                        <w:bottom w:val="single" w:sz="2" w:space="0" w:color="E3E3E3"/>
                                        <w:right w:val="single" w:sz="2" w:space="0" w:color="E3E3E3"/>
                                      </w:divBdr>
                                      <w:divsChild>
                                        <w:div w:id="689991179">
                                          <w:marLeft w:val="0"/>
                                          <w:marRight w:val="0"/>
                                          <w:marTop w:val="0"/>
                                          <w:marBottom w:val="0"/>
                                          <w:divBdr>
                                            <w:top w:val="single" w:sz="2" w:space="0" w:color="E3E3E3"/>
                                            <w:left w:val="single" w:sz="2" w:space="0" w:color="E3E3E3"/>
                                            <w:bottom w:val="single" w:sz="2" w:space="0" w:color="E3E3E3"/>
                                            <w:right w:val="single" w:sz="2" w:space="0" w:color="E3E3E3"/>
                                          </w:divBdr>
                                          <w:divsChild>
                                            <w:div w:id="739719590">
                                              <w:marLeft w:val="0"/>
                                              <w:marRight w:val="0"/>
                                              <w:marTop w:val="0"/>
                                              <w:marBottom w:val="0"/>
                                              <w:divBdr>
                                                <w:top w:val="single" w:sz="2" w:space="0" w:color="E3E3E3"/>
                                                <w:left w:val="single" w:sz="2" w:space="0" w:color="E3E3E3"/>
                                                <w:bottom w:val="single" w:sz="2" w:space="0" w:color="E3E3E3"/>
                                                <w:right w:val="single" w:sz="2" w:space="0" w:color="E3E3E3"/>
                                              </w:divBdr>
                                              <w:divsChild>
                                                <w:div w:id="327295129">
                                                  <w:marLeft w:val="0"/>
                                                  <w:marRight w:val="0"/>
                                                  <w:marTop w:val="0"/>
                                                  <w:marBottom w:val="0"/>
                                                  <w:divBdr>
                                                    <w:top w:val="single" w:sz="2" w:space="0" w:color="E3E3E3"/>
                                                    <w:left w:val="single" w:sz="2" w:space="0" w:color="E3E3E3"/>
                                                    <w:bottom w:val="single" w:sz="2" w:space="0" w:color="E3E3E3"/>
                                                    <w:right w:val="single" w:sz="2" w:space="0" w:color="E3E3E3"/>
                                                  </w:divBdr>
                                                  <w:divsChild>
                                                    <w:div w:id="46755435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1133593136">
          <w:marLeft w:val="0"/>
          <w:marRight w:val="0"/>
          <w:marTop w:val="0"/>
          <w:marBottom w:val="0"/>
          <w:divBdr>
            <w:top w:val="none" w:sz="0" w:space="0" w:color="auto"/>
            <w:left w:val="none" w:sz="0" w:space="0" w:color="auto"/>
            <w:bottom w:val="none" w:sz="0" w:space="0" w:color="auto"/>
            <w:right w:val="none" w:sz="0" w:space="0" w:color="auto"/>
          </w:divBdr>
        </w:div>
      </w:divsChild>
    </w:div>
    <w:div w:id="1898012901">
      <w:bodyDiv w:val="1"/>
      <w:marLeft w:val="0"/>
      <w:marRight w:val="0"/>
      <w:marTop w:val="0"/>
      <w:marBottom w:val="0"/>
      <w:divBdr>
        <w:top w:val="none" w:sz="0" w:space="0" w:color="auto"/>
        <w:left w:val="none" w:sz="0" w:space="0" w:color="auto"/>
        <w:bottom w:val="none" w:sz="0" w:space="0" w:color="auto"/>
        <w:right w:val="none" w:sz="0" w:space="0" w:color="auto"/>
      </w:divBdr>
    </w:div>
    <w:div w:id="1932622220">
      <w:bodyDiv w:val="1"/>
      <w:marLeft w:val="0"/>
      <w:marRight w:val="0"/>
      <w:marTop w:val="0"/>
      <w:marBottom w:val="0"/>
      <w:divBdr>
        <w:top w:val="none" w:sz="0" w:space="0" w:color="auto"/>
        <w:left w:val="none" w:sz="0" w:space="0" w:color="auto"/>
        <w:bottom w:val="none" w:sz="0" w:space="0" w:color="auto"/>
        <w:right w:val="none" w:sz="0" w:space="0" w:color="auto"/>
      </w:divBdr>
    </w:div>
    <w:div w:id="20760509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wmf"/><Relationship Id="rId18" Type="http://schemas.openxmlformats.org/officeDocument/2006/relationships/oleObject" Target="embeddings/oleObject5.bin"/><Relationship Id="rId26" Type="http://schemas.openxmlformats.org/officeDocument/2006/relationships/oleObject" Target="embeddings/oleObject9.bin"/><Relationship Id="rId3" Type="http://schemas.openxmlformats.org/officeDocument/2006/relationships/styles" Target="styles.xml"/><Relationship Id="rId21" Type="http://schemas.openxmlformats.org/officeDocument/2006/relationships/image" Target="media/image8.wmf"/><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oleObject" Target="embeddings/oleObject2.bin"/><Relationship Id="rId17" Type="http://schemas.openxmlformats.org/officeDocument/2006/relationships/image" Target="media/image6.wmf"/><Relationship Id="rId25" Type="http://schemas.openxmlformats.org/officeDocument/2006/relationships/image" Target="media/image10.wmf"/><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oleObject" Target="embeddings/oleObject4.bin"/><Relationship Id="rId20" Type="http://schemas.openxmlformats.org/officeDocument/2006/relationships/oleObject" Target="embeddings/oleObject6.bin"/><Relationship Id="rId29" Type="http://schemas.openxmlformats.org/officeDocument/2006/relationships/image" Target="media/image13.sv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wmf"/><Relationship Id="rId24" Type="http://schemas.openxmlformats.org/officeDocument/2006/relationships/oleObject" Target="embeddings/oleObject8.bin"/><Relationship Id="rId32" Type="http://schemas.openxmlformats.org/officeDocument/2006/relationships/image" Target="media/image16.png"/><Relationship Id="rId5" Type="http://schemas.openxmlformats.org/officeDocument/2006/relationships/webSettings" Target="webSettings.xml"/><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image" Target="media/image12.png"/><Relationship Id="rId10" Type="http://schemas.openxmlformats.org/officeDocument/2006/relationships/oleObject" Target="embeddings/oleObject1.bin"/><Relationship Id="rId19" Type="http://schemas.openxmlformats.org/officeDocument/2006/relationships/image" Target="media/image7.wmf"/><Relationship Id="rId31" Type="http://schemas.openxmlformats.org/officeDocument/2006/relationships/image" Target="media/image15.pn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image" Target="media/image11.png"/><Relationship Id="rId30" Type="http://schemas.openxmlformats.org/officeDocument/2006/relationships/image" Target="media/image14.png"/><Relationship Id="rId8"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6E9192-698A-41CF-977C-C42E73C1A9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9</Pages>
  <Words>4059</Words>
  <Characters>23140</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Honge Chou</dc:creator>
  <cp:keywords/>
  <dc:description/>
  <cp:lastModifiedBy>Nilesh Nawale</cp:lastModifiedBy>
  <cp:revision>2</cp:revision>
  <cp:lastPrinted>2024-05-21T05:35:00Z</cp:lastPrinted>
  <dcterms:created xsi:type="dcterms:W3CDTF">2024-06-21T06:39:00Z</dcterms:created>
  <dcterms:modified xsi:type="dcterms:W3CDTF">2024-06-21T06:39:00Z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ZOTERO_PREF_1">
    <vt:lpwstr>&lt;data data-version="3" zotero-version="6.0.36"&gt;&lt;session id="npdSjTzI"/&gt;&lt;style id="http://www.zotero.org/styles/nature" hasBibliography="1" bibliographyStyleHasBeenSet="1"/&gt;&lt;prefs&gt;&lt;pref name="fieldType" value="Field"/&gt;&lt;pref name="automaticJournalAbbreviati</vt:lpwstr>
  </property>
  <property fmtid="{D5CDD505-2E9C-101B-9397-08002B2CF9AE}" pid="4" name="ZOTERO_PREF_2">
    <vt:lpwstr>ons" value="true"/&gt;&lt;/prefs&gt;&lt;/data&gt;</vt:lpwstr>
  </property>
</Properties>
</file>