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C9C145" w14:textId="797F8090" w:rsidR="00D9634D" w:rsidRPr="00DF1BBB" w:rsidRDefault="00D9634D" w:rsidP="00AD7A2A">
      <w:pPr>
        <w:spacing w:after="0" w:line="480" w:lineRule="auto"/>
        <w:rPr>
          <w:rFonts w:ascii="Calibri" w:hAnsi="Calibri" w:cs="Calibri"/>
          <w:color w:val="202124"/>
          <w:sz w:val="22"/>
          <w:szCs w:val="22"/>
          <w:shd w:val="clear" w:color="auto" w:fill="FFFFFF"/>
        </w:rPr>
      </w:pPr>
      <w:r>
        <w:rPr>
          <w:rFonts w:ascii="Calibri" w:eastAsia="Times New Roman" w:hAnsi="Calibri" w:cs="Calibri"/>
          <w:b/>
          <w:bCs/>
          <w:color w:val="000000"/>
          <w:kern w:val="0"/>
          <w:sz w:val="22"/>
          <w:szCs w:val="22"/>
          <w14:ligatures w14:val="none"/>
        </w:rPr>
        <w:t xml:space="preserve">SI </w:t>
      </w:r>
      <w:r w:rsidRPr="0074059E">
        <w:rPr>
          <w:rFonts w:ascii="Calibri" w:eastAsia="Times New Roman" w:hAnsi="Calibri" w:cs="Calibri"/>
          <w:b/>
          <w:bCs/>
          <w:color w:val="000000"/>
          <w:kern w:val="0"/>
          <w:sz w:val="22"/>
          <w:szCs w:val="22"/>
          <w14:ligatures w14:val="none"/>
        </w:rPr>
        <w:t xml:space="preserve">Table 1: </w:t>
      </w:r>
      <w:r w:rsidRPr="00DF1BBB">
        <w:rPr>
          <w:rFonts w:ascii="Calibri" w:hAnsi="Calibri" w:cs="Calibri"/>
          <w:b/>
          <w:bCs/>
          <w:color w:val="202124"/>
          <w:sz w:val="22"/>
          <w:szCs w:val="22"/>
          <w:shd w:val="clear" w:color="auto" w:fill="FFFFFF"/>
        </w:rPr>
        <w:t xml:space="preserve">Particle characterization. </w:t>
      </w:r>
      <w:r w:rsidRPr="00DF1BBB">
        <w:rPr>
          <w:rFonts w:ascii="Calibri" w:hAnsi="Calibri" w:cs="Calibri"/>
          <w:color w:val="202124"/>
          <w:sz w:val="22"/>
          <w:szCs w:val="22"/>
          <w:shd w:val="clear" w:color="auto" w:fill="FFFFFF"/>
        </w:rPr>
        <w:t xml:space="preserve">Commercially available polystyrene (PS) particles were analyzed for their </w:t>
      </w:r>
      <m:oMath>
        <m:r>
          <w:rPr>
            <w:rFonts w:ascii="Cambria Math" w:eastAsia="Cambria Math" w:hAnsi="Cambria Math" w:cs="Calibri"/>
            <w:sz w:val="22"/>
            <w:szCs w:val="22"/>
          </w:rPr>
          <m:t>ζ</m:t>
        </m:r>
      </m:oMath>
      <w:r w:rsidRPr="00DF1BBB">
        <w:rPr>
          <w:rFonts w:ascii="Calibri" w:hAnsi="Calibri" w:cs="Calibri"/>
          <w:color w:val="202124"/>
          <w:sz w:val="22"/>
          <w:szCs w:val="22"/>
          <w:shd w:val="clear" w:color="auto" w:fill="FFFFFF"/>
        </w:rPr>
        <w:t>-potential, size distribution and polydispersity index (PDI) in different media.</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3"/>
        <w:gridCol w:w="994"/>
        <w:gridCol w:w="1234"/>
        <w:gridCol w:w="1156"/>
        <w:gridCol w:w="1164"/>
        <w:gridCol w:w="1294"/>
        <w:gridCol w:w="1141"/>
        <w:gridCol w:w="830"/>
      </w:tblGrid>
      <w:tr w:rsidR="00D9634D" w:rsidRPr="0051416D" w14:paraId="793F7CC9" w14:textId="77777777" w:rsidTr="00265B71">
        <w:tc>
          <w:tcPr>
            <w:tcW w:w="1220" w:type="dxa"/>
            <w:vMerge w:val="restart"/>
            <w:tcBorders>
              <w:top w:val="single" w:sz="4" w:space="0" w:color="auto"/>
            </w:tcBorders>
            <w:shd w:val="clear" w:color="auto" w:fill="auto"/>
            <w:vAlign w:val="center"/>
          </w:tcPr>
          <w:p w14:paraId="41087372" w14:textId="77777777" w:rsidR="00D9634D" w:rsidRPr="00DF1BBB" w:rsidRDefault="00D9634D" w:rsidP="00265B71">
            <w:pPr>
              <w:spacing w:after="160" w:line="360" w:lineRule="auto"/>
              <w:jc w:val="center"/>
              <w:rPr>
                <w:rFonts w:ascii="Calibri" w:hAnsi="Calibri" w:cs="Calibri"/>
                <w:b/>
                <w:bCs/>
              </w:rPr>
            </w:pPr>
            <w:r w:rsidRPr="70C520A0">
              <w:rPr>
                <w:rFonts w:ascii="Calibri" w:hAnsi="Calibri" w:cs="Calibri"/>
                <w:b/>
                <w:bCs/>
              </w:rPr>
              <w:t>particles</w:t>
            </w:r>
          </w:p>
        </w:tc>
        <w:tc>
          <w:tcPr>
            <w:tcW w:w="997" w:type="dxa"/>
            <w:vMerge w:val="restart"/>
            <w:tcBorders>
              <w:top w:val="single" w:sz="4" w:space="0" w:color="auto"/>
              <w:right w:val="single" w:sz="4" w:space="0" w:color="auto"/>
            </w:tcBorders>
            <w:shd w:val="clear" w:color="auto" w:fill="auto"/>
            <w:vAlign w:val="center"/>
          </w:tcPr>
          <w:p w14:paraId="7C41AE28" w14:textId="77777777" w:rsidR="00D9634D" w:rsidRPr="00DF1BBB" w:rsidRDefault="00D9634D" w:rsidP="00265B71">
            <w:pPr>
              <w:spacing w:after="160" w:line="360" w:lineRule="auto"/>
              <w:jc w:val="center"/>
              <w:rPr>
                <w:rFonts w:ascii="Calibri" w:hAnsi="Calibri" w:cs="Calibri"/>
                <w:b/>
                <w:bCs/>
              </w:rPr>
            </w:pPr>
            <w:r w:rsidRPr="70C520A0">
              <w:rPr>
                <w:rFonts w:ascii="Calibri" w:hAnsi="Calibri" w:cs="Calibri"/>
                <w:b/>
                <w:bCs/>
              </w:rPr>
              <w:t xml:space="preserve">particle </w:t>
            </w:r>
            <w:proofErr w:type="spellStart"/>
            <w:r w:rsidRPr="70C520A0">
              <w:rPr>
                <w:rFonts w:ascii="Calibri" w:hAnsi="Calibri" w:cs="Calibri"/>
                <w:b/>
                <w:bCs/>
              </w:rPr>
              <w:t>size</w:t>
            </w:r>
            <w:r w:rsidRPr="70C520A0">
              <w:rPr>
                <w:rFonts w:ascii="Calibri" w:hAnsi="Calibri" w:cs="Calibri"/>
                <w:b/>
                <w:bCs/>
                <w:vertAlign w:val="superscript"/>
              </w:rPr>
              <w:t>a</w:t>
            </w:r>
            <w:proofErr w:type="spellEnd"/>
            <w:r w:rsidRPr="70C520A0">
              <w:rPr>
                <w:rFonts w:ascii="Calibri" w:hAnsi="Calibri" w:cs="Calibri"/>
                <w:b/>
                <w:bCs/>
              </w:rPr>
              <w:t xml:space="preserve"> / µm</w:t>
            </w:r>
          </w:p>
        </w:tc>
        <w:tc>
          <w:tcPr>
            <w:tcW w:w="3577" w:type="dxa"/>
            <w:gridSpan w:val="3"/>
            <w:tcBorders>
              <w:top w:val="single" w:sz="4" w:space="0" w:color="auto"/>
              <w:left w:val="single" w:sz="4" w:space="0" w:color="auto"/>
              <w:bottom w:val="single" w:sz="4" w:space="0" w:color="auto"/>
            </w:tcBorders>
            <w:shd w:val="clear" w:color="auto" w:fill="auto"/>
            <w:vAlign w:val="center"/>
          </w:tcPr>
          <w:p w14:paraId="7EC33B40" w14:textId="77777777" w:rsidR="00D9634D" w:rsidRPr="00DF1BBB" w:rsidRDefault="00D9634D" w:rsidP="00265B71">
            <w:pPr>
              <w:spacing w:after="160" w:line="360" w:lineRule="auto"/>
              <w:jc w:val="center"/>
              <w:rPr>
                <w:rFonts w:ascii="Calibri" w:hAnsi="Calibri" w:cs="Calibri"/>
                <w:b/>
                <w:bCs/>
              </w:rPr>
            </w:pPr>
            <w:r w:rsidRPr="70C520A0">
              <w:rPr>
                <w:rFonts w:ascii="Calibri" w:hAnsi="Calibri" w:cs="Calibri"/>
                <w:b/>
                <w:bCs/>
              </w:rPr>
              <w:t>DI water</w:t>
            </w:r>
          </w:p>
        </w:tc>
        <w:tc>
          <w:tcPr>
            <w:tcW w:w="3278" w:type="dxa"/>
            <w:gridSpan w:val="3"/>
            <w:tcBorders>
              <w:top w:val="single" w:sz="4" w:space="0" w:color="auto"/>
              <w:bottom w:val="single" w:sz="4" w:space="0" w:color="auto"/>
            </w:tcBorders>
            <w:shd w:val="clear" w:color="auto" w:fill="auto"/>
            <w:vAlign w:val="center"/>
          </w:tcPr>
          <w:p w14:paraId="22C4F6DF" w14:textId="77777777" w:rsidR="00D9634D" w:rsidRPr="00DF1BBB" w:rsidRDefault="00D9634D" w:rsidP="00265B71">
            <w:pPr>
              <w:spacing w:after="160" w:line="360" w:lineRule="auto"/>
              <w:jc w:val="center"/>
              <w:rPr>
                <w:rFonts w:ascii="Calibri" w:hAnsi="Calibri" w:cs="Calibri"/>
                <w:b/>
                <w:bCs/>
              </w:rPr>
            </w:pPr>
            <w:r w:rsidRPr="70C520A0">
              <w:rPr>
                <w:rFonts w:ascii="Calibri" w:hAnsi="Calibri" w:cs="Calibri"/>
                <w:b/>
                <w:bCs/>
              </w:rPr>
              <w:t xml:space="preserve">1 mM </w:t>
            </w:r>
            <w:proofErr w:type="spellStart"/>
            <w:r w:rsidRPr="70C520A0">
              <w:rPr>
                <w:rFonts w:ascii="Calibri" w:hAnsi="Calibri" w:cs="Calibri"/>
                <w:b/>
                <w:bCs/>
              </w:rPr>
              <w:t>KCl</w:t>
            </w:r>
            <w:proofErr w:type="spellEnd"/>
          </w:p>
        </w:tc>
      </w:tr>
      <w:tr w:rsidR="00D9634D" w:rsidRPr="0051416D" w14:paraId="56826745" w14:textId="77777777" w:rsidTr="00265B71">
        <w:tc>
          <w:tcPr>
            <w:tcW w:w="1220" w:type="dxa"/>
            <w:vMerge/>
            <w:vAlign w:val="center"/>
          </w:tcPr>
          <w:p w14:paraId="13A31891" w14:textId="77777777" w:rsidR="00D9634D" w:rsidRPr="00DF1BBB" w:rsidRDefault="00D9634D" w:rsidP="00265B71">
            <w:pPr>
              <w:spacing w:after="160" w:line="360" w:lineRule="auto"/>
              <w:jc w:val="center"/>
              <w:rPr>
                <w:rFonts w:ascii="Calibri" w:hAnsi="Calibri" w:cs="Calibri"/>
                <w:b/>
                <w:bCs/>
              </w:rPr>
            </w:pPr>
          </w:p>
        </w:tc>
        <w:tc>
          <w:tcPr>
            <w:tcW w:w="997" w:type="dxa"/>
            <w:vMerge/>
            <w:vAlign w:val="center"/>
          </w:tcPr>
          <w:p w14:paraId="72F23BBA" w14:textId="77777777" w:rsidR="00D9634D" w:rsidRPr="00DF1BBB" w:rsidRDefault="00D9634D" w:rsidP="00265B71">
            <w:pPr>
              <w:spacing w:after="160" w:line="360" w:lineRule="auto"/>
              <w:jc w:val="center"/>
              <w:rPr>
                <w:rFonts w:ascii="Calibri" w:hAnsi="Calibri" w:cs="Calibri"/>
                <w:b/>
                <w:bCs/>
              </w:rPr>
            </w:pPr>
          </w:p>
        </w:tc>
        <w:tc>
          <w:tcPr>
            <w:tcW w:w="1240" w:type="dxa"/>
            <w:tcBorders>
              <w:top w:val="single" w:sz="4" w:space="0" w:color="auto"/>
              <w:left w:val="single" w:sz="4" w:space="0" w:color="auto"/>
              <w:bottom w:val="single" w:sz="4" w:space="0" w:color="auto"/>
            </w:tcBorders>
            <w:shd w:val="clear" w:color="auto" w:fill="auto"/>
            <w:vAlign w:val="center"/>
          </w:tcPr>
          <w:p w14:paraId="51EA5298" w14:textId="77777777" w:rsidR="00D9634D" w:rsidRPr="00DF1BBB" w:rsidRDefault="00D9634D" w:rsidP="00265B71">
            <w:pPr>
              <w:spacing w:after="160" w:line="360" w:lineRule="auto"/>
              <w:jc w:val="center"/>
              <w:rPr>
                <w:rFonts w:ascii="Calibri" w:hAnsi="Calibri" w:cs="Calibri"/>
                <w:b/>
                <w:bCs/>
              </w:rPr>
            </w:pPr>
            <m:oMath>
              <m:r>
                <m:rPr>
                  <m:sty m:val="bi"/>
                </m:rPr>
                <w:rPr>
                  <w:rFonts w:ascii="Cambria Math" w:eastAsia="Cambria Math" w:hAnsi="Cambria Math" w:cs="Calibri"/>
                </w:rPr>
                <m:t>ζ</m:t>
              </m:r>
            </m:oMath>
            <w:r w:rsidRPr="00DF1BBB">
              <w:rPr>
                <w:rFonts w:ascii="Calibri" w:hAnsi="Calibri" w:cs="Calibri"/>
                <w:b/>
                <w:bCs/>
              </w:rPr>
              <w:t xml:space="preserve"> potential / mV</w:t>
            </w:r>
          </w:p>
        </w:tc>
        <w:tc>
          <w:tcPr>
            <w:tcW w:w="1157" w:type="dxa"/>
            <w:tcBorders>
              <w:top w:val="single" w:sz="4" w:space="0" w:color="auto"/>
              <w:bottom w:val="single" w:sz="4" w:space="0" w:color="auto"/>
            </w:tcBorders>
            <w:shd w:val="clear" w:color="auto" w:fill="auto"/>
            <w:vAlign w:val="center"/>
          </w:tcPr>
          <w:p w14:paraId="256F6D28" w14:textId="77777777" w:rsidR="00D9634D" w:rsidRPr="00DF1BBB" w:rsidRDefault="00D9634D" w:rsidP="00265B71">
            <w:pPr>
              <w:spacing w:after="160" w:line="360" w:lineRule="auto"/>
              <w:jc w:val="center"/>
              <w:rPr>
                <w:rFonts w:ascii="Calibri" w:hAnsi="Calibri" w:cs="Calibri"/>
                <w:b/>
                <w:bCs/>
              </w:rPr>
            </w:pPr>
            <w:r w:rsidRPr="70C520A0">
              <w:rPr>
                <w:rFonts w:ascii="Calibri" w:hAnsi="Calibri" w:cs="Calibri"/>
                <w:b/>
                <w:bCs/>
              </w:rPr>
              <w:t>Measured size / nm</w:t>
            </w:r>
          </w:p>
        </w:tc>
        <w:tc>
          <w:tcPr>
            <w:tcW w:w="1180" w:type="dxa"/>
            <w:tcBorders>
              <w:top w:val="single" w:sz="4" w:space="0" w:color="auto"/>
              <w:bottom w:val="single" w:sz="4" w:space="0" w:color="auto"/>
            </w:tcBorders>
            <w:shd w:val="clear" w:color="auto" w:fill="auto"/>
            <w:vAlign w:val="center"/>
          </w:tcPr>
          <w:p w14:paraId="3EBB6C80" w14:textId="77777777" w:rsidR="00D9634D" w:rsidRPr="00DF1BBB" w:rsidRDefault="00D9634D" w:rsidP="00265B71">
            <w:pPr>
              <w:spacing w:after="160" w:line="360" w:lineRule="auto"/>
              <w:jc w:val="center"/>
              <w:rPr>
                <w:rFonts w:ascii="Calibri" w:hAnsi="Calibri" w:cs="Calibri"/>
                <w:b/>
                <w:bCs/>
              </w:rPr>
            </w:pPr>
            <w:r w:rsidRPr="70C520A0">
              <w:rPr>
                <w:rFonts w:ascii="Calibri" w:hAnsi="Calibri" w:cs="Calibri"/>
                <w:b/>
                <w:bCs/>
              </w:rPr>
              <w:t>PDI</w:t>
            </w:r>
          </w:p>
        </w:tc>
        <w:tc>
          <w:tcPr>
            <w:tcW w:w="1303" w:type="dxa"/>
            <w:tcBorders>
              <w:top w:val="single" w:sz="4" w:space="0" w:color="auto"/>
              <w:bottom w:val="single" w:sz="4" w:space="0" w:color="auto"/>
            </w:tcBorders>
            <w:shd w:val="clear" w:color="auto" w:fill="auto"/>
            <w:vAlign w:val="center"/>
          </w:tcPr>
          <w:p w14:paraId="373E4397" w14:textId="77777777" w:rsidR="00D9634D" w:rsidRPr="00DF1BBB" w:rsidRDefault="00D9634D" w:rsidP="00265B71">
            <w:pPr>
              <w:spacing w:after="160" w:line="360" w:lineRule="auto"/>
              <w:jc w:val="center"/>
              <w:rPr>
                <w:rFonts w:ascii="Calibri" w:hAnsi="Calibri" w:cs="Calibri"/>
                <w:b/>
                <w:bCs/>
              </w:rPr>
            </w:pPr>
            <m:oMath>
              <m:r>
                <m:rPr>
                  <m:sty m:val="bi"/>
                </m:rPr>
                <w:rPr>
                  <w:rFonts w:ascii="Cambria Math" w:eastAsia="Cambria Math" w:hAnsi="Cambria Math" w:cs="Calibri"/>
                </w:rPr>
                <m:t>ζ</m:t>
              </m:r>
            </m:oMath>
            <w:r w:rsidRPr="00DF1BBB">
              <w:rPr>
                <w:rFonts w:ascii="Calibri" w:hAnsi="Calibri" w:cs="Calibri"/>
                <w:b/>
                <w:bCs/>
              </w:rPr>
              <w:t xml:space="preserve"> potential / mV</w:t>
            </w:r>
          </w:p>
        </w:tc>
        <w:tc>
          <w:tcPr>
            <w:tcW w:w="1141" w:type="dxa"/>
            <w:tcBorders>
              <w:top w:val="single" w:sz="4" w:space="0" w:color="auto"/>
              <w:bottom w:val="single" w:sz="4" w:space="0" w:color="auto"/>
            </w:tcBorders>
            <w:shd w:val="clear" w:color="auto" w:fill="auto"/>
            <w:vAlign w:val="center"/>
          </w:tcPr>
          <w:p w14:paraId="6AB3D091" w14:textId="77777777" w:rsidR="00D9634D" w:rsidRPr="00DF1BBB" w:rsidRDefault="00D9634D" w:rsidP="00265B71">
            <w:pPr>
              <w:spacing w:after="160" w:line="360" w:lineRule="auto"/>
              <w:jc w:val="center"/>
              <w:rPr>
                <w:rFonts w:ascii="Calibri" w:hAnsi="Calibri" w:cs="Calibri"/>
                <w:b/>
                <w:bCs/>
              </w:rPr>
            </w:pPr>
            <w:r w:rsidRPr="70C520A0">
              <w:rPr>
                <w:rFonts w:ascii="Calibri" w:hAnsi="Calibri" w:cs="Calibri"/>
                <w:b/>
                <w:bCs/>
              </w:rPr>
              <w:t>Measured size / nm</w:t>
            </w:r>
          </w:p>
        </w:tc>
        <w:tc>
          <w:tcPr>
            <w:tcW w:w="834" w:type="dxa"/>
            <w:tcBorders>
              <w:top w:val="single" w:sz="4" w:space="0" w:color="auto"/>
              <w:bottom w:val="single" w:sz="4" w:space="0" w:color="auto"/>
            </w:tcBorders>
            <w:shd w:val="clear" w:color="auto" w:fill="auto"/>
            <w:vAlign w:val="center"/>
          </w:tcPr>
          <w:p w14:paraId="0F554D47" w14:textId="77777777" w:rsidR="00D9634D" w:rsidRPr="00DF1BBB" w:rsidRDefault="00D9634D" w:rsidP="00265B71">
            <w:pPr>
              <w:spacing w:after="160" w:line="360" w:lineRule="auto"/>
              <w:jc w:val="center"/>
              <w:rPr>
                <w:rFonts w:ascii="Calibri" w:hAnsi="Calibri" w:cs="Calibri"/>
                <w:b/>
                <w:bCs/>
              </w:rPr>
            </w:pPr>
            <w:r w:rsidRPr="70C520A0">
              <w:rPr>
                <w:rFonts w:ascii="Calibri" w:hAnsi="Calibri" w:cs="Calibri"/>
                <w:b/>
                <w:bCs/>
              </w:rPr>
              <w:t>PDI</w:t>
            </w:r>
          </w:p>
        </w:tc>
      </w:tr>
      <w:tr w:rsidR="00D9634D" w:rsidRPr="0051416D" w14:paraId="181BF73A" w14:textId="77777777" w:rsidTr="00265B71">
        <w:tc>
          <w:tcPr>
            <w:tcW w:w="1220" w:type="dxa"/>
            <w:vMerge w:val="restart"/>
            <w:tcBorders>
              <w:top w:val="single" w:sz="4" w:space="0" w:color="auto"/>
            </w:tcBorders>
            <w:shd w:val="clear" w:color="auto" w:fill="auto"/>
            <w:vAlign w:val="center"/>
          </w:tcPr>
          <w:p w14:paraId="63C0B109" w14:textId="77777777" w:rsidR="00D9634D" w:rsidRPr="00DF1BBB" w:rsidRDefault="00D9634D" w:rsidP="00265B71">
            <w:pPr>
              <w:spacing w:after="160" w:line="360" w:lineRule="auto"/>
              <w:jc w:val="center"/>
              <w:rPr>
                <w:rFonts w:ascii="Calibri" w:hAnsi="Calibri" w:cs="Calibri"/>
              </w:rPr>
            </w:pPr>
            <w:proofErr w:type="spellStart"/>
            <w:r w:rsidRPr="70C520A0">
              <w:rPr>
                <w:rFonts w:ascii="Calibri" w:hAnsi="Calibri" w:cs="Calibri"/>
              </w:rPr>
              <w:t>Fluo</w:t>
            </w:r>
            <w:proofErr w:type="spellEnd"/>
            <w:r w:rsidRPr="70C520A0">
              <w:rPr>
                <w:rFonts w:ascii="Calibri" w:hAnsi="Calibri" w:cs="Calibri"/>
              </w:rPr>
              <w:t>-PS</w:t>
            </w:r>
          </w:p>
        </w:tc>
        <w:tc>
          <w:tcPr>
            <w:tcW w:w="997" w:type="dxa"/>
            <w:tcBorders>
              <w:top w:val="single" w:sz="4" w:space="0" w:color="auto"/>
              <w:right w:val="single" w:sz="4" w:space="0" w:color="auto"/>
            </w:tcBorders>
            <w:shd w:val="clear" w:color="auto" w:fill="auto"/>
          </w:tcPr>
          <w:p w14:paraId="7254807B"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1.140</w:t>
            </w:r>
          </w:p>
        </w:tc>
        <w:tc>
          <w:tcPr>
            <w:tcW w:w="1240" w:type="dxa"/>
            <w:tcBorders>
              <w:top w:val="single" w:sz="4" w:space="0" w:color="auto"/>
              <w:left w:val="single" w:sz="4" w:space="0" w:color="auto"/>
            </w:tcBorders>
            <w:shd w:val="clear" w:color="auto" w:fill="auto"/>
            <w:vAlign w:val="center"/>
          </w:tcPr>
          <w:p w14:paraId="2ED1E333"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-67.81 ± 29.92</w:t>
            </w:r>
          </w:p>
        </w:tc>
        <w:tc>
          <w:tcPr>
            <w:tcW w:w="1157" w:type="dxa"/>
            <w:tcBorders>
              <w:top w:val="single" w:sz="4" w:space="0" w:color="auto"/>
            </w:tcBorders>
            <w:shd w:val="clear" w:color="auto" w:fill="auto"/>
            <w:vAlign w:val="center"/>
          </w:tcPr>
          <w:p w14:paraId="4505E063"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1206.0</w:t>
            </w:r>
          </w:p>
        </w:tc>
        <w:tc>
          <w:tcPr>
            <w:tcW w:w="1180" w:type="dxa"/>
            <w:tcBorders>
              <w:top w:val="single" w:sz="4" w:space="0" w:color="auto"/>
            </w:tcBorders>
            <w:shd w:val="clear" w:color="auto" w:fill="auto"/>
            <w:vAlign w:val="center"/>
          </w:tcPr>
          <w:p w14:paraId="0D7E0D09"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0.010</w:t>
            </w:r>
          </w:p>
        </w:tc>
        <w:tc>
          <w:tcPr>
            <w:tcW w:w="1303" w:type="dxa"/>
            <w:tcBorders>
              <w:top w:val="single" w:sz="4" w:space="0" w:color="auto"/>
            </w:tcBorders>
            <w:shd w:val="clear" w:color="auto" w:fill="auto"/>
            <w:vAlign w:val="center"/>
          </w:tcPr>
          <w:p w14:paraId="37C6C84B"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-75.68 ± 11.27</w:t>
            </w:r>
          </w:p>
        </w:tc>
        <w:tc>
          <w:tcPr>
            <w:tcW w:w="1141" w:type="dxa"/>
            <w:tcBorders>
              <w:top w:val="single" w:sz="4" w:space="0" w:color="auto"/>
            </w:tcBorders>
            <w:shd w:val="clear" w:color="auto" w:fill="auto"/>
            <w:vAlign w:val="center"/>
          </w:tcPr>
          <w:p w14:paraId="5FFEBDA9"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1462.0</w:t>
            </w:r>
          </w:p>
        </w:tc>
        <w:tc>
          <w:tcPr>
            <w:tcW w:w="834" w:type="dxa"/>
            <w:tcBorders>
              <w:top w:val="single" w:sz="4" w:space="0" w:color="auto"/>
            </w:tcBorders>
            <w:shd w:val="clear" w:color="auto" w:fill="auto"/>
            <w:vAlign w:val="center"/>
          </w:tcPr>
          <w:p w14:paraId="4ABEE31F"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0.192</w:t>
            </w:r>
          </w:p>
        </w:tc>
      </w:tr>
      <w:tr w:rsidR="00D9634D" w:rsidRPr="0051416D" w14:paraId="60CA2D68" w14:textId="77777777" w:rsidTr="00265B71">
        <w:tc>
          <w:tcPr>
            <w:tcW w:w="1220" w:type="dxa"/>
            <w:vMerge/>
            <w:vAlign w:val="center"/>
          </w:tcPr>
          <w:p w14:paraId="03E8332E" w14:textId="77777777" w:rsidR="00D9634D" w:rsidRPr="00DF1BBB" w:rsidRDefault="00D9634D" w:rsidP="00265B71">
            <w:pPr>
              <w:spacing w:after="160" w:line="360" w:lineRule="auto"/>
              <w:jc w:val="center"/>
              <w:rPr>
                <w:rFonts w:ascii="Calibri" w:hAnsi="Calibri" w:cs="Calibri"/>
              </w:rPr>
            </w:pPr>
          </w:p>
        </w:tc>
        <w:tc>
          <w:tcPr>
            <w:tcW w:w="997" w:type="dxa"/>
            <w:tcBorders>
              <w:right w:val="single" w:sz="4" w:space="0" w:color="auto"/>
            </w:tcBorders>
            <w:shd w:val="clear" w:color="auto" w:fill="auto"/>
          </w:tcPr>
          <w:p w14:paraId="7E002DA5" w14:textId="6830A80B" w:rsidR="00D9634D" w:rsidRPr="00DF1BBB" w:rsidRDefault="00D9634D" w:rsidP="00265B71">
            <w:pPr>
              <w:spacing w:line="360" w:lineRule="auto"/>
              <w:jc w:val="center"/>
              <w:rPr>
                <w:rFonts w:ascii="Calibri" w:hAnsi="Calibri" w:cs="Calibri"/>
              </w:rPr>
            </w:pPr>
            <w:r w:rsidRPr="70C520A0">
              <w:rPr>
                <w:rFonts w:ascii="Calibri" w:hAnsi="Calibri" w:cs="Calibri"/>
              </w:rPr>
              <w:t>0.</w:t>
            </w:r>
            <w:r w:rsidR="008376AB" w:rsidRPr="70C520A0">
              <w:rPr>
                <w:rFonts w:ascii="Calibri" w:hAnsi="Calibri" w:cs="Calibri"/>
              </w:rPr>
              <w:t>2</w:t>
            </w:r>
            <w:r w:rsidR="008376AB">
              <w:rPr>
                <w:rFonts w:ascii="Calibri" w:hAnsi="Calibri" w:cs="Calibri"/>
              </w:rPr>
              <w:t>9</w:t>
            </w:r>
          </w:p>
        </w:tc>
        <w:tc>
          <w:tcPr>
            <w:tcW w:w="1240" w:type="dxa"/>
            <w:tcBorders>
              <w:left w:val="single" w:sz="4" w:space="0" w:color="auto"/>
            </w:tcBorders>
            <w:shd w:val="clear" w:color="auto" w:fill="auto"/>
            <w:vAlign w:val="center"/>
          </w:tcPr>
          <w:p w14:paraId="67E40D26" w14:textId="082C983A" w:rsidR="00D9634D" w:rsidRPr="00DF1BBB" w:rsidRDefault="00D9634D" w:rsidP="00265B71">
            <w:pPr>
              <w:spacing w:after="160" w:line="360" w:lineRule="auto"/>
              <w:jc w:val="center"/>
              <w:rPr>
                <w:rFonts w:ascii="Calibri" w:hAnsi="Calibri" w:cs="Calibri"/>
              </w:rPr>
            </w:pPr>
            <w:r w:rsidRPr="70C520A0">
              <w:rPr>
                <w:rFonts w:ascii="Calibri" w:hAnsi="Calibri" w:cs="Calibri"/>
              </w:rPr>
              <w:t>-</w:t>
            </w:r>
            <w:r w:rsidR="00446B66">
              <w:rPr>
                <w:rFonts w:ascii="Calibri" w:hAnsi="Calibri" w:cs="Calibri"/>
              </w:rPr>
              <w:t>66</w:t>
            </w:r>
            <w:r w:rsidRPr="70C520A0">
              <w:rPr>
                <w:rFonts w:ascii="Calibri" w:hAnsi="Calibri" w:cs="Calibri"/>
              </w:rPr>
              <w:t>.</w:t>
            </w:r>
            <w:r w:rsidR="00446B66">
              <w:rPr>
                <w:rFonts w:ascii="Calibri" w:hAnsi="Calibri" w:cs="Calibri"/>
              </w:rPr>
              <w:t>8</w:t>
            </w:r>
            <w:r w:rsidRPr="70C520A0">
              <w:rPr>
                <w:rFonts w:ascii="Calibri" w:hAnsi="Calibri" w:cs="Calibri"/>
              </w:rPr>
              <w:t xml:space="preserve"> ± </w:t>
            </w:r>
            <w:r w:rsidR="00AE19ED">
              <w:rPr>
                <w:rFonts w:ascii="Calibri" w:hAnsi="Calibri" w:cs="Calibri"/>
              </w:rPr>
              <w:t>0.</w:t>
            </w:r>
            <w:r w:rsidR="00050879">
              <w:rPr>
                <w:rFonts w:ascii="Calibri" w:hAnsi="Calibri" w:cs="Calibri"/>
              </w:rPr>
              <w:t>711</w:t>
            </w:r>
          </w:p>
        </w:tc>
        <w:tc>
          <w:tcPr>
            <w:tcW w:w="1157" w:type="dxa"/>
            <w:shd w:val="clear" w:color="auto" w:fill="auto"/>
            <w:vAlign w:val="center"/>
          </w:tcPr>
          <w:p w14:paraId="32D94E89" w14:textId="31D8913C" w:rsidR="00D9634D" w:rsidRPr="00DF1BBB" w:rsidRDefault="00444A99" w:rsidP="00265B71">
            <w:pPr>
              <w:spacing w:after="160" w:line="360" w:lineRule="auto"/>
              <w:jc w:val="center"/>
              <w:rPr>
                <w:rFonts w:ascii="Calibri" w:hAnsi="Calibri" w:cs="Calibri"/>
              </w:rPr>
            </w:pPr>
            <w:r>
              <w:rPr>
                <w:rFonts w:ascii="Calibri" w:hAnsi="Calibri" w:cs="Calibri"/>
              </w:rPr>
              <w:t>432.3</w:t>
            </w:r>
          </w:p>
        </w:tc>
        <w:tc>
          <w:tcPr>
            <w:tcW w:w="1180" w:type="dxa"/>
            <w:shd w:val="clear" w:color="auto" w:fill="auto"/>
            <w:vAlign w:val="center"/>
          </w:tcPr>
          <w:p w14:paraId="55A6AE8B" w14:textId="61665D4E" w:rsidR="00D9634D" w:rsidRPr="00DF1BBB" w:rsidRDefault="00D9634D" w:rsidP="00265B71">
            <w:pPr>
              <w:spacing w:after="160" w:line="360" w:lineRule="auto"/>
              <w:jc w:val="center"/>
              <w:rPr>
                <w:rFonts w:ascii="Calibri" w:hAnsi="Calibri" w:cs="Calibri"/>
              </w:rPr>
            </w:pPr>
            <w:r w:rsidRPr="70C520A0">
              <w:rPr>
                <w:rFonts w:ascii="Calibri" w:hAnsi="Calibri" w:cs="Calibri"/>
              </w:rPr>
              <w:t>0.</w:t>
            </w:r>
            <w:r w:rsidR="00480688">
              <w:rPr>
                <w:rFonts w:ascii="Calibri" w:hAnsi="Calibri" w:cs="Calibri"/>
              </w:rPr>
              <w:t>2</w:t>
            </w:r>
            <w:r w:rsidR="00E659DD">
              <w:rPr>
                <w:rFonts w:ascii="Calibri" w:hAnsi="Calibri" w:cs="Calibri"/>
              </w:rPr>
              <w:t>79</w:t>
            </w:r>
          </w:p>
        </w:tc>
        <w:tc>
          <w:tcPr>
            <w:tcW w:w="1303" w:type="dxa"/>
            <w:shd w:val="clear" w:color="auto" w:fill="auto"/>
            <w:vAlign w:val="center"/>
          </w:tcPr>
          <w:p w14:paraId="7682DCFD" w14:textId="54B23BBE" w:rsidR="00D9634D" w:rsidRPr="00DF1BBB" w:rsidRDefault="00D9634D" w:rsidP="00265B71">
            <w:pPr>
              <w:spacing w:after="160" w:line="360" w:lineRule="auto"/>
              <w:jc w:val="center"/>
              <w:rPr>
                <w:rFonts w:ascii="Calibri" w:hAnsi="Calibri" w:cs="Calibri"/>
              </w:rPr>
            </w:pPr>
            <w:r w:rsidRPr="70C520A0">
              <w:rPr>
                <w:rFonts w:ascii="Calibri" w:hAnsi="Calibri" w:cs="Calibri"/>
              </w:rPr>
              <w:t>-</w:t>
            </w:r>
            <w:r w:rsidR="00480688">
              <w:rPr>
                <w:rFonts w:ascii="Calibri" w:hAnsi="Calibri" w:cs="Calibri"/>
              </w:rPr>
              <w:t>7</w:t>
            </w:r>
            <w:r w:rsidR="00480688" w:rsidRPr="70C520A0">
              <w:rPr>
                <w:rFonts w:ascii="Calibri" w:hAnsi="Calibri" w:cs="Calibri"/>
              </w:rPr>
              <w:t>2</w:t>
            </w:r>
            <w:r w:rsidRPr="70C520A0">
              <w:rPr>
                <w:rFonts w:ascii="Calibri" w:hAnsi="Calibri" w:cs="Calibri"/>
              </w:rPr>
              <w:t>.</w:t>
            </w:r>
            <w:r w:rsidR="00480688">
              <w:rPr>
                <w:rFonts w:ascii="Calibri" w:hAnsi="Calibri" w:cs="Calibri"/>
              </w:rPr>
              <w:t>49</w:t>
            </w:r>
            <w:r w:rsidR="00480688" w:rsidRPr="70C520A0">
              <w:rPr>
                <w:rFonts w:ascii="Calibri" w:hAnsi="Calibri" w:cs="Calibri"/>
              </w:rPr>
              <w:t xml:space="preserve"> </w:t>
            </w:r>
            <w:r w:rsidRPr="70C520A0">
              <w:rPr>
                <w:rFonts w:ascii="Calibri" w:hAnsi="Calibri" w:cs="Calibri"/>
              </w:rPr>
              <w:t xml:space="preserve">± </w:t>
            </w:r>
            <w:r w:rsidR="00853F33">
              <w:rPr>
                <w:rFonts w:ascii="Calibri" w:hAnsi="Calibri" w:cs="Calibri"/>
              </w:rPr>
              <w:t>0.805</w:t>
            </w:r>
          </w:p>
        </w:tc>
        <w:tc>
          <w:tcPr>
            <w:tcW w:w="1141" w:type="dxa"/>
            <w:shd w:val="clear" w:color="auto" w:fill="auto"/>
            <w:vAlign w:val="center"/>
          </w:tcPr>
          <w:p w14:paraId="1564D597" w14:textId="54AABA98" w:rsidR="00D9634D" w:rsidRPr="00DF1BBB" w:rsidRDefault="00480688" w:rsidP="00265B71">
            <w:pPr>
              <w:spacing w:after="160" w:line="360" w:lineRule="auto"/>
              <w:jc w:val="center"/>
              <w:rPr>
                <w:rFonts w:ascii="Calibri" w:hAnsi="Calibri" w:cs="Calibri"/>
              </w:rPr>
            </w:pPr>
            <w:r>
              <w:rPr>
                <w:rFonts w:ascii="Calibri" w:hAnsi="Calibri" w:cs="Calibri"/>
              </w:rPr>
              <w:t>417.9</w:t>
            </w:r>
          </w:p>
        </w:tc>
        <w:tc>
          <w:tcPr>
            <w:tcW w:w="834" w:type="dxa"/>
            <w:shd w:val="clear" w:color="auto" w:fill="auto"/>
            <w:vAlign w:val="center"/>
          </w:tcPr>
          <w:p w14:paraId="5862C91C" w14:textId="34C53981" w:rsidR="00D9634D" w:rsidRPr="00DF1BBB" w:rsidRDefault="00D9634D" w:rsidP="00265B71">
            <w:pPr>
              <w:spacing w:after="160" w:line="360" w:lineRule="auto"/>
              <w:jc w:val="center"/>
              <w:rPr>
                <w:rFonts w:ascii="Calibri" w:hAnsi="Calibri" w:cs="Calibri"/>
              </w:rPr>
            </w:pPr>
            <w:r w:rsidRPr="70C520A0">
              <w:rPr>
                <w:rFonts w:ascii="Calibri" w:hAnsi="Calibri" w:cs="Calibri"/>
              </w:rPr>
              <w:t>0.</w:t>
            </w:r>
            <w:r w:rsidR="00894D1B">
              <w:rPr>
                <w:rFonts w:ascii="Calibri" w:hAnsi="Calibri" w:cs="Calibri"/>
              </w:rPr>
              <w:t>27</w:t>
            </w:r>
            <w:r w:rsidR="00E659DD">
              <w:rPr>
                <w:rFonts w:ascii="Calibri" w:hAnsi="Calibri" w:cs="Calibri"/>
              </w:rPr>
              <w:t>2</w:t>
            </w:r>
          </w:p>
        </w:tc>
      </w:tr>
      <w:tr w:rsidR="00D9634D" w:rsidRPr="0051416D" w14:paraId="29AB2353" w14:textId="77777777" w:rsidTr="00265B71">
        <w:tc>
          <w:tcPr>
            <w:tcW w:w="1220" w:type="dxa"/>
            <w:tcBorders>
              <w:bottom w:val="single" w:sz="4" w:space="0" w:color="auto"/>
            </w:tcBorders>
            <w:vAlign w:val="center"/>
          </w:tcPr>
          <w:p w14:paraId="473CE0BF"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Blue-PS</w:t>
            </w:r>
          </w:p>
        </w:tc>
        <w:tc>
          <w:tcPr>
            <w:tcW w:w="997" w:type="dxa"/>
            <w:tcBorders>
              <w:bottom w:val="single" w:sz="4" w:space="0" w:color="auto"/>
              <w:right w:val="single" w:sz="4" w:space="0" w:color="auto"/>
            </w:tcBorders>
          </w:tcPr>
          <w:p w14:paraId="0586E3CB"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 xml:space="preserve">9.550 </w:t>
            </w:r>
          </w:p>
        </w:tc>
        <w:tc>
          <w:tcPr>
            <w:tcW w:w="1240" w:type="dxa"/>
            <w:tcBorders>
              <w:left w:val="single" w:sz="4" w:space="0" w:color="auto"/>
              <w:bottom w:val="single" w:sz="4" w:space="0" w:color="auto"/>
            </w:tcBorders>
            <w:vAlign w:val="center"/>
          </w:tcPr>
          <w:p w14:paraId="22DDA582"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-11.66 ± 12.28</w:t>
            </w:r>
          </w:p>
        </w:tc>
        <w:tc>
          <w:tcPr>
            <w:tcW w:w="1157" w:type="dxa"/>
            <w:tcBorders>
              <w:bottom w:val="single" w:sz="4" w:space="0" w:color="auto"/>
            </w:tcBorders>
            <w:shd w:val="clear" w:color="auto" w:fill="auto"/>
            <w:vAlign w:val="center"/>
          </w:tcPr>
          <w:p w14:paraId="2C233FFF"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14670.0</w:t>
            </w:r>
            <w:r w:rsidRPr="70C520A0">
              <w:rPr>
                <w:rFonts w:ascii="Calibri" w:hAnsi="Calibri" w:cs="Calibri"/>
                <w:vertAlign w:val="superscript"/>
              </w:rPr>
              <w:t>b</w:t>
            </w:r>
          </w:p>
        </w:tc>
        <w:tc>
          <w:tcPr>
            <w:tcW w:w="1180" w:type="dxa"/>
            <w:tcBorders>
              <w:bottom w:val="single" w:sz="4" w:space="0" w:color="auto"/>
            </w:tcBorders>
            <w:shd w:val="clear" w:color="auto" w:fill="auto"/>
            <w:vAlign w:val="center"/>
          </w:tcPr>
          <w:p w14:paraId="5F5AF652"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0.664</w:t>
            </w:r>
            <w:r w:rsidRPr="70C520A0">
              <w:rPr>
                <w:rFonts w:ascii="Calibri" w:hAnsi="Calibri" w:cs="Calibri"/>
                <w:vertAlign w:val="superscript"/>
              </w:rPr>
              <w:t xml:space="preserve"> b</w:t>
            </w:r>
          </w:p>
        </w:tc>
        <w:tc>
          <w:tcPr>
            <w:tcW w:w="1303" w:type="dxa"/>
            <w:tcBorders>
              <w:bottom w:val="single" w:sz="4" w:space="0" w:color="auto"/>
            </w:tcBorders>
            <w:vAlign w:val="center"/>
          </w:tcPr>
          <w:p w14:paraId="3FA89C14"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-13.34 ± 3.07</w:t>
            </w:r>
          </w:p>
        </w:tc>
        <w:tc>
          <w:tcPr>
            <w:tcW w:w="1141" w:type="dxa"/>
            <w:tcBorders>
              <w:bottom w:val="single" w:sz="4" w:space="0" w:color="auto"/>
            </w:tcBorders>
            <w:vAlign w:val="center"/>
          </w:tcPr>
          <w:p w14:paraId="42788182"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10200.0</w:t>
            </w:r>
            <w:r w:rsidRPr="70C520A0">
              <w:rPr>
                <w:rFonts w:ascii="Calibri" w:hAnsi="Calibri" w:cs="Calibri"/>
                <w:vertAlign w:val="superscript"/>
              </w:rPr>
              <w:t xml:space="preserve"> b</w:t>
            </w:r>
          </w:p>
        </w:tc>
        <w:tc>
          <w:tcPr>
            <w:tcW w:w="834" w:type="dxa"/>
            <w:tcBorders>
              <w:bottom w:val="single" w:sz="4" w:space="0" w:color="auto"/>
            </w:tcBorders>
            <w:vAlign w:val="center"/>
          </w:tcPr>
          <w:p w14:paraId="240D34B1" w14:textId="77777777" w:rsidR="00D9634D" w:rsidRPr="00DF1BBB" w:rsidRDefault="00D9634D" w:rsidP="00265B71">
            <w:pPr>
              <w:spacing w:after="160" w:line="360" w:lineRule="auto"/>
              <w:jc w:val="center"/>
              <w:rPr>
                <w:rFonts w:ascii="Calibri" w:hAnsi="Calibri" w:cs="Calibri"/>
              </w:rPr>
            </w:pPr>
            <w:r w:rsidRPr="70C520A0">
              <w:rPr>
                <w:rFonts w:ascii="Calibri" w:hAnsi="Calibri" w:cs="Calibri"/>
              </w:rPr>
              <w:t>0.487</w:t>
            </w:r>
            <w:r w:rsidRPr="70C520A0">
              <w:rPr>
                <w:rFonts w:ascii="Calibri" w:hAnsi="Calibri" w:cs="Calibri"/>
                <w:vertAlign w:val="superscript"/>
              </w:rPr>
              <w:t xml:space="preserve"> b</w:t>
            </w:r>
          </w:p>
        </w:tc>
      </w:tr>
    </w:tbl>
    <w:p w14:paraId="2576E366" w14:textId="77777777" w:rsidR="00D9634D" w:rsidRPr="00E21429" w:rsidRDefault="00D9634D" w:rsidP="00D9634D">
      <w:pPr>
        <w:spacing w:line="360" w:lineRule="auto"/>
        <w:jc w:val="both"/>
        <w:rPr>
          <w:color w:val="202124"/>
          <w:sz w:val="16"/>
          <w:szCs w:val="16"/>
          <w:shd w:val="clear" w:color="auto" w:fill="FFFFFF"/>
        </w:rPr>
      </w:pPr>
      <w:r w:rsidRPr="70C520A0">
        <w:rPr>
          <w:color w:val="202124"/>
          <w:sz w:val="16"/>
          <w:szCs w:val="16"/>
          <w:shd w:val="clear" w:color="auto" w:fill="FFFFFF"/>
          <w:vertAlign w:val="superscript"/>
        </w:rPr>
        <w:t>a</w:t>
      </w:r>
      <w:r w:rsidRPr="70C520A0">
        <w:rPr>
          <w:color w:val="202124"/>
          <w:sz w:val="16"/>
          <w:szCs w:val="16"/>
          <w:shd w:val="clear" w:color="auto" w:fill="FFFFFF"/>
        </w:rPr>
        <w:t xml:space="preserve"> particle sizes as provided by the commercial source, </w:t>
      </w:r>
      <w:r w:rsidRPr="70C520A0">
        <w:rPr>
          <w:color w:val="202124"/>
          <w:sz w:val="16"/>
          <w:szCs w:val="16"/>
          <w:shd w:val="clear" w:color="auto" w:fill="FFFFFF"/>
          <w:vertAlign w:val="superscript"/>
        </w:rPr>
        <w:t>b</w:t>
      </w:r>
      <w:r w:rsidRPr="70C520A0">
        <w:rPr>
          <w:color w:val="202124"/>
          <w:sz w:val="16"/>
          <w:szCs w:val="16"/>
          <w:shd w:val="clear" w:color="auto" w:fill="FFFFFF"/>
        </w:rPr>
        <w:t xml:space="preserve"> particle size and PDI not validated due to measurement limitation of the </w:t>
      </w:r>
      <w:proofErr w:type="spellStart"/>
      <w:r w:rsidRPr="70C520A0">
        <w:rPr>
          <w:color w:val="202124"/>
          <w:sz w:val="16"/>
          <w:szCs w:val="16"/>
          <w:shd w:val="clear" w:color="auto" w:fill="FFFFFF"/>
        </w:rPr>
        <w:t>zetasizer</w:t>
      </w:r>
      <w:proofErr w:type="spellEnd"/>
      <w:r w:rsidRPr="70C520A0">
        <w:rPr>
          <w:color w:val="202124"/>
          <w:sz w:val="16"/>
          <w:szCs w:val="16"/>
          <w:shd w:val="clear" w:color="auto" w:fill="FFFFFF"/>
        </w:rPr>
        <w:t xml:space="preserve"> Pro.</w:t>
      </w:r>
    </w:p>
    <w:p w14:paraId="67318BB6" w14:textId="77777777" w:rsidR="00D9634D" w:rsidRDefault="00D9634D" w:rsidP="00E03463">
      <w:pPr>
        <w:spacing w:line="360" w:lineRule="auto"/>
        <w:rPr>
          <w:rFonts w:ascii="Calibri" w:eastAsia="Times New Roman" w:hAnsi="Calibri" w:cs="Calibri"/>
          <w:color w:val="000000"/>
          <w:kern w:val="0"/>
          <w:sz w:val="22"/>
          <w:szCs w:val="22"/>
          <w14:ligatures w14:val="none"/>
        </w:rPr>
      </w:pPr>
    </w:p>
    <w:p w14:paraId="5FEE6E4B" w14:textId="77777777" w:rsidR="00AD7A2A" w:rsidRDefault="00AD7A2A">
      <w:pPr>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br w:type="page"/>
      </w:r>
    </w:p>
    <w:p w14:paraId="009E866F" w14:textId="0650AC4B" w:rsidR="00C86120" w:rsidRDefault="003D71DC" w:rsidP="00E03463">
      <w:pPr>
        <w:spacing w:after="0" w:line="360" w:lineRule="auto"/>
        <w:rPr>
          <w:rFonts w:ascii="Calibri" w:eastAsia="Times New Roman" w:hAnsi="Calibri" w:cs="Calibri"/>
          <w:b/>
          <w:bCs/>
          <w:color w:val="000000"/>
          <w:kern w:val="0"/>
          <w:sz w:val="22"/>
          <w:szCs w:val="22"/>
          <w14:ligatures w14:val="none"/>
        </w:rPr>
      </w:pPr>
      <w:r>
        <w:rPr>
          <w:rFonts w:ascii="Calibri" w:eastAsia="Times New Roman" w:hAnsi="Calibri" w:cs="Calibri"/>
          <w:b/>
          <w:bCs/>
          <w:noProof/>
          <w:color w:val="000000"/>
          <w:kern w:val="0"/>
          <w:sz w:val="22"/>
          <w:szCs w:val="22"/>
          <w14:ligatures w14:val="none"/>
        </w:rPr>
        <w:lastRenderedPageBreak/>
        <w:drawing>
          <wp:inline distT="0" distB="0" distL="0" distR="0" wp14:anchorId="11631925" wp14:editId="077465A3">
            <wp:extent cx="5725160" cy="3816350"/>
            <wp:effectExtent l="0" t="0" r="8890" b="0"/>
            <wp:docPr id="195879260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5160" cy="3816350"/>
                    </a:xfrm>
                    <a:prstGeom prst="rect">
                      <a:avLst/>
                    </a:prstGeom>
                    <a:noFill/>
                    <a:ln>
                      <a:noFill/>
                    </a:ln>
                  </pic:spPr>
                </pic:pic>
              </a:graphicData>
            </a:graphic>
          </wp:inline>
        </w:drawing>
      </w:r>
    </w:p>
    <w:p w14:paraId="1549E9A8" w14:textId="39079012" w:rsidR="00C86120" w:rsidRPr="00C86120" w:rsidRDefault="00C86120" w:rsidP="00AD7A2A">
      <w:pPr>
        <w:spacing w:after="0" w:line="480" w:lineRule="auto"/>
        <w:jc w:val="both"/>
        <w:rPr>
          <w:rFonts w:ascii="Calibri" w:eastAsia="Times New Roman" w:hAnsi="Calibri" w:cs="Calibri"/>
          <w:color w:val="000000"/>
          <w:kern w:val="0"/>
          <w:sz w:val="22"/>
          <w:szCs w:val="22"/>
          <w14:ligatures w14:val="none"/>
        </w:rPr>
      </w:pPr>
      <w:r w:rsidRPr="5AD03EC7">
        <w:rPr>
          <w:rFonts w:ascii="Calibri" w:eastAsia="Times New Roman" w:hAnsi="Calibri" w:cs="Calibri"/>
          <w:b/>
          <w:bCs/>
          <w:color w:val="000000"/>
          <w:kern w:val="0"/>
          <w:sz w:val="22"/>
          <w:szCs w:val="22"/>
          <w:lang w:val="en-GB"/>
          <w14:ligatures w14:val="none"/>
        </w:rPr>
        <w:t xml:space="preserve">Supplementary Figure 1: </w:t>
      </w:r>
      <w:r w:rsidRPr="5AD03EC7">
        <w:rPr>
          <w:rFonts w:ascii="Calibri" w:eastAsia="Times New Roman" w:hAnsi="Calibri" w:cs="Calibri"/>
          <w:b/>
          <w:bCs/>
          <w:color w:val="000000"/>
          <w:kern w:val="0"/>
          <w:sz w:val="22"/>
          <w:szCs w:val="22"/>
          <w14:ligatures w14:val="none"/>
        </w:rPr>
        <w:t xml:space="preserve">Differences and changes in microbiome composition between groups and over time. </w:t>
      </w:r>
      <w:r w:rsidRPr="5AD03EC7">
        <w:rPr>
          <w:rFonts w:ascii="Calibri" w:eastAsia="Times New Roman" w:hAnsi="Calibri" w:cs="Calibri"/>
          <w:color w:val="000000"/>
          <w:kern w:val="0"/>
          <w:sz w:val="22"/>
          <w:szCs w:val="22"/>
          <w14:ligatures w14:val="none"/>
        </w:rPr>
        <w:t>(A) Network analysis based on Bray-Curtis dissimilarities; (B) Redundancy analysis (RDA) exploring the interaction between DSS-treatment, micro-nano-particles (MNP) ingestion and time while correcting for non-independence; (C) Principal coordinate analysis visualizing distances between treatment groups at different timepoints; (D) distance-based RDA on changes in the microbiome over time, exploring the effect of DSS-treatment and MNP ingestion.</w:t>
      </w:r>
      <w:r w:rsidRPr="5AD03EC7">
        <w:rPr>
          <w:rFonts w:ascii="Calibri" w:eastAsia="Times New Roman" w:hAnsi="Calibri" w:cs="Calibri"/>
          <w:color w:val="000000"/>
          <w:kern w:val="0"/>
          <w:sz w:val="22"/>
          <w:szCs w:val="22"/>
          <w:lang w:val="en-GB"/>
          <w14:ligatures w14:val="none"/>
        </w:rPr>
        <w:t xml:space="preserve"> </w:t>
      </w:r>
    </w:p>
    <w:p w14:paraId="6EA58C52" w14:textId="77777777" w:rsidR="000E6DCE" w:rsidRDefault="000E6DCE" w:rsidP="00AD7A2A">
      <w:pPr>
        <w:spacing w:after="0" w:line="480" w:lineRule="auto"/>
        <w:rPr>
          <w:rFonts w:ascii="Calibri" w:eastAsia="Times New Roman" w:hAnsi="Calibri" w:cs="Calibri"/>
          <w:b/>
          <w:bCs/>
          <w:color w:val="000000"/>
          <w:kern w:val="0"/>
          <w:sz w:val="22"/>
          <w:szCs w:val="22"/>
          <w14:ligatures w14:val="none"/>
        </w:rPr>
      </w:pPr>
    </w:p>
    <w:p w14:paraId="7E63CDF9" w14:textId="59D22A17" w:rsidR="00E874EC" w:rsidRDefault="00E874EC" w:rsidP="00AD7A2A">
      <w:pPr>
        <w:spacing w:after="0" w:line="48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Supplementary Results for Suppl</w:t>
      </w:r>
      <w:r w:rsidR="000D3536">
        <w:rPr>
          <w:rFonts w:ascii="Calibri" w:eastAsia="Times New Roman" w:hAnsi="Calibri" w:cs="Calibri"/>
          <w:b/>
          <w:bCs/>
          <w:color w:val="000000"/>
          <w:kern w:val="0"/>
          <w:sz w:val="22"/>
          <w:szCs w:val="22"/>
          <w14:ligatures w14:val="none"/>
        </w:rPr>
        <w:t>e</w:t>
      </w:r>
      <w:r>
        <w:rPr>
          <w:rFonts w:ascii="Calibri" w:eastAsia="Times New Roman" w:hAnsi="Calibri" w:cs="Calibri"/>
          <w:b/>
          <w:bCs/>
          <w:color w:val="000000"/>
          <w:kern w:val="0"/>
          <w:sz w:val="22"/>
          <w:szCs w:val="22"/>
          <w14:ligatures w14:val="none"/>
        </w:rPr>
        <w:t xml:space="preserve">mentary Fig </w:t>
      </w:r>
      <w:r w:rsidR="00C86120">
        <w:rPr>
          <w:rFonts w:ascii="Calibri" w:eastAsia="Times New Roman" w:hAnsi="Calibri" w:cs="Calibri"/>
          <w:b/>
          <w:bCs/>
          <w:color w:val="000000"/>
          <w:kern w:val="0"/>
          <w:sz w:val="22"/>
          <w:szCs w:val="22"/>
          <w14:ligatures w14:val="none"/>
        </w:rPr>
        <w:t>1</w:t>
      </w:r>
      <w:r>
        <w:rPr>
          <w:rFonts w:ascii="Calibri" w:eastAsia="Times New Roman" w:hAnsi="Calibri" w:cs="Calibri"/>
          <w:b/>
          <w:bCs/>
          <w:color w:val="000000"/>
          <w:kern w:val="0"/>
          <w:sz w:val="22"/>
          <w:szCs w:val="22"/>
          <w14:ligatures w14:val="none"/>
        </w:rPr>
        <w:t>:</w:t>
      </w:r>
    </w:p>
    <w:p w14:paraId="732FA9B8" w14:textId="772AB174" w:rsidR="00237DE7" w:rsidRPr="00237DE7" w:rsidRDefault="00237DE7" w:rsidP="00AD7A2A">
      <w:pPr>
        <w:spacing w:line="480" w:lineRule="auto"/>
        <w:jc w:val="both"/>
        <w:rPr>
          <w:rFonts w:ascii="Calibri" w:eastAsia="Times New Roman" w:hAnsi="Calibri" w:cs="Calibri"/>
          <w:color w:val="000000"/>
          <w:kern w:val="0"/>
          <w:sz w:val="22"/>
          <w:szCs w:val="22"/>
          <w14:ligatures w14:val="none"/>
        </w:rPr>
      </w:pPr>
      <w:r w:rsidRPr="00237DE7">
        <w:rPr>
          <w:rFonts w:ascii="Calibri" w:eastAsia="Times New Roman" w:hAnsi="Calibri" w:cs="Calibri"/>
          <w:color w:val="000000"/>
          <w:kern w:val="0"/>
          <w:sz w:val="22"/>
          <w:szCs w:val="22"/>
          <w14:ligatures w14:val="none"/>
        </w:rPr>
        <w:t xml:space="preserve">An exploratory network analysis showed that the microbiome of DSS-treated mice with and without ingestion of MNPs differ from the microbiome compositions before treatment and microbiomes of mice not treated with DSS (see Supplementary Figure </w:t>
      </w:r>
      <w:r w:rsidR="00C86120">
        <w:rPr>
          <w:rFonts w:ascii="Calibri" w:eastAsia="Times New Roman" w:hAnsi="Calibri" w:cs="Calibri"/>
          <w:color w:val="000000"/>
          <w:kern w:val="0"/>
          <w:sz w:val="22"/>
          <w:szCs w:val="22"/>
          <w14:ligatures w14:val="none"/>
        </w:rPr>
        <w:t>1</w:t>
      </w:r>
      <w:r w:rsidRPr="00237DE7">
        <w:rPr>
          <w:rFonts w:ascii="Calibri" w:eastAsia="Times New Roman" w:hAnsi="Calibri" w:cs="Calibri"/>
          <w:color w:val="000000"/>
          <w:kern w:val="0"/>
          <w:sz w:val="22"/>
          <w:szCs w:val="22"/>
          <w14:ligatures w14:val="none"/>
        </w:rPr>
        <w:t xml:space="preserve">A). Redundancy analysis confirmed that DSS-treatment but not the ingestion of MNPs were significantly associated with changes in the microbiome over time (DSS: p=0.001; MNPs: p=0.268), as shown in Supplementary Figure </w:t>
      </w:r>
      <w:r w:rsidR="00C86120">
        <w:rPr>
          <w:rFonts w:ascii="Calibri" w:eastAsia="Times New Roman" w:hAnsi="Calibri" w:cs="Calibri"/>
          <w:color w:val="000000"/>
          <w:kern w:val="0"/>
          <w:sz w:val="22"/>
          <w:szCs w:val="22"/>
          <w14:ligatures w14:val="none"/>
        </w:rPr>
        <w:t>1</w:t>
      </w:r>
      <w:r w:rsidRPr="00237DE7">
        <w:rPr>
          <w:rFonts w:ascii="Calibri" w:eastAsia="Times New Roman" w:hAnsi="Calibri" w:cs="Calibri"/>
          <w:color w:val="000000"/>
          <w:kern w:val="0"/>
          <w:sz w:val="22"/>
          <w:szCs w:val="22"/>
          <w14:ligatures w14:val="none"/>
        </w:rPr>
        <w:t xml:space="preserve">B. Moreover, </w:t>
      </w:r>
      <w:proofErr w:type="spellStart"/>
      <w:r w:rsidRPr="00237DE7">
        <w:rPr>
          <w:rFonts w:ascii="Calibri" w:eastAsia="Times New Roman" w:hAnsi="Calibri" w:cs="Calibri"/>
          <w:color w:val="000000"/>
          <w:kern w:val="0"/>
          <w:sz w:val="22"/>
          <w:szCs w:val="22"/>
          <w14:ligatures w14:val="none"/>
        </w:rPr>
        <w:t>PCoA</w:t>
      </w:r>
      <w:proofErr w:type="spellEnd"/>
      <w:r w:rsidRPr="00237DE7">
        <w:rPr>
          <w:rFonts w:ascii="Calibri" w:eastAsia="Times New Roman" w:hAnsi="Calibri" w:cs="Calibri"/>
          <w:color w:val="000000"/>
          <w:kern w:val="0"/>
          <w:sz w:val="22"/>
          <w:szCs w:val="22"/>
          <w14:ligatures w14:val="none"/>
        </w:rPr>
        <w:t xml:space="preserve"> showed that 45.1% of variance in the microbiome composition can be explained by the first principal coordinate which most prominently separates DSS-mice after treatment from the remaining groups; </w:t>
      </w:r>
      <w:r w:rsidRPr="00237DE7">
        <w:rPr>
          <w:rFonts w:ascii="Calibri" w:eastAsia="Times New Roman" w:hAnsi="Calibri" w:cs="Calibri"/>
          <w:color w:val="000000"/>
          <w:kern w:val="0"/>
          <w:sz w:val="22"/>
          <w:szCs w:val="22"/>
          <w14:ligatures w14:val="none"/>
        </w:rPr>
        <w:lastRenderedPageBreak/>
        <w:t xml:space="preserve">however adonis could not confirm a statistically significant change in microbiome compositions over time (see Supplementary Figure </w:t>
      </w:r>
      <w:r w:rsidR="00C86120">
        <w:rPr>
          <w:rFonts w:ascii="Calibri" w:eastAsia="Times New Roman" w:hAnsi="Calibri" w:cs="Calibri"/>
          <w:color w:val="000000"/>
          <w:kern w:val="0"/>
          <w:sz w:val="22"/>
          <w:szCs w:val="22"/>
          <w14:ligatures w14:val="none"/>
        </w:rPr>
        <w:t>1</w:t>
      </w:r>
      <w:r w:rsidRPr="00237DE7">
        <w:rPr>
          <w:rFonts w:ascii="Calibri" w:eastAsia="Times New Roman" w:hAnsi="Calibri" w:cs="Calibri"/>
          <w:color w:val="000000"/>
          <w:kern w:val="0"/>
          <w:sz w:val="22"/>
          <w:szCs w:val="22"/>
          <w14:ligatures w14:val="none"/>
        </w:rPr>
        <w:t xml:space="preserve">C). Since the intra-individual variance was relatively high, as seen in the second principal coordinate in Figure 3C, intra-individual change of each genus over time were calculated. Adonis on the Bray-Curtis distance matrix could now detect the significant change in microbiome composition associated with DSS treatment (p=0.001), but no significant effect on the microbiome composition due to MNP ingestion (p=0.300). Similar results were obtained by RDA (see Supplementary Figure </w:t>
      </w:r>
      <w:r w:rsidR="00C86120">
        <w:rPr>
          <w:rFonts w:ascii="Calibri" w:eastAsia="Times New Roman" w:hAnsi="Calibri" w:cs="Calibri"/>
          <w:color w:val="000000"/>
          <w:kern w:val="0"/>
          <w:sz w:val="22"/>
          <w:szCs w:val="22"/>
          <w14:ligatures w14:val="none"/>
        </w:rPr>
        <w:t>1</w:t>
      </w:r>
      <w:r w:rsidRPr="00237DE7">
        <w:rPr>
          <w:rFonts w:ascii="Calibri" w:eastAsia="Times New Roman" w:hAnsi="Calibri" w:cs="Calibri"/>
          <w:color w:val="000000"/>
          <w:kern w:val="0"/>
          <w:sz w:val="22"/>
          <w:szCs w:val="22"/>
          <w14:ligatures w14:val="none"/>
        </w:rPr>
        <w:t>D).</w:t>
      </w:r>
    </w:p>
    <w:p w14:paraId="50725EAF" w14:textId="77777777" w:rsidR="00CD6F6E" w:rsidRDefault="00CD6F6E" w:rsidP="00E03463">
      <w:pPr>
        <w:spacing w:line="360" w:lineRule="auto"/>
        <w:rPr>
          <w:rFonts w:ascii="Calibri" w:eastAsia="Times New Roman" w:hAnsi="Calibri" w:cs="Calibri"/>
          <w:b/>
          <w:bCs/>
          <w:color w:val="000000" w:themeColor="text1"/>
          <w:sz w:val="22"/>
          <w:szCs w:val="22"/>
        </w:rPr>
      </w:pPr>
    </w:p>
    <w:p w14:paraId="1D93B622" w14:textId="66245F84" w:rsidR="00CD6F6E" w:rsidRDefault="00CD6F6E">
      <w:pPr>
        <w:rPr>
          <w:rFonts w:ascii="Calibri" w:eastAsia="Times New Roman" w:hAnsi="Calibri" w:cs="Calibri"/>
          <w:b/>
          <w:bCs/>
          <w:color w:val="000000"/>
          <w:kern w:val="0"/>
          <w:sz w:val="22"/>
          <w:szCs w:val="22"/>
          <w14:ligatures w14:val="none"/>
        </w:rPr>
      </w:pPr>
    </w:p>
    <w:p w14:paraId="704CC34E" w14:textId="77777777" w:rsidR="00AD7A2A" w:rsidRDefault="00AD7A2A">
      <w:pPr>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br w:type="page"/>
      </w:r>
    </w:p>
    <w:p w14:paraId="7C0D40D8" w14:textId="5EA16280" w:rsidR="00CD6F6E" w:rsidRDefault="00CD6F6E" w:rsidP="00AD7A2A">
      <w:pPr>
        <w:rPr>
          <w:rFonts w:ascii="Calibri" w:hAnsi="Calibri" w:cs="Calibri"/>
          <w:b/>
          <w:bCs/>
          <w:color w:val="202124"/>
          <w:sz w:val="22"/>
          <w:szCs w:val="22"/>
          <w:shd w:val="clear" w:color="auto" w:fill="FFFFFF"/>
        </w:rPr>
      </w:pPr>
      <w:r>
        <w:rPr>
          <w:rFonts w:ascii="Calibri" w:eastAsia="Times New Roman" w:hAnsi="Calibri" w:cs="Calibri"/>
          <w:b/>
          <w:bCs/>
          <w:color w:val="000000"/>
          <w:kern w:val="0"/>
          <w:sz w:val="22"/>
          <w:szCs w:val="22"/>
          <w14:ligatures w14:val="none"/>
        </w:rPr>
        <w:lastRenderedPageBreak/>
        <w:t xml:space="preserve">SI </w:t>
      </w:r>
      <w:r w:rsidRPr="0074059E">
        <w:rPr>
          <w:rFonts w:ascii="Calibri" w:eastAsia="Times New Roman" w:hAnsi="Calibri" w:cs="Calibri"/>
          <w:b/>
          <w:bCs/>
          <w:color w:val="000000"/>
          <w:kern w:val="0"/>
          <w:sz w:val="22"/>
          <w:szCs w:val="22"/>
          <w14:ligatures w14:val="none"/>
        </w:rPr>
        <w:t xml:space="preserve">Table </w:t>
      </w:r>
      <w:r>
        <w:rPr>
          <w:rFonts w:ascii="Calibri" w:eastAsia="Times New Roman" w:hAnsi="Calibri" w:cs="Calibri"/>
          <w:b/>
          <w:bCs/>
          <w:color w:val="000000"/>
          <w:kern w:val="0"/>
          <w:sz w:val="22"/>
          <w:szCs w:val="22"/>
          <w14:ligatures w14:val="none"/>
        </w:rPr>
        <w:t>2</w:t>
      </w:r>
      <w:r w:rsidRPr="0074059E">
        <w:rPr>
          <w:rFonts w:ascii="Calibri" w:eastAsia="Times New Roman" w:hAnsi="Calibri" w:cs="Calibri"/>
          <w:b/>
          <w:bCs/>
          <w:color w:val="000000"/>
          <w:kern w:val="0"/>
          <w:sz w:val="22"/>
          <w:szCs w:val="22"/>
          <w14:ligatures w14:val="none"/>
        </w:rPr>
        <w:t xml:space="preserve">: </w:t>
      </w:r>
      <w:r w:rsidRPr="00CD6F6E">
        <w:rPr>
          <w:rFonts w:ascii="Calibri" w:hAnsi="Calibri" w:cs="Calibri"/>
          <w:b/>
          <w:bCs/>
          <w:color w:val="202124"/>
          <w:sz w:val="22"/>
          <w:szCs w:val="22"/>
          <w:shd w:val="clear" w:color="auto" w:fill="FFFFFF"/>
        </w:rPr>
        <w:t>Bacterial taxa detected only in a particular mouse group(s).</w:t>
      </w:r>
    </w:p>
    <w:p w14:paraId="7F5FB44A" w14:textId="3713C74F" w:rsidR="00D962A3" w:rsidRDefault="00CD6F6E" w:rsidP="00F4383A">
      <w:pPr>
        <w:spacing w:after="0" w:line="360" w:lineRule="auto"/>
        <w:rPr>
          <w:rFonts w:ascii="Calibri" w:eastAsia="Times New Roman" w:hAnsi="Calibri" w:cs="Calibri"/>
          <w:b/>
          <w:bCs/>
          <w:color w:val="000000" w:themeColor="text1"/>
          <w:sz w:val="22"/>
          <w:szCs w:val="22"/>
        </w:rPr>
      </w:pPr>
      <w:r>
        <w:rPr>
          <w:rFonts w:ascii="Calibri" w:eastAsia="Times New Roman" w:hAnsi="Calibri" w:cs="Calibri"/>
          <w:b/>
          <w:bCs/>
          <w:noProof/>
          <w:color w:val="000000" w:themeColor="text1"/>
          <w:sz w:val="22"/>
          <w:szCs w:val="22"/>
        </w:rPr>
        <w:drawing>
          <wp:inline distT="0" distB="0" distL="0" distR="0" wp14:anchorId="70570805" wp14:editId="358439CE">
            <wp:extent cx="5248910" cy="8455660"/>
            <wp:effectExtent l="0" t="0" r="8890" b="0"/>
            <wp:docPr id="1132753257"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48910" cy="8455660"/>
                    </a:xfrm>
                    <a:prstGeom prst="rect">
                      <a:avLst/>
                    </a:prstGeom>
                    <a:noFill/>
                  </pic:spPr>
                </pic:pic>
              </a:graphicData>
            </a:graphic>
          </wp:inline>
        </w:drawing>
      </w:r>
    </w:p>
    <w:sectPr w:rsidR="00D962A3" w:rsidSect="00872883">
      <w:headerReference w:type="default" r:id="rId13"/>
      <w:footerReference w:type="default" r:id="rId14"/>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94F281" w14:textId="77777777" w:rsidR="0012379C" w:rsidRDefault="0012379C" w:rsidP="001A6905">
      <w:pPr>
        <w:spacing w:after="0" w:line="240" w:lineRule="auto"/>
      </w:pPr>
      <w:r>
        <w:separator/>
      </w:r>
    </w:p>
  </w:endnote>
  <w:endnote w:type="continuationSeparator" w:id="0">
    <w:p w14:paraId="40B360CF" w14:textId="77777777" w:rsidR="0012379C" w:rsidRDefault="0012379C" w:rsidP="001A6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64968156"/>
      <w:docPartObj>
        <w:docPartGallery w:val="Page Numbers (Bottom of Page)"/>
        <w:docPartUnique/>
      </w:docPartObj>
    </w:sdtPr>
    <w:sdtEndPr>
      <w:rPr>
        <w:noProof/>
      </w:rPr>
    </w:sdtEndPr>
    <w:sdtContent>
      <w:p w14:paraId="4D7ABE4E" w14:textId="1171D706" w:rsidR="00265B71" w:rsidRDefault="00265B71">
        <w:pPr>
          <w:pStyle w:val="Fuzeile"/>
          <w:jc w:val="center"/>
        </w:pPr>
        <w:r>
          <w:fldChar w:fldCharType="begin"/>
        </w:r>
        <w:r>
          <w:instrText xml:space="preserve"> PAGE   \* MERGEFORMAT </w:instrText>
        </w:r>
        <w:r>
          <w:fldChar w:fldCharType="separate"/>
        </w:r>
        <w:r w:rsidR="00EF7E17">
          <w:rPr>
            <w:noProof/>
          </w:rPr>
          <w:t>21</w:t>
        </w:r>
        <w:r>
          <w:rPr>
            <w:noProof/>
          </w:rPr>
          <w:fldChar w:fldCharType="end"/>
        </w:r>
      </w:p>
    </w:sdtContent>
  </w:sdt>
  <w:p w14:paraId="24933976" w14:textId="77777777" w:rsidR="00265B71" w:rsidRDefault="00265B7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06BDCC" w14:textId="77777777" w:rsidR="0012379C" w:rsidRDefault="0012379C" w:rsidP="001A6905">
      <w:pPr>
        <w:spacing w:after="0" w:line="240" w:lineRule="auto"/>
      </w:pPr>
      <w:r>
        <w:separator/>
      </w:r>
    </w:p>
  </w:footnote>
  <w:footnote w:type="continuationSeparator" w:id="0">
    <w:p w14:paraId="63D00375" w14:textId="77777777" w:rsidR="0012379C" w:rsidRDefault="0012379C" w:rsidP="001A69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0BBA5F" w14:textId="77777777" w:rsidR="00AD7A2A" w:rsidRDefault="00AD7A2A" w:rsidP="00AD7A2A">
    <w:pPr>
      <w:pStyle w:val="Kopfzeile"/>
      <w:pBdr>
        <w:bottom w:val="single" w:sz="6" w:space="1" w:color="auto"/>
      </w:pBdr>
      <w:rPr>
        <w:i/>
        <w:iCs/>
      </w:rPr>
    </w:pPr>
    <w:r>
      <w:t>Supplementary Information</w:t>
    </w:r>
    <w:r>
      <w:tab/>
    </w:r>
    <w:r>
      <w:tab/>
      <w:t xml:space="preserve">Kopatz V. </w:t>
    </w:r>
    <w:r w:rsidRPr="00E93A8C">
      <w:rPr>
        <w:i/>
        <w:iCs/>
      </w:rPr>
      <w:t>et al.</w:t>
    </w:r>
  </w:p>
  <w:p w14:paraId="2ECE51A9" w14:textId="77777777" w:rsidR="00AD7A2A" w:rsidRPr="00AD7A2A" w:rsidRDefault="00AD7A2A" w:rsidP="00AD7A2A">
    <w:pPr>
      <w:pStyle w:val="Kopfzeile"/>
    </w:pPr>
  </w:p>
</w:hdr>
</file>

<file path=word/intelligence2.xml><?xml version="1.0" encoding="utf-8"?>
<int2:intelligence xmlns:int2="http://schemas.microsoft.com/office/intelligence/2020/intelligence" xmlns:oel="http://schemas.microsoft.com/office/2019/extlst">
  <int2:observations>
    <int2:textHash int2:hashCode="J1gi67dzUOAGDm" int2:id="VUSXRJUN">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4C5C5E"/>
    <w:multiLevelType w:val="hybridMultilevel"/>
    <w:tmpl w:val="7AAC818A"/>
    <w:lvl w:ilvl="0" w:tplc="FFFFFFFF">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3257391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it-IT" w:vendorID="64" w:dllVersion="6" w:nlCheck="1" w:checkStyle="0"/>
  <w:activeWritingStyle w:appName="MSWord" w:lang="en-US" w:vendorID="64" w:dllVersion="6" w:nlCheck="1" w:checkStyle="1"/>
  <w:activeWritingStyle w:appName="MSWord" w:lang="fr-FR" w:vendorID="64" w:dllVersion="6" w:nlCheck="1" w:checkStyle="1"/>
  <w:activeWritingStyle w:appName="MSWord" w:lang="en-GB" w:vendorID="64" w:dllVersion="6" w:nlCheck="1" w:checkStyle="1"/>
  <w:activeWritingStyle w:appName="MSWord" w:lang="de-AT" w:vendorID="64" w:dllVersion="6" w:nlCheck="1" w:checkStyle="1"/>
  <w:activeWritingStyle w:appName="MSWord" w:lang="en-US" w:vendorID="64" w:dllVersion="0" w:nlCheck="1" w:checkStyle="0"/>
  <w:activeWritingStyle w:appName="MSWord" w:lang="it-IT" w:vendorID="64" w:dllVersion="0" w:nlCheck="1" w:checkStyle="0"/>
  <w:activeWritingStyle w:appName="MSWord" w:lang="de-DE" w:vendorID="64" w:dllVersion="0" w:nlCheck="1" w:checkStyle="0"/>
  <w:activeWritingStyle w:appName="MSWord" w:lang="fr-FR" w:vendorID="64" w:dllVersion="0" w:nlCheck="1" w:checkStyle="0"/>
  <w:activeWritingStyle w:appName="MSWord" w:lang="en-GB" w:vendorID="64" w:dllVersion="0" w:nlCheck="1" w:checkStyle="0"/>
  <w:activeWritingStyle w:appName="MSWord" w:lang="de-AT" w:vendorID="64" w:dllVersion="0" w:nlCheck="1" w:checkStyle="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6AD"/>
    <w:rsid w:val="0000299F"/>
    <w:rsid w:val="00002ECA"/>
    <w:rsid w:val="00003362"/>
    <w:rsid w:val="000109F1"/>
    <w:rsid w:val="000121D7"/>
    <w:rsid w:val="00015BFE"/>
    <w:rsid w:val="000164FF"/>
    <w:rsid w:val="000214F9"/>
    <w:rsid w:val="00022022"/>
    <w:rsid w:val="0002246E"/>
    <w:rsid w:val="0002331F"/>
    <w:rsid w:val="0002698A"/>
    <w:rsid w:val="00031C60"/>
    <w:rsid w:val="00033777"/>
    <w:rsid w:val="00033ADF"/>
    <w:rsid w:val="00035756"/>
    <w:rsid w:val="00047A56"/>
    <w:rsid w:val="00050879"/>
    <w:rsid w:val="000526FF"/>
    <w:rsid w:val="00052D00"/>
    <w:rsid w:val="00061DCE"/>
    <w:rsid w:val="00063378"/>
    <w:rsid w:val="00072EAD"/>
    <w:rsid w:val="00076F33"/>
    <w:rsid w:val="00090F35"/>
    <w:rsid w:val="00093BA0"/>
    <w:rsid w:val="00093CDD"/>
    <w:rsid w:val="000A228E"/>
    <w:rsid w:val="000B44DD"/>
    <w:rsid w:val="000B6ED0"/>
    <w:rsid w:val="000C41C3"/>
    <w:rsid w:val="000C4BC2"/>
    <w:rsid w:val="000C743D"/>
    <w:rsid w:val="000D0CCF"/>
    <w:rsid w:val="000D3536"/>
    <w:rsid w:val="000D4259"/>
    <w:rsid w:val="000D4C77"/>
    <w:rsid w:val="000E0644"/>
    <w:rsid w:val="000E318C"/>
    <w:rsid w:val="000E44F2"/>
    <w:rsid w:val="000E4ED0"/>
    <w:rsid w:val="000E538A"/>
    <w:rsid w:val="000E6DCE"/>
    <w:rsid w:val="000F4C34"/>
    <w:rsid w:val="000F5F7E"/>
    <w:rsid w:val="000F7181"/>
    <w:rsid w:val="001015E6"/>
    <w:rsid w:val="00113638"/>
    <w:rsid w:val="00122C44"/>
    <w:rsid w:val="0012379C"/>
    <w:rsid w:val="00124375"/>
    <w:rsid w:val="00126C08"/>
    <w:rsid w:val="00131845"/>
    <w:rsid w:val="00133898"/>
    <w:rsid w:val="001365A8"/>
    <w:rsid w:val="0013773A"/>
    <w:rsid w:val="00143417"/>
    <w:rsid w:val="001440D8"/>
    <w:rsid w:val="001469A4"/>
    <w:rsid w:val="00146B51"/>
    <w:rsid w:val="00146F1E"/>
    <w:rsid w:val="00150715"/>
    <w:rsid w:val="00151AFC"/>
    <w:rsid w:val="00162251"/>
    <w:rsid w:val="00167198"/>
    <w:rsid w:val="00177034"/>
    <w:rsid w:val="0017747E"/>
    <w:rsid w:val="0018147D"/>
    <w:rsid w:val="00182ECB"/>
    <w:rsid w:val="0019711B"/>
    <w:rsid w:val="001A2618"/>
    <w:rsid w:val="001A30EA"/>
    <w:rsid w:val="001A5B6A"/>
    <w:rsid w:val="001A604A"/>
    <w:rsid w:val="001A6905"/>
    <w:rsid w:val="001A6C2E"/>
    <w:rsid w:val="001B23F0"/>
    <w:rsid w:val="001B2D28"/>
    <w:rsid w:val="001B2E95"/>
    <w:rsid w:val="001B3DE3"/>
    <w:rsid w:val="001B3FE1"/>
    <w:rsid w:val="001B487B"/>
    <w:rsid w:val="001B65B5"/>
    <w:rsid w:val="001D0B8A"/>
    <w:rsid w:val="001D0D6B"/>
    <w:rsid w:val="001D65B0"/>
    <w:rsid w:val="001D7499"/>
    <w:rsid w:val="001E6CCC"/>
    <w:rsid w:val="001F5560"/>
    <w:rsid w:val="001F6991"/>
    <w:rsid w:val="00203FF4"/>
    <w:rsid w:val="00207A7F"/>
    <w:rsid w:val="00210DCF"/>
    <w:rsid w:val="00211A2E"/>
    <w:rsid w:val="00212EB9"/>
    <w:rsid w:val="00213D76"/>
    <w:rsid w:val="00213E97"/>
    <w:rsid w:val="00220318"/>
    <w:rsid w:val="00227238"/>
    <w:rsid w:val="002274E0"/>
    <w:rsid w:val="00234735"/>
    <w:rsid w:val="00237DE7"/>
    <w:rsid w:val="002455AA"/>
    <w:rsid w:val="0025636E"/>
    <w:rsid w:val="00264562"/>
    <w:rsid w:val="00264D77"/>
    <w:rsid w:val="00265B71"/>
    <w:rsid w:val="00267BE9"/>
    <w:rsid w:val="00277C76"/>
    <w:rsid w:val="0028020D"/>
    <w:rsid w:val="00280B7B"/>
    <w:rsid w:val="002834B2"/>
    <w:rsid w:val="00283694"/>
    <w:rsid w:val="00283B9A"/>
    <w:rsid w:val="00286E09"/>
    <w:rsid w:val="002878B6"/>
    <w:rsid w:val="00290693"/>
    <w:rsid w:val="002908E2"/>
    <w:rsid w:val="00297CAC"/>
    <w:rsid w:val="002A0A3C"/>
    <w:rsid w:val="002A2F20"/>
    <w:rsid w:val="002A31CF"/>
    <w:rsid w:val="002A337A"/>
    <w:rsid w:val="002B1D75"/>
    <w:rsid w:val="002B5497"/>
    <w:rsid w:val="002C027C"/>
    <w:rsid w:val="002C0FF5"/>
    <w:rsid w:val="002C16AD"/>
    <w:rsid w:val="002D4C67"/>
    <w:rsid w:val="002D7200"/>
    <w:rsid w:val="002E6CBB"/>
    <w:rsid w:val="002E6E2E"/>
    <w:rsid w:val="002E7AFB"/>
    <w:rsid w:val="002F0DD6"/>
    <w:rsid w:val="002F24D3"/>
    <w:rsid w:val="00300FEA"/>
    <w:rsid w:val="00302C13"/>
    <w:rsid w:val="00310A28"/>
    <w:rsid w:val="00322F56"/>
    <w:rsid w:val="0032772B"/>
    <w:rsid w:val="00332023"/>
    <w:rsid w:val="00333A6D"/>
    <w:rsid w:val="00340883"/>
    <w:rsid w:val="00343574"/>
    <w:rsid w:val="003449B2"/>
    <w:rsid w:val="00346B56"/>
    <w:rsid w:val="00350626"/>
    <w:rsid w:val="00362026"/>
    <w:rsid w:val="003621D0"/>
    <w:rsid w:val="00364F32"/>
    <w:rsid w:val="00365651"/>
    <w:rsid w:val="003717DE"/>
    <w:rsid w:val="00371E2A"/>
    <w:rsid w:val="00380C66"/>
    <w:rsid w:val="0039049E"/>
    <w:rsid w:val="00391E6B"/>
    <w:rsid w:val="00393B92"/>
    <w:rsid w:val="00397FCD"/>
    <w:rsid w:val="003A1081"/>
    <w:rsid w:val="003A2F07"/>
    <w:rsid w:val="003A4396"/>
    <w:rsid w:val="003B0A0A"/>
    <w:rsid w:val="003B609A"/>
    <w:rsid w:val="003C20E6"/>
    <w:rsid w:val="003C4969"/>
    <w:rsid w:val="003C6E3F"/>
    <w:rsid w:val="003D1073"/>
    <w:rsid w:val="003D53C4"/>
    <w:rsid w:val="003D71DC"/>
    <w:rsid w:val="003E27AD"/>
    <w:rsid w:val="003E3A69"/>
    <w:rsid w:val="003E4219"/>
    <w:rsid w:val="003F14BC"/>
    <w:rsid w:val="003F26E5"/>
    <w:rsid w:val="003F5E89"/>
    <w:rsid w:val="00403D46"/>
    <w:rsid w:val="00413E31"/>
    <w:rsid w:val="004221EA"/>
    <w:rsid w:val="00426FED"/>
    <w:rsid w:val="0042751E"/>
    <w:rsid w:val="0044200A"/>
    <w:rsid w:val="00443B0F"/>
    <w:rsid w:val="00444A99"/>
    <w:rsid w:val="004461E7"/>
    <w:rsid w:val="00446B66"/>
    <w:rsid w:val="00450DF5"/>
    <w:rsid w:val="004532E4"/>
    <w:rsid w:val="00460B90"/>
    <w:rsid w:val="00464DE2"/>
    <w:rsid w:val="00465758"/>
    <w:rsid w:val="0046700B"/>
    <w:rsid w:val="00470218"/>
    <w:rsid w:val="00480688"/>
    <w:rsid w:val="004825E7"/>
    <w:rsid w:val="00482CE6"/>
    <w:rsid w:val="0049562E"/>
    <w:rsid w:val="004A4992"/>
    <w:rsid w:val="004B7C2D"/>
    <w:rsid w:val="004C1CEA"/>
    <w:rsid w:val="004D5EDA"/>
    <w:rsid w:val="004E05E4"/>
    <w:rsid w:val="004E0DFC"/>
    <w:rsid w:val="004E28E7"/>
    <w:rsid w:val="004E7D62"/>
    <w:rsid w:val="004F54B4"/>
    <w:rsid w:val="005009B8"/>
    <w:rsid w:val="00506292"/>
    <w:rsid w:val="00507D2E"/>
    <w:rsid w:val="0051416D"/>
    <w:rsid w:val="00515477"/>
    <w:rsid w:val="00515AB0"/>
    <w:rsid w:val="00515DD9"/>
    <w:rsid w:val="00516A43"/>
    <w:rsid w:val="00520C2F"/>
    <w:rsid w:val="00525BAD"/>
    <w:rsid w:val="00530DBF"/>
    <w:rsid w:val="0053237E"/>
    <w:rsid w:val="005432B4"/>
    <w:rsid w:val="00546BA5"/>
    <w:rsid w:val="005471D8"/>
    <w:rsid w:val="005502C7"/>
    <w:rsid w:val="0055303D"/>
    <w:rsid w:val="00560993"/>
    <w:rsid w:val="00561021"/>
    <w:rsid w:val="00566E3E"/>
    <w:rsid w:val="005731B6"/>
    <w:rsid w:val="0057443E"/>
    <w:rsid w:val="0058063A"/>
    <w:rsid w:val="00586379"/>
    <w:rsid w:val="005916B7"/>
    <w:rsid w:val="0059612E"/>
    <w:rsid w:val="005A194D"/>
    <w:rsid w:val="005A2653"/>
    <w:rsid w:val="005A5D59"/>
    <w:rsid w:val="005B6EC1"/>
    <w:rsid w:val="005B77B2"/>
    <w:rsid w:val="005B7DEB"/>
    <w:rsid w:val="005C4057"/>
    <w:rsid w:val="005C5DA3"/>
    <w:rsid w:val="005C7EC7"/>
    <w:rsid w:val="005E272C"/>
    <w:rsid w:val="005E3422"/>
    <w:rsid w:val="005E3F29"/>
    <w:rsid w:val="005F0C81"/>
    <w:rsid w:val="005F4AA1"/>
    <w:rsid w:val="005F57A7"/>
    <w:rsid w:val="00600609"/>
    <w:rsid w:val="006016D8"/>
    <w:rsid w:val="00602031"/>
    <w:rsid w:val="006025C7"/>
    <w:rsid w:val="0060473C"/>
    <w:rsid w:val="0060477A"/>
    <w:rsid w:val="006059EF"/>
    <w:rsid w:val="00606B51"/>
    <w:rsid w:val="00614C2D"/>
    <w:rsid w:val="0061779E"/>
    <w:rsid w:val="00625023"/>
    <w:rsid w:val="0062741D"/>
    <w:rsid w:val="0063289A"/>
    <w:rsid w:val="00632FA1"/>
    <w:rsid w:val="0063556F"/>
    <w:rsid w:val="00637C40"/>
    <w:rsid w:val="00637F60"/>
    <w:rsid w:val="006439CE"/>
    <w:rsid w:val="00645A72"/>
    <w:rsid w:val="00647E75"/>
    <w:rsid w:val="0065124E"/>
    <w:rsid w:val="00651B85"/>
    <w:rsid w:val="00652F47"/>
    <w:rsid w:val="0066045E"/>
    <w:rsid w:val="0066367F"/>
    <w:rsid w:val="00664B81"/>
    <w:rsid w:val="006661C5"/>
    <w:rsid w:val="00667F40"/>
    <w:rsid w:val="0067093A"/>
    <w:rsid w:val="0067382A"/>
    <w:rsid w:val="00674071"/>
    <w:rsid w:val="00674637"/>
    <w:rsid w:val="00677E2F"/>
    <w:rsid w:val="00686961"/>
    <w:rsid w:val="00691E46"/>
    <w:rsid w:val="00692305"/>
    <w:rsid w:val="00693C16"/>
    <w:rsid w:val="006A0D58"/>
    <w:rsid w:val="006A1602"/>
    <w:rsid w:val="006A1BC9"/>
    <w:rsid w:val="006A51D5"/>
    <w:rsid w:val="006A5606"/>
    <w:rsid w:val="006A63BF"/>
    <w:rsid w:val="006A704E"/>
    <w:rsid w:val="006C41CD"/>
    <w:rsid w:val="006C4E18"/>
    <w:rsid w:val="006D4276"/>
    <w:rsid w:val="006D5BA6"/>
    <w:rsid w:val="006D788E"/>
    <w:rsid w:val="006E2A9D"/>
    <w:rsid w:val="006E5687"/>
    <w:rsid w:val="006E6C3E"/>
    <w:rsid w:val="006F496C"/>
    <w:rsid w:val="006F5436"/>
    <w:rsid w:val="0070140A"/>
    <w:rsid w:val="00707D5A"/>
    <w:rsid w:val="00723DE0"/>
    <w:rsid w:val="00732222"/>
    <w:rsid w:val="0074059E"/>
    <w:rsid w:val="00757014"/>
    <w:rsid w:val="0076205E"/>
    <w:rsid w:val="007624BC"/>
    <w:rsid w:val="00763F80"/>
    <w:rsid w:val="007755D2"/>
    <w:rsid w:val="0077630E"/>
    <w:rsid w:val="0078234E"/>
    <w:rsid w:val="00784FB3"/>
    <w:rsid w:val="00787C4B"/>
    <w:rsid w:val="007900B8"/>
    <w:rsid w:val="00792A37"/>
    <w:rsid w:val="00792C43"/>
    <w:rsid w:val="00796744"/>
    <w:rsid w:val="007A221A"/>
    <w:rsid w:val="007A3604"/>
    <w:rsid w:val="007C459B"/>
    <w:rsid w:val="007C5C60"/>
    <w:rsid w:val="007D233D"/>
    <w:rsid w:val="007D2E6F"/>
    <w:rsid w:val="007D50D0"/>
    <w:rsid w:val="007E0B66"/>
    <w:rsid w:val="007E2782"/>
    <w:rsid w:val="007F080D"/>
    <w:rsid w:val="008076E5"/>
    <w:rsid w:val="008120EA"/>
    <w:rsid w:val="008142ED"/>
    <w:rsid w:val="00816404"/>
    <w:rsid w:val="00821524"/>
    <w:rsid w:val="00824E95"/>
    <w:rsid w:val="00830C45"/>
    <w:rsid w:val="00831C16"/>
    <w:rsid w:val="00834D00"/>
    <w:rsid w:val="008376AB"/>
    <w:rsid w:val="0085314D"/>
    <w:rsid w:val="00853F33"/>
    <w:rsid w:val="00862FDA"/>
    <w:rsid w:val="008641F3"/>
    <w:rsid w:val="00865D6D"/>
    <w:rsid w:val="00872366"/>
    <w:rsid w:val="00872883"/>
    <w:rsid w:val="00877AB9"/>
    <w:rsid w:val="00883FEA"/>
    <w:rsid w:val="00885C67"/>
    <w:rsid w:val="008873B3"/>
    <w:rsid w:val="00890F59"/>
    <w:rsid w:val="00894D1B"/>
    <w:rsid w:val="00895CA7"/>
    <w:rsid w:val="00897077"/>
    <w:rsid w:val="0089747C"/>
    <w:rsid w:val="008A1765"/>
    <w:rsid w:val="008A30AF"/>
    <w:rsid w:val="008A31F9"/>
    <w:rsid w:val="008B36F3"/>
    <w:rsid w:val="008B6C52"/>
    <w:rsid w:val="008C2214"/>
    <w:rsid w:val="008C27E3"/>
    <w:rsid w:val="008C2BEB"/>
    <w:rsid w:val="008C52F3"/>
    <w:rsid w:val="008C5337"/>
    <w:rsid w:val="008C564C"/>
    <w:rsid w:val="008C6500"/>
    <w:rsid w:val="008D185A"/>
    <w:rsid w:val="008D1971"/>
    <w:rsid w:val="008D2D74"/>
    <w:rsid w:val="008D686C"/>
    <w:rsid w:val="008E01BA"/>
    <w:rsid w:val="008E1E79"/>
    <w:rsid w:val="008E331D"/>
    <w:rsid w:val="008E373C"/>
    <w:rsid w:val="008E68CD"/>
    <w:rsid w:val="00900383"/>
    <w:rsid w:val="009048A6"/>
    <w:rsid w:val="00912852"/>
    <w:rsid w:val="009129F8"/>
    <w:rsid w:val="00914B88"/>
    <w:rsid w:val="00922859"/>
    <w:rsid w:val="00925CD5"/>
    <w:rsid w:val="00931022"/>
    <w:rsid w:val="009348DF"/>
    <w:rsid w:val="00935B47"/>
    <w:rsid w:val="009412A8"/>
    <w:rsid w:val="00947269"/>
    <w:rsid w:val="00957FB7"/>
    <w:rsid w:val="00961758"/>
    <w:rsid w:val="00962F7C"/>
    <w:rsid w:val="00967E97"/>
    <w:rsid w:val="0097161C"/>
    <w:rsid w:val="00972858"/>
    <w:rsid w:val="00972929"/>
    <w:rsid w:val="00972A1E"/>
    <w:rsid w:val="00973EBD"/>
    <w:rsid w:val="009742C7"/>
    <w:rsid w:val="00980043"/>
    <w:rsid w:val="0098014F"/>
    <w:rsid w:val="00981846"/>
    <w:rsid w:val="009849DF"/>
    <w:rsid w:val="0098565B"/>
    <w:rsid w:val="0098795A"/>
    <w:rsid w:val="0099006D"/>
    <w:rsid w:val="00990855"/>
    <w:rsid w:val="00997E64"/>
    <w:rsid w:val="009A3542"/>
    <w:rsid w:val="009A75FD"/>
    <w:rsid w:val="009B6FFA"/>
    <w:rsid w:val="009C17C7"/>
    <w:rsid w:val="009C2D85"/>
    <w:rsid w:val="009C3235"/>
    <w:rsid w:val="009C3B1A"/>
    <w:rsid w:val="009C5FB2"/>
    <w:rsid w:val="009D2E4E"/>
    <w:rsid w:val="009D74D9"/>
    <w:rsid w:val="009E2569"/>
    <w:rsid w:val="009E35DE"/>
    <w:rsid w:val="009F252E"/>
    <w:rsid w:val="00A00167"/>
    <w:rsid w:val="00A00986"/>
    <w:rsid w:val="00A01118"/>
    <w:rsid w:val="00A04322"/>
    <w:rsid w:val="00A14DF2"/>
    <w:rsid w:val="00A15A54"/>
    <w:rsid w:val="00A166C7"/>
    <w:rsid w:val="00A20449"/>
    <w:rsid w:val="00A24387"/>
    <w:rsid w:val="00A2589F"/>
    <w:rsid w:val="00A355A5"/>
    <w:rsid w:val="00A431A2"/>
    <w:rsid w:val="00A43D18"/>
    <w:rsid w:val="00A44023"/>
    <w:rsid w:val="00A47A9C"/>
    <w:rsid w:val="00A554FB"/>
    <w:rsid w:val="00A71D3B"/>
    <w:rsid w:val="00A71DD9"/>
    <w:rsid w:val="00A71F9A"/>
    <w:rsid w:val="00A72909"/>
    <w:rsid w:val="00A854DE"/>
    <w:rsid w:val="00AA0397"/>
    <w:rsid w:val="00AA0805"/>
    <w:rsid w:val="00AA4CEC"/>
    <w:rsid w:val="00AA79CE"/>
    <w:rsid w:val="00AB4320"/>
    <w:rsid w:val="00AC091D"/>
    <w:rsid w:val="00AC24B8"/>
    <w:rsid w:val="00AC7692"/>
    <w:rsid w:val="00AD270A"/>
    <w:rsid w:val="00AD3B47"/>
    <w:rsid w:val="00AD5996"/>
    <w:rsid w:val="00AD5BE2"/>
    <w:rsid w:val="00AD6370"/>
    <w:rsid w:val="00AD763C"/>
    <w:rsid w:val="00AD7A2A"/>
    <w:rsid w:val="00AE0DA4"/>
    <w:rsid w:val="00AE19ED"/>
    <w:rsid w:val="00AE1CFA"/>
    <w:rsid w:val="00AE32DB"/>
    <w:rsid w:val="00AF1ED2"/>
    <w:rsid w:val="00AF2DDA"/>
    <w:rsid w:val="00AF3288"/>
    <w:rsid w:val="00AF3E06"/>
    <w:rsid w:val="00B009AA"/>
    <w:rsid w:val="00B01193"/>
    <w:rsid w:val="00B05765"/>
    <w:rsid w:val="00B05E43"/>
    <w:rsid w:val="00B103B0"/>
    <w:rsid w:val="00B145D3"/>
    <w:rsid w:val="00B21D90"/>
    <w:rsid w:val="00B24805"/>
    <w:rsid w:val="00B24C2B"/>
    <w:rsid w:val="00B261F2"/>
    <w:rsid w:val="00B31D1D"/>
    <w:rsid w:val="00B3316D"/>
    <w:rsid w:val="00B3506C"/>
    <w:rsid w:val="00B3796B"/>
    <w:rsid w:val="00B3799C"/>
    <w:rsid w:val="00B65C91"/>
    <w:rsid w:val="00B71479"/>
    <w:rsid w:val="00B7257A"/>
    <w:rsid w:val="00B774E7"/>
    <w:rsid w:val="00B831D5"/>
    <w:rsid w:val="00B91E86"/>
    <w:rsid w:val="00BA0808"/>
    <w:rsid w:val="00BA1438"/>
    <w:rsid w:val="00BA4B36"/>
    <w:rsid w:val="00BB41A1"/>
    <w:rsid w:val="00BB5CCB"/>
    <w:rsid w:val="00BB6B95"/>
    <w:rsid w:val="00BD07B5"/>
    <w:rsid w:val="00BD1104"/>
    <w:rsid w:val="00BD2163"/>
    <w:rsid w:val="00BD5A52"/>
    <w:rsid w:val="00BE0074"/>
    <w:rsid w:val="00BE1FB2"/>
    <w:rsid w:val="00BE25FA"/>
    <w:rsid w:val="00BE4591"/>
    <w:rsid w:val="00BE6BB4"/>
    <w:rsid w:val="00BF2375"/>
    <w:rsid w:val="00BF416D"/>
    <w:rsid w:val="00C037FE"/>
    <w:rsid w:val="00C07F85"/>
    <w:rsid w:val="00C144E8"/>
    <w:rsid w:val="00C20EF6"/>
    <w:rsid w:val="00C22E45"/>
    <w:rsid w:val="00C35AF0"/>
    <w:rsid w:val="00C370F9"/>
    <w:rsid w:val="00C401A8"/>
    <w:rsid w:val="00C446C9"/>
    <w:rsid w:val="00C56469"/>
    <w:rsid w:val="00C60864"/>
    <w:rsid w:val="00C66130"/>
    <w:rsid w:val="00C7065C"/>
    <w:rsid w:val="00C71D14"/>
    <w:rsid w:val="00C84AD8"/>
    <w:rsid w:val="00C86120"/>
    <w:rsid w:val="00C87B14"/>
    <w:rsid w:val="00C90D89"/>
    <w:rsid w:val="00C9784A"/>
    <w:rsid w:val="00CA010D"/>
    <w:rsid w:val="00CA1EA8"/>
    <w:rsid w:val="00CA2702"/>
    <w:rsid w:val="00CA2ED1"/>
    <w:rsid w:val="00CA4699"/>
    <w:rsid w:val="00CA6EA8"/>
    <w:rsid w:val="00CB0A80"/>
    <w:rsid w:val="00CB70EE"/>
    <w:rsid w:val="00CB77C3"/>
    <w:rsid w:val="00CC2336"/>
    <w:rsid w:val="00CC48D8"/>
    <w:rsid w:val="00CD304E"/>
    <w:rsid w:val="00CD33F1"/>
    <w:rsid w:val="00CD4585"/>
    <w:rsid w:val="00CD4F07"/>
    <w:rsid w:val="00CD6F6E"/>
    <w:rsid w:val="00CD756E"/>
    <w:rsid w:val="00CE2E27"/>
    <w:rsid w:val="00CE4BA0"/>
    <w:rsid w:val="00CF2DF6"/>
    <w:rsid w:val="00CF5FB1"/>
    <w:rsid w:val="00CF6A45"/>
    <w:rsid w:val="00CF777A"/>
    <w:rsid w:val="00CF7EA8"/>
    <w:rsid w:val="00D00D90"/>
    <w:rsid w:val="00D040ED"/>
    <w:rsid w:val="00D06608"/>
    <w:rsid w:val="00D12CA7"/>
    <w:rsid w:val="00D149A1"/>
    <w:rsid w:val="00D15011"/>
    <w:rsid w:val="00D173B4"/>
    <w:rsid w:val="00D177B7"/>
    <w:rsid w:val="00D25472"/>
    <w:rsid w:val="00D25BE5"/>
    <w:rsid w:val="00D26474"/>
    <w:rsid w:val="00D303B8"/>
    <w:rsid w:val="00D3097B"/>
    <w:rsid w:val="00D30E4C"/>
    <w:rsid w:val="00D312E7"/>
    <w:rsid w:val="00D40842"/>
    <w:rsid w:val="00D40F59"/>
    <w:rsid w:val="00D4585A"/>
    <w:rsid w:val="00D56BDE"/>
    <w:rsid w:val="00D57A59"/>
    <w:rsid w:val="00D6327D"/>
    <w:rsid w:val="00D7285B"/>
    <w:rsid w:val="00D841D2"/>
    <w:rsid w:val="00D90209"/>
    <w:rsid w:val="00D962A3"/>
    <w:rsid w:val="00D9634D"/>
    <w:rsid w:val="00D96B7D"/>
    <w:rsid w:val="00D97DF7"/>
    <w:rsid w:val="00DB3D02"/>
    <w:rsid w:val="00DC109B"/>
    <w:rsid w:val="00DC1856"/>
    <w:rsid w:val="00DC3655"/>
    <w:rsid w:val="00DC3D61"/>
    <w:rsid w:val="00DC3F0B"/>
    <w:rsid w:val="00DD3D9D"/>
    <w:rsid w:val="00DD6E01"/>
    <w:rsid w:val="00DF1450"/>
    <w:rsid w:val="00DF1BBB"/>
    <w:rsid w:val="00DF6378"/>
    <w:rsid w:val="00E03463"/>
    <w:rsid w:val="00E10578"/>
    <w:rsid w:val="00E107E5"/>
    <w:rsid w:val="00E111E6"/>
    <w:rsid w:val="00E11344"/>
    <w:rsid w:val="00E11BBA"/>
    <w:rsid w:val="00E15FEC"/>
    <w:rsid w:val="00E248F5"/>
    <w:rsid w:val="00E31FA3"/>
    <w:rsid w:val="00E41DD9"/>
    <w:rsid w:val="00E50142"/>
    <w:rsid w:val="00E511A2"/>
    <w:rsid w:val="00E53A9F"/>
    <w:rsid w:val="00E54784"/>
    <w:rsid w:val="00E6116D"/>
    <w:rsid w:val="00E61535"/>
    <w:rsid w:val="00E617DE"/>
    <w:rsid w:val="00E659DD"/>
    <w:rsid w:val="00E7260C"/>
    <w:rsid w:val="00E874EC"/>
    <w:rsid w:val="00E928B1"/>
    <w:rsid w:val="00E9445D"/>
    <w:rsid w:val="00E94C91"/>
    <w:rsid w:val="00EA0F2A"/>
    <w:rsid w:val="00EA7694"/>
    <w:rsid w:val="00EB08BD"/>
    <w:rsid w:val="00EB0EE2"/>
    <w:rsid w:val="00EB1C6B"/>
    <w:rsid w:val="00EC2206"/>
    <w:rsid w:val="00EC3687"/>
    <w:rsid w:val="00ED0A00"/>
    <w:rsid w:val="00ED435E"/>
    <w:rsid w:val="00ED47C1"/>
    <w:rsid w:val="00EE0C6F"/>
    <w:rsid w:val="00EE6BB9"/>
    <w:rsid w:val="00EF182E"/>
    <w:rsid w:val="00EF2170"/>
    <w:rsid w:val="00EF7E17"/>
    <w:rsid w:val="00F03035"/>
    <w:rsid w:val="00F06C6B"/>
    <w:rsid w:val="00F070F6"/>
    <w:rsid w:val="00F1112F"/>
    <w:rsid w:val="00F146F1"/>
    <w:rsid w:val="00F16F31"/>
    <w:rsid w:val="00F263AF"/>
    <w:rsid w:val="00F311B6"/>
    <w:rsid w:val="00F36546"/>
    <w:rsid w:val="00F4383A"/>
    <w:rsid w:val="00F43991"/>
    <w:rsid w:val="00F455DF"/>
    <w:rsid w:val="00F4741D"/>
    <w:rsid w:val="00F52017"/>
    <w:rsid w:val="00F5479A"/>
    <w:rsid w:val="00F547C1"/>
    <w:rsid w:val="00F54C00"/>
    <w:rsid w:val="00F57C86"/>
    <w:rsid w:val="00F62A5F"/>
    <w:rsid w:val="00F64B59"/>
    <w:rsid w:val="00F652F3"/>
    <w:rsid w:val="00F679F2"/>
    <w:rsid w:val="00F741DF"/>
    <w:rsid w:val="00F759B1"/>
    <w:rsid w:val="00F82872"/>
    <w:rsid w:val="00F83B74"/>
    <w:rsid w:val="00F84939"/>
    <w:rsid w:val="00F8643E"/>
    <w:rsid w:val="00F90D1E"/>
    <w:rsid w:val="00F94E95"/>
    <w:rsid w:val="00F9774F"/>
    <w:rsid w:val="00FA1828"/>
    <w:rsid w:val="00FA401D"/>
    <w:rsid w:val="00FA5806"/>
    <w:rsid w:val="00FA6AED"/>
    <w:rsid w:val="00FB081A"/>
    <w:rsid w:val="00FB20D7"/>
    <w:rsid w:val="00FB3FC0"/>
    <w:rsid w:val="00FB6BF9"/>
    <w:rsid w:val="00FB7A76"/>
    <w:rsid w:val="00FC6269"/>
    <w:rsid w:val="00FC7365"/>
    <w:rsid w:val="00FD0643"/>
    <w:rsid w:val="00FD3766"/>
    <w:rsid w:val="00FD586C"/>
    <w:rsid w:val="00FE784B"/>
    <w:rsid w:val="00FF153C"/>
    <w:rsid w:val="00FF23D3"/>
    <w:rsid w:val="00FF53B3"/>
    <w:rsid w:val="00FF677C"/>
    <w:rsid w:val="00FF7854"/>
    <w:rsid w:val="0114EEE1"/>
    <w:rsid w:val="01895A74"/>
    <w:rsid w:val="01FCFB10"/>
    <w:rsid w:val="027D7F05"/>
    <w:rsid w:val="029011D5"/>
    <w:rsid w:val="02E940B7"/>
    <w:rsid w:val="03420C71"/>
    <w:rsid w:val="036D13F8"/>
    <w:rsid w:val="037EED07"/>
    <w:rsid w:val="03B71029"/>
    <w:rsid w:val="049A95B4"/>
    <w:rsid w:val="05184A58"/>
    <w:rsid w:val="05DC43F8"/>
    <w:rsid w:val="05EC9002"/>
    <w:rsid w:val="06C592F9"/>
    <w:rsid w:val="06F55048"/>
    <w:rsid w:val="071D13B6"/>
    <w:rsid w:val="076165D1"/>
    <w:rsid w:val="0787062D"/>
    <w:rsid w:val="07F66756"/>
    <w:rsid w:val="081F972B"/>
    <w:rsid w:val="08E5AE0B"/>
    <w:rsid w:val="08EF2EB0"/>
    <w:rsid w:val="09B57297"/>
    <w:rsid w:val="09DB561F"/>
    <w:rsid w:val="0A0DA344"/>
    <w:rsid w:val="0A5EE0CB"/>
    <w:rsid w:val="0A63D142"/>
    <w:rsid w:val="0BF38334"/>
    <w:rsid w:val="0C51375C"/>
    <w:rsid w:val="0C9FA408"/>
    <w:rsid w:val="0CE4D2A6"/>
    <w:rsid w:val="0D8B7975"/>
    <w:rsid w:val="0DBF1C6A"/>
    <w:rsid w:val="0DCE42D9"/>
    <w:rsid w:val="0DD136BA"/>
    <w:rsid w:val="0DD8AB5D"/>
    <w:rsid w:val="0E1368E7"/>
    <w:rsid w:val="0E774152"/>
    <w:rsid w:val="0E862D8F"/>
    <w:rsid w:val="0EC3A094"/>
    <w:rsid w:val="0EE27A17"/>
    <w:rsid w:val="0F1805F1"/>
    <w:rsid w:val="0F5B8E4B"/>
    <w:rsid w:val="0F8DD5F1"/>
    <w:rsid w:val="100003FC"/>
    <w:rsid w:val="10439261"/>
    <w:rsid w:val="10645778"/>
    <w:rsid w:val="10A3304C"/>
    <w:rsid w:val="10CEC45F"/>
    <w:rsid w:val="10D2C02B"/>
    <w:rsid w:val="1103C4FC"/>
    <w:rsid w:val="110AD261"/>
    <w:rsid w:val="115F6027"/>
    <w:rsid w:val="11A5F8C9"/>
    <w:rsid w:val="11C95A96"/>
    <w:rsid w:val="12003427"/>
    <w:rsid w:val="12021635"/>
    <w:rsid w:val="12413C3F"/>
    <w:rsid w:val="129662F8"/>
    <w:rsid w:val="13F3C711"/>
    <w:rsid w:val="14075CAA"/>
    <w:rsid w:val="14589649"/>
    <w:rsid w:val="14C960AC"/>
    <w:rsid w:val="14F08B51"/>
    <w:rsid w:val="152E00D2"/>
    <w:rsid w:val="15FFB2BE"/>
    <w:rsid w:val="16539760"/>
    <w:rsid w:val="16982C2D"/>
    <w:rsid w:val="16CE25C0"/>
    <w:rsid w:val="1713F1E3"/>
    <w:rsid w:val="17891958"/>
    <w:rsid w:val="179B831F"/>
    <w:rsid w:val="17A50DD9"/>
    <w:rsid w:val="17AE388F"/>
    <w:rsid w:val="180B0285"/>
    <w:rsid w:val="18511756"/>
    <w:rsid w:val="1959D1D7"/>
    <w:rsid w:val="19FDBBF8"/>
    <w:rsid w:val="1A519D1D"/>
    <w:rsid w:val="1AA20C55"/>
    <w:rsid w:val="1AEBD11A"/>
    <w:rsid w:val="1AF27474"/>
    <w:rsid w:val="1B0DE026"/>
    <w:rsid w:val="1B16EBE0"/>
    <w:rsid w:val="1BC4BF94"/>
    <w:rsid w:val="1BED6D7E"/>
    <w:rsid w:val="1C57CFB6"/>
    <w:rsid w:val="1CA9B087"/>
    <w:rsid w:val="1CB3FA7E"/>
    <w:rsid w:val="1DE79B6F"/>
    <w:rsid w:val="1DF3A017"/>
    <w:rsid w:val="1E52204C"/>
    <w:rsid w:val="1F08270B"/>
    <w:rsid w:val="1F8A4A4E"/>
    <w:rsid w:val="1FB1A8BD"/>
    <w:rsid w:val="1FCFA2B9"/>
    <w:rsid w:val="20366B9C"/>
    <w:rsid w:val="204E43BA"/>
    <w:rsid w:val="206CBC5C"/>
    <w:rsid w:val="208E2930"/>
    <w:rsid w:val="2140CC65"/>
    <w:rsid w:val="216E47FE"/>
    <w:rsid w:val="219823D8"/>
    <w:rsid w:val="21EA141B"/>
    <w:rsid w:val="22047954"/>
    <w:rsid w:val="22880400"/>
    <w:rsid w:val="238E7121"/>
    <w:rsid w:val="238F777F"/>
    <w:rsid w:val="23E53481"/>
    <w:rsid w:val="24C0CE1F"/>
    <w:rsid w:val="24CC221D"/>
    <w:rsid w:val="24F87112"/>
    <w:rsid w:val="251A6378"/>
    <w:rsid w:val="255F043F"/>
    <w:rsid w:val="25E057F4"/>
    <w:rsid w:val="25F51BAF"/>
    <w:rsid w:val="271D39E0"/>
    <w:rsid w:val="275A8359"/>
    <w:rsid w:val="275E0C87"/>
    <w:rsid w:val="276012FF"/>
    <w:rsid w:val="278614C5"/>
    <w:rsid w:val="27A0C0EA"/>
    <w:rsid w:val="2818B12A"/>
    <w:rsid w:val="28249FB7"/>
    <w:rsid w:val="2824F30C"/>
    <w:rsid w:val="28AF8176"/>
    <w:rsid w:val="28D3150F"/>
    <w:rsid w:val="28DC9239"/>
    <w:rsid w:val="2939A12A"/>
    <w:rsid w:val="295B3764"/>
    <w:rsid w:val="29A82899"/>
    <w:rsid w:val="29B77599"/>
    <w:rsid w:val="29C02992"/>
    <w:rsid w:val="29F7EA46"/>
    <w:rsid w:val="2A5F6465"/>
    <w:rsid w:val="2A6EE570"/>
    <w:rsid w:val="2A9F5EBF"/>
    <w:rsid w:val="2BE72238"/>
    <w:rsid w:val="2C0AB5D1"/>
    <w:rsid w:val="2C2C53A6"/>
    <w:rsid w:val="2C41CF2E"/>
    <w:rsid w:val="2C7141EC"/>
    <w:rsid w:val="2C8F708C"/>
    <w:rsid w:val="2D2D7F0A"/>
    <w:rsid w:val="2D3A45AD"/>
    <w:rsid w:val="2E1E634F"/>
    <w:rsid w:val="2E3ABFFA"/>
    <w:rsid w:val="2E621B86"/>
    <w:rsid w:val="2E845912"/>
    <w:rsid w:val="2EC1671B"/>
    <w:rsid w:val="2EE9193C"/>
    <w:rsid w:val="2F9BFDF5"/>
    <w:rsid w:val="2FB9C187"/>
    <w:rsid w:val="3028D37F"/>
    <w:rsid w:val="309E76A1"/>
    <w:rsid w:val="30FAD29D"/>
    <w:rsid w:val="312C5595"/>
    <w:rsid w:val="31861E29"/>
    <w:rsid w:val="3198FE49"/>
    <w:rsid w:val="31A1AA0E"/>
    <w:rsid w:val="320DB6D0"/>
    <w:rsid w:val="327AC052"/>
    <w:rsid w:val="32ABFBD6"/>
    <w:rsid w:val="32BD5AAD"/>
    <w:rsid w:val="32C8C76C"/>
    <w:rsid w:val="32DC0A67"/>
    <w:rsid w:val="32F16249"/>
    <w:rsid w:val="330BCA75"/>
    <w:rsid w:val="33171550"/>
    <w:rsid w:val="331E61BA"/>
    <w:rsid w:val="334D6BB6"/>
    <w:rsid w:val="336CB9CC"/>
    <w:rsid w:val="33E28B32"/>
    <w:rsid w:val="33E2948B"/>
    <w:rsid w:val="34A35A90"/>
    <w:rsid w:val="34B1373E"/>
    <w:rsid w:val="34B33717"/>
    <w:rsid w:val="34C8B1EA"/>
    <w:rsid w:val="3509BBCD"/>
    <w:rsid w:val="351138C2"/>
    <w:rsid w:val="35788477"/>
    <w:rsid w:val="35A1ECE4"/>
    <w:rsid w:val="36058ED3"/>
    <w:rsid w:val="367CB1A2"/>
    <w:rsid w:val="372C3C5C"/>
    <w:rsid w:val="376D7A0D"/>
    <w:rsid w:val="37966B80"/>
    <w:rsid w:val="3818F346"/>
    <w:rsid w:val="38A1CDD1"/>
    <w:rsid w:val="38DE99C9"/>
    <w:rsid w:val="38E04D66"/>
    <w:rsid w:val="38E62D48"/>
    <w:rsid w:val="39477B70"/>
    <w:rsid w:val="3966CE02"/>
    <w:rsid w:val="396D7FDD"/>
    <w:rsid w:val="39C973F4"/>
    <w:rsid w:val="3A4B7B9E"/>
    <w:rsid w:val="3A5903E4"/>
    <w:rsid w:val="3A6AD91D"/>
    <w:rsid w:val="3A93D30C"/>
    <w:rsid w:val="3AA3593D"/>
    <w:rsid w:val="3B7E073D"/>
    <w:rsid w:val="3BB4E745"/>
    <w:rsid w:val="3BB6F879"/>
    <w:rsid w:val="3BD96E93"/>
    <w:rsid w:val="3C04A5AD"/>
    <w:rsid w:val="3CA4CF39"/>
    <w:rsid w:val="3CB0B025"/>
    <w:rsid w:val="3CCF8786"/>
    <w:rsid w:val="3CDA50C2"/>
    <w:rsid w:val="3D119937"/>
    <w:rsid w:val="3D1FA4A6"/>
    <w:rsid w:val="3D3C3CDE"/>
    <w:rsid w:val="3D3E5030"/>
    <w:rsid w:val="3D44BEE0"/>
    <w:rsid w:val="3E47AF1A"/>
    <w:rsid w:val="3E57D244"/>
    <w:rsid w:val="3E6B98BB"/>
    <w:rsid w:val="3E6D5DF4"/>
    <w:rsid w:val="3F401AFD"/>
    <w:rsid w:val="407D3020"/>
    <w:rsid w:val="414B6D02"/>
    <w:rsid w:val="41930C94"/>
    <w:rsid w:val="41D9ED6C"/>
    <w:rsid w:val="421DB56B"/>
    <w:rsid w:val="42CF815F"/>
    <w:rsid w:val="42E8EBD3"/>
    <w:rsid w:val="431088DB"/>
    <w:rsid w:val="432C71BB"/>
    <w:rsid w:val="4334BE44"/>
    <w:rsid w:val="434D1BEA"/>
    <w:rsid w:val="4374EA70"/>
    <w:rsid w:val="43999F58"/>
    <w:rsid w:val="43D141D0"/>
    <w:rsid w:val="43E0CC27"/>
    <w:rsid w:val="440C3B6B"/>
    <w:rsid w:val="444AF0F6"/>
    <w:rsid w:val="448C3FFC"/>
    <w:rsid w:val="44F7050B"/>
    <w:rsid w:val="4579AF84"/>
    <w:rsid w:val="45DBBEAC"/>
    <w:rsid w:val="464FD4F5"/>
    <w:rsid w:val="465486E8"/>
    <w:rsid w:val="465C5A35"/>
    <w:rsid w:val="46615652"/>
    <w:rsid w:val="4676204E"/>
    <w:rsid w:val="468DE55B"/>
    <w:rsid w:val="4690C3C8"/>
    <w:rsid w:val="46CEB978"/>
    <w:rsid w:val="46F79C81"/>
    <w:rsid w:val="4752516B"/>
    <w:rsid w:val="47F0473F"/>
    <w:rsid w:val="482DB937"/>
    <w:rsid w:val="48CA0153"/>
    <w:rsid w:val="48D22D1E"/>
    <w:rsid w:val="49401F00"/>
    <w:rsid w:val="49DD4457"/>
    <w:rsid w:val="49F99EBF"/>
    <w:rsid w:val="4A23CB26"/>
    <w:rsid w:val="4ABFFC80"/>
    <w:rsid w:val="4AD926EB"/>
    <w:rsid w:val="4AEC002A"/>
    <w:rsid w:val="4B188E34"/>
    <w:rsid w:val="4B235119"/>
    <w:rsid w:val="4B39ED21"/>
    <w:rsid w:val="4B5C13C6"/>
    <w:rsid w:val="4BDC53B5"/>
    <w:rsid w:val="4C415268"/>
    <w:rsid w:val="4D185019"/>
    <w:rsid w:val="4D336D1D"/>
    <w:rsid w:val="4D420B19"/>
    <w:rsid w:val="4E294193"/>
    <w:rsid w:val="4E6A2C51"/>
    <w:rsid w:val="4E70AC66"/>
    <w:rsid w:val="4E7DE4AA"/>
    <w:rsid w:val="4E8B083E"/>
    <w:rsid w:val="4EA5D4D7"/>
    <w:rsid w:val="4EECD4F6"/>
    <w:rsid w:val="4F07D8E2"/>
    <w:rsid w:val="4F120CF5"/>
    <w:rsid w:val="4F17BFF7"/>
    <w:rsid w:val="4F690D78"/>
    <w:rsid w:val="4FF1CC66"/>
    <w:rsid w:val="5030D95D"/>
    <w:rsid w:val="50EF2C21"/>
    <w:rsid w:val="515C3CA9"/>
    <w:rsid w:val="516D1E02"/>
    <w:rsid w:val="51A84D28"/>
    <w:rsid w:val="51CCA9BE"/>
    <w:rsid w:val="52271513"/>
    <w:rsid w:val="53327373"/>
    <w:rsid w:val="5350A92E"/>
    <w:rsid w:val="539B89D4"/>
    <w:rsid w:val="53D7971C"/>
    <w:rsid w:val="540B1FB7"/>
    <w:rsid w:val="5419F3DE"/>
    <w:rsid w:val="543E477B"/>
    <w:rsid w:val="54BEB1C4"/>
    <w:rsid w:val="554F0538"/>
    <w:rsid w:val="55A0F0E4"/>
    <w:rsid w:val="55D7DCD3"/>
    <w:rsid w:val="55F16BC6"/>
    <w:rsid w:val="561485C6"/>
    <w:rsid w:val="5615D4D8"/>
    <w:rsid w:val="565CB5DD"/>
    <w:rsid w:val="57CEE1C0"/>
    <w:rsid w:val="5829289A"/>
    <w:rsid w:val="58F82E4B"/>
    <w:rsid w:val="5932FAF5"/>
    <w:rsid w:val="59CAD6D8"/>
    <w:rsid w:val="5A629861"/>
    <w:rsid w:val="5AB9A9A0"/>
    <w:rsid w:val="5AD03EC7"/>
    <w:rsid w:val="5B6A4024"/>
    <w:rsid w:val="5B8457DF"/>
    <w:rsid w:val="5C4C7B2C"/>
    <w:rsid w:val="5C4D8F42"/>
    <w:rsid w:val="5C69A50A"/>
    <w:rsid w:val="5CF26075"/>
    <w:rsid w:val="5D2FA94B"/>
    <w:rsid w:val="5D7B1F63"/>
    <w:rsid w:val="5DA207CF"/>
    <w:rsid w:val="5DDD76E9"/>
    <w:rsid w:val="5EBF6261"/>
    <w:rsid w:val="5EC79EAA"/>
    <w:rsid w:val="5F02F266"/>
    <w:rsid w:val="5F04FDA8"/>
    <w:rsid w:val="5F1D1F8B"/>
    <w:rsid w:val="5F344513"/>
    <w:rsid w:val="5F5956FD"/>
    <w:rsid w:val="600FDDB6"/>
    <w:rsid w:val="6083BE28"/>
    <w:rsid w:val="6275CC8C"/>
    <w:rsid w:val="62AD824C"/>
    <w:rsid w:val="63124718"/>
    <w:rsid w:val="63473536"/>
    <w:rsid w:val="6352C1A2"/>
    <w:rsid w:val="639DA998"/>
    <w:rsid w:val="63F258C2"/>
    <w:rsid w:val="64801DFB"/>
    <w:rsid w:val="652EA3E5"/>
    <w:rsid w:val="653F709B"/>
    <w:rsid w:val="65FD6826"/>
    <w:rsid w:val="66B55F75"/>
    <w:rsid w:val="6719AC8C"/>
    <w:rsid w:val="6767EA69"/>
    <w:rsid w:val="67ECF310"/>
    <w:rsid w:val="682E6D8E"/>
    <w:rsid w:val="68332228"/>
    <w:rsid w:val="687D1786"/>
    <w:rsid w:val="68E2FDCC"/>
    <w:rsid w:val="695F78C0"/>
    <w:rsid w:val="6988C371"/>
    <w:rsid w:val="69FF1C8B"/>
    <w:rsid w:val="6A4CAB1B"/>
    <w:rsid w:val="6A6C6EEA"/>
    <w:rsid w:val="6A80A9B1"/>
    <w:rsid w:val="6AAC7182"/>
    <w:rsid w:val="6AD945DE"/>
    <w:rsid w:val="6B2849CF"/>
    <w:rsid w:val="6BD9D75F"/>
    <w:rsid w:val="6C8D3DA2"/>
    <w:rsid w:val="6D251133"/>
    <w:rsid w:val="6D43C83B"/>
    <w:rsid w:val="6D6128D2"/>
    <w:rsid w:val="6D75A7C0"/>
    <w:rsid w:val="6DBCB5C1"/>
    <w:rsid w:val="6DD6F8D2"/>
    <w:rsid w:val="6DEB335D"/>
    <w:rsid w:val="6E5216BA"/>
    <w:rsid w:val="6ED31458"/>
    <w:rsid w:val="6F75647C"/>
    <w:rsid w:val="6FA9AC79"/>
    <w:rsid w:val="701D76A0"/>
    <w:rsid w:val="705CB1F5"/>
    <w:rsid w:val="706B727D"/>
    <w:rsid w:val="70BBACC0"/>
    <w:rsid w:val="70C520A0"/>
    <w:rsid w:val="71209B69"/>
    <w:rsid w:val="712DAE92"/>
    <w:rsid w:val="717ACC89"/>
    <w:rsid w:val="7193D556"/>
    <w:rsid w:val="71BA33D2"/>
    <w:rsid w:val="720DD2F8"/>
    <w:rsid w:val="727354D9"/>
    <w:rsid w:val="7323FB20"/>
    <w:rsid w:val="73281FC2"/>
    <w:rsid w:val="737723B3"/>
    <w:rsid w:val="73E4E944"/>
    <w:rsid w:val="741D69A8"/>
    <w:rsid w:val="746E85BC"/>
    <w:rsid w:val="747A8363"/>
    <w:rsid w:val="74B14704"/>
    <w:rsid w:val="74BC7F73"/>
    <w:rsid w:val="754BB367"/>
    <w:rsid w:val="75E21DF8"/>
    <w:rsid w:val="75E538CF"/>
    <w:rsid w:val="75F84665"/>
    <w:rsid w:val="7647096A"/>
    <w:rsid w:val="76CBF379"/>
    <w:rsid w:val="77104354"/>
    <w:rsid w:val="771C8A06"/>
    <w:rsid w:val="77228E00"/>
    <w:rsid w:val="77A6AAB5"/>
    <w:rsid w:val="7850FF64"/>
    <w:rsid w:val="78A303A1"/>
    <w:rsid w:val="7909DCFB"/>
    <w:rsid w:val="792480A7"/>
    <w:rsid w:val="798CD783"/>
    <w:rsid w:val="79DAF76F"/>
    <w:rsid w:val="7A3E43B2"/>
    <w:rsid w:val="7A7E66BE"/>
    <w:rsid w:val="7AC3839C"/>
    <w:rsid w:val="7B8648DB"/>
    <w:rsid w:val="7BE09152"/>
    <w:rsid w:val="7BFDB5BE"/>
    <w:rsid w:val="7BFF0251"/>
    <w:rsid w:val="7C0A39E4"/>
    <w:rsid w:val="7C39C722"/>
    <w:rsid w:val="7C7D660E"/>
    <w:rsid w:val="7C95DEBC"/>
    <w:rsid w:val="7CCB2E32"/>
    <w:rsid w:val="7DAC75C5"/>
    <w:rsid w:val="7DBEA059"/>
    <w:rsid w:val="7DE34CC2"/>
    <w:rsid w:val="7F791E7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14EAA2"/>
  <w15:chartTrackingRefBased/>
  <w15:docId w15:val="{B0612980-4045-4C4D-AF86-5384FEE88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70C520A0"/>
    <w:rPr>
      <w:lang w:val="en-US"/>
    </w:rPr>
  </w:style>
  <w:style w:type="paragraph" w:styleId="berschrift1">
    <w:name w:val="heading 1"/>
    <w:basedOn w:val="Standard"/>
    <w:next w:val="Standard"/>
    <w:link w:val="berschrift1Zchn"/>
    <w:uiPriority w:val="9"/>
    <w:qFormat/>
    <w:rsid w:val="70C520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70C520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70C520A0"/>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70C520A0"/>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70C520A0"/>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70C520A0"/>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70C520A0"/>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70C520A0"/>
    <w:pPr>
      <w:keepNext/>
      <w:keepLines/>
      <w:spacing w:after="0"/>
      <w:outlineLvl w:val="7"/>
    </w:pPr>
    <w:rPr>
      <w:rFonts w:eastAsiaTheme="majorEastAsia" w:cstheme="majorBidi"/>
      <w:i/>
      <w:iCs/>
      <w:color w:val="272727"/>
    </w:rPr>
  </w:style>
  <w:style w:type="paragraph" w:styleId="berschrift9">
    <w:name w:val="heading 9"/>
    <w:basedOn w:val="Standard"/>
    <w:next w:val="Standard"/>
    <w:link w:val="berschrift9Zchn"/>
    <w:uiPriority w:val="9"/>
    <w:semiHidden/>
    <w:unhideWhenUsed/>
    <w:qFormat/>
    <w:rsid w:val="70C520A0"/>
    <w:pPr>
      <w:keepNext/>
      <w:keepLines/>
      <w:spacing w:after="0"/>
      <w:outlineLvl w:val="8"/>
    </w:pPr>
    <w:rPr>
      <w:rFonts w:eastAsiaTheme="majorEastAsia" w:cstheme="majorBidi"/>
      <w:color w:val="2727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70C520A0"/>
    <w:rPr>
      <w:rFonts w:asciiTheme="majorHAnsi" w:eastAsiaTheme="majorEastAsia" w:hAnsiTheme="majorHAnsi" w:cstheme="majorBidi"/>
      <w:noProof w:val="0"/>
      <w:color w:val="0F4761" w:themeColor="accent1" w:themeShade="BF"/>
      <w:sz w:val="40"/>
      <w:szCs w:val="40"/>
      <w:lang w:val="en-US"/>
    </w:rPr>
  </w:style>
  <w:style w:type="character" w:customStyle="1" w:styleId="berschrift2Zchn">
    <w:name w:val="Überschrift 2 Zchn"/>
    <w:basedOn w:val="Absatz-Standardschriftart"/>
    <w:link w:val="berschrift2"/>
    <w:uiPriority w:val="9"/>
    <w:semiHidden/>
    <w:rsid w:val="70C520A0"/>
    <w:rPr>
      <w:rFonts w:asciiTheme="majorHAnsi" w:eastAsiaTheme="majorEastAsia" w:hAnsiTheme="majorHAnsi" w:cstheme="majorBidi"/>
      <w:noProof w:val="0"/>
      <w:color w:val="0F4761" w:themeColor="accent1" w:themeShade="BF"/>
      <w:sz w:val="32"/>
      <w:szCs w:val="32"/>
      <w:lang w:val="en-US"/>
    </w:rPr>
  </w:style>
  <w:style w:type="character" w:customStyle="1" w:styleId="berschrift3Zchn">
    <w:name w:val="Überschrift 3 Zchn"/>
    <w:basedOn w:val="Absatz-Standardschriftart"/>
    <w:link w:val="berschrift3"/>
    <w:uiPriority w:val="9"/>
    <w:semiHidden/>
    <w:rsid w:val="70C520A0"/>
    <w:rPr>
      <w:rFonts w:asciiTheme="minorHAnsi" w:eastAsiaTheme="majorEastAsia" w:hAnsiTheme="minorHAnsi" w:cstheme="majorBidi"/>
      <w:noProof w:val="0"/>
      <w:color w:val="0F4761" w:themeColor="accent1" w:themeShade="BF"/>
      <w:sz w:val="28"/>
      <w:szCs w:val="28"/>
      <w:lang w:val="en-US"/>
    </w:rPr>
  </w:style>
  <w:style w:type="character" w:customStyle="1" w:styleId="berschrift4Zchn">
    <w:name w:val="Überschrift 4 Zchn"/>
    <w:basedOn w:val="Absatz-Standardschriftart"/>
    <w:link w:val="berschrift4"/>
    <w:uiPriority w:val="9"/>
    <w:semiHidden/>
    <w:rsid w:val="70C520A0"/>
    <w:rPr>
      <w:rFonts w:asciiTheme="minorHAnsi" w:eastAsiaTheme="majorEastAsia" w:hAnsiTheme="minorHAnsi" w:cstheme="majorBidi"/>
      <w:i/>
      <w:iCs/>
      <w:noProof w:val="0"/>
      <w:color w:val="0F4761" w:themeColor="accent1" w:themeShade="BF"/>
      <w:lang w:val="en-US"/>
    </w:rPr>
  </w:style>
  <w:style w:type="character" w:customStyle="1" w:styleId="berschrift5Zchn">
    <w:name w:val="Überschrift 5 Zchn"/>
    <w:basedOn w:val="Absatz-Standardschriftart"/>
    <w:link w:val="berschrift5"/>
    <w:uiPriority w:val="9"/>
    <w:semiHidden/>
    <w:rsid w:val="70C520A0"/>
    <w:rPr>
      <w:rFonts w:asciiTheme="minorHAnsi" w:eastAsiaTheme="majorEastAsia" w:hAnsiTheme="minorHAnsi" w:cstheme="majorBidi"/>
      <w:noProof w:val="0"/>
      <w:color w:val="0F4761" w:themeColor="accent1" w:themeShade="BF"/>
      <w:lang w:val="en-US"/>
    </w:rPr>
  </w:style>
  <w:style w:type="character" w:customStyle="1" w:styleId="berschrift6Zchn">
    <w:name w:val="Überschrift 6 Zchn"/>
    <w:basedOn w:val="Absatz-Standardschriftart"/>
    <w:link w:val="berschrift6"/>
    <w:uiPriority w:val="9"/>
    <w:semiHidden/>
    <w:rsid w:val="70C520A0"/>
    <w:rPr>
      <w:rFonts w:asciiTheme="minorHAnsi" w:eastAsiaTheme="majorEastAsia" w:hAnsiTheme="minorHAnsi" w:cstheme="majorBidi"/>
      <w:i/>
      <w:iCs/>
      <w:noProof w:val="0"/>
      <w:color w:val="595959" w:themeColor="text1" w:themeTint="A6"/>
      <w:lang w:val="en-US"/>
    </w:rPr>
  </w:style>
  <w:style w:type="character" w:customStyle="1" w:styleId="berschrift7Zchn">
    <w:name w:val="Überschrift 7 Zchn"/>
    <w:basedOn w:val="Absatz-Standardschriftart"/>
    <w:link w:val="berschrift7"/>
    <w:uiPriority w:val="9"/>
    <w:semiHidden/>
    <w:rsid w:val="70C520A0"/>
    <w:rPr>
      <w:rFonts w:asciiTheme="minorHAnsi" w:eastAsiaTheme="majorEastAsia" w:hAnsiTheme="minorHAnsi" w:cstheme="majorBidi"/>
      <w:noProof w:val="0"/>
      <w:color w:val="595959" w:themeColor="text1" w:themeTint="A6"/>
      <w:lang w:val="en-US"/>
    </w:rPr>
  </w:style>
  <w:style w:type="character" w:customStyle="1" w:styleId="berschrift8Zchn">
    <w:name w:val="Überschrift 8 Zchn"/>
    <w:basedOn w:val="Absatz-Standardschriftart"/>
    <w:link w:val="berschrift8"/>
    <w:uiPriority w:val="9"/>
    <w:semiHidden/>
    <w:rsid w:val="70C520A0"/>
    <w:rPr>
      <w:rFonts w:asciiTheme="minorHAnsi" w:eastAsiaTheme="majorEastAsia" w:hAnsiTheme="minorHAnsi" w:cstheme="majorBidi"/>
      <w:i/>
      <w:iCs/>
      <w:noProof w:val="0"/>
      <w:color w:val="272727"/>
      <w:lang w:val="en-US"/>
    </w:rPr>
  </w:style>
  <w:style w:type="character" w:customStyle="1" w:styleId="berschrift9Zchn">
    <w:name w:val="Überschrift 9 Zchn"/>
    <w:basedOn w:val="Absatz-Standardschriftart"/>
    <w:link w:val="berschrift9"/>
    <w:uiPriority w:val="9"/>
    <w:semiHidden/>
    <w:rsid w:val="70C520A0"/>
    <w:rPr>
      <w:rFonts w:asciiTheme="minorHAnsi" w:eastAsiaTheme="majorEastAsia" w:hAnsiTheme="minorHAnsi" w:cstheme="majorBidi"/>
      <w:noProof w:val="0"/>
      <w:color w:val="272727"/>
      <w:lang w:val="en-US"/>
    </w:rPr>
  </w:style>
  <w:style w:type="paragraph" w:styleId="Titel">
    <w:name w:val="Title"/>
    <w:basedOn w:val="Standard"/>
    <w:next w:val="Standard"/>
    <w:link w:val="TitelZchn"/>
    <w:uiPriority w:val="10"/>
    <w:qFormat/>
    <w:rsid w:val="70C520A0"/>
    <w:pPr>
      <w:spacing w:after="80"/>
      <w:contextualSpacing/>
    </w:pPr>
    <w:rPr>
      <w:rFonts w:asciiTheme="majorHAnsi" w:eastAsiaTheme="majorEastAsia" w:hAnsiTheme="majorHAnsi" w:cstheme="majorBidi"/>
      <w:sz w:val="56"/>
      <w:szCs w:val="56"/>
    </w:rPr>
  </w:style>
  <w:style w:type="character" w:customStyle="1" w:styleId="TitelZchn">
    <w:name w:val="Titel Zchn"/>
    <w:basedOn w:val="Absatz-Standardschriftart"/>
    <w:link w:val="Titel"/>
    <w:uiPriority w:val="10"/>
    <w:rsid w:val="70C520A0"/>
    <w:rPr>
      <w:rFonts w:asciiTheme="majorHAnsi" w:eastAsiaTheme="majorEastAsia" w:hAnsiTheme="majorHAnsi" w:cstheme="majorBidi"/>
      <w:noProof w:val="0"/>
      <w:sz w:val="56"/>
      <w:szCs w:val="56"/>
      <w:lang w:val="en-US"/>
    </w:rPr>
  </w:style>
  <w:style w:type="paragraph" w:styleId="Untertitel">
    <w:name w:val="Subtitle"/>
    <w:basedOn w:val="Standard"/>
    <w:next w:val="Standard"/>
    <w:link w:val="UntertitelZchn"/>
    <w:uiPriority w:val="11"/>
    <w:qFormat/>
    <w:rsid w:val="70C520A0"/>
    <w:rPr>
      <w:rFonts w:eastAsiaTheme="majorEastAsia" w:cstheme="majorBidi"/>
      <w:color w:val="595959" w:themeColor="text1" w:themeTint="A6"/>
      <w:sz w:val="28"/>
      <w:szCs w:val="28"/>
    </w:rPr>
  </w:style>
  <w:style w:type="character" w:customStyle="1" w:styleId="UntertitelZchn">
    <w:name w:val="Untertitel Zchn"/>
    <w:basedOn w:val="Absatz-Standardschriftart"/>
    <w:link w:val="Untertitel"/>
    <w:uiPriority w:val="11"/>
    <w:rsid w:val="70C520A0"/>
    <w:rPr>
      <w:rFonts w:asciiTheme="minorHAnsi" w:eastAsiaTheme="majorEastAsia" w:hAnsiTheme="minorHAnsi" w:cstheme="majorBidi"/>
      <w:noProof w:val="0"/>
      <w:color w:val="595959" w:themeColor="text1" w:themeTint="A6"/>
      <w:sz w:val="28"/>
      <w:szCs w:val="28"/>
      <w:lang w:val="en-US"/>
    </w:rPr>
  </w:style>
  <w:style w:type="paragraph" w:styleId="Zitat">
    <w:name w:val="Quote"/>
    <w:basedOn w:val="Standard"/>
    <w:next w:val="Standard"/>
    <w:link w:val="ZitatZchn"/>
    <w:uiPriority w:val="29"/>
    <w:qFormat/>
    <w:rsid w:val="70C520A0"/>
    <w:pPr>
      <w:spacing w:before="160"/>
      <w:jc w:val="center"/>
    </w:pPr>
    <w:rPr>
      <w:i/>
      <w:iCs/>
      <w:color w:val="404040" w:themeColor="text1" w:themeTint="BF"/>
    </w:rPr>
  </w:style>
  <w:style w:type="character" w:customStyle="1" w:styleId="ZitatZchn">
    <w:name w:val="Zitat Zchn"/>
    <w:basedOn w:val="Absatz-Standardschriftart"/>
    <w:link w:val="Zitat"/>
    <w:uiPriority w:val="29"/>
    <w:rsid w:val="70C520A0"/>
    <w:rPr>
      <w:i/>
      <w:iCs/>
      <w:noProof w:val="0"/>
      <w:color w:val="404040" w:themeColor="text1" w:themeTint="BF"/>
      <w:lang w:val="en-US"/>
    </w:rPr>
  </w:style>
  <w:style w:type="paragraph" w:styleId="Listenabsatz">
    <w:name w:val="List Paragraph"/>
    <w:basedOn w:val="Standard"/>
    <w:uiPriority w:val="34"/>
    <w:qFormat/>
    <w:rsid w:val="70C520A0"/>
    <w:pPr>
      <w:ind w:left="720"/>
      <w:contextualSpacing/>
    </w:pPr>
  </w:style>
  <w:style w:type="character" w:styleId="IntensiveHervorhebung">
    <w:name w:val="Intense Emphasis"/>
    <w:basedOn w:val="Absatz-Standardschriftart"/>
    <w:uiPriority w:val="21"/>
    <w:qFormat/>
    <w:rsid w:val="002C16AD"/>
    <w:rPr>
      <w:i/>
      <w:iCs/>
      <w:color w:val="0F4761" w:themeColor="accent1" w:themeShade="BF"/>
    </w:rPr>
  </w:style>
  <w:style w:type="paragraph" w:styleId="IntensivesZitat">
    <w:name w:val="Intense Quote"/>
    <w:basedOn w:val="Standard"/>
    <w:next w:val="Standard"/>
    <w:link w:val="IntensivesZitatZchn"/>
    <w:uiPriority w:val="30"/>
    <w:qFormat/>
    <w:rsid w:val="70C520A0"/>
    <w:pP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70C520A0"/>
    <w:rPr>
      <w:i/>
      <w:iCs/>
      <w:noProof w:val="0"/>
      <w:color w:val="0F4761" w:themeColor="accent1" w:themeShade="BF"/>
      <w:lang w:val="en-US"/>
    </w:rPr>
  </w:style>
  <w:style w:type="character" w:styleId="IntensiverVerweis">
    <w:name w:val="Intense Reference"/>
    <w:basedOn w:val="Absatz-Standardschriftart"/>
    <w:uiPriority w:val="32"/>
    <w:qFormat/>
    <w:rsid w:val="002C16AD"/>
    <w:rPr>
      <w:b/>
      <w:bCs/>
      <w:smallCaps/>
      <w:color w:val="0F4761" w:themeColor="accent1" w:themeShade="BF"/>
      <w:spacing w:val="5"/>
    </w:rPr>
  </w:style>
  <w:style w:type="paragraph" w:styleId="StandardWeb">
    <w:name w:val="Normal (Web)"/>
    <w:basedOn w:val="Standard"/>
    <w:uiPriority w:val="99"/>
    <w:unhideWhenUsed/>
    <w:rsid w:val="70C520A0"/>
    <w:pPr>
      <w:spacing w:beforeAutospacing="1" w:afterAutospacing="1"/>
    </w:pPr>
    <w:rPr>
      <w:rFonts w:ascii="Times New Roman" w:eastAsia="Times New Roman" w:hAnsi="Times New Roman" w:cs="Times New Roman"/>
    </w:rPr>
  </w:style>
  <w:style w:type="character" w:styleId="Hyperlink">
    <w:name w:val="Hyperlink"/>
    <w:basedOn w:val="Absatz-Standardschriftart"/>
    <w:uiPriority w:val="99"/>
    <w:unhideWhenUsed/>
    <w:rsid w:val="002C16AD"/>
    <w:rPr>
      <w:color w:val="0000FF"/>
      <w:u w:val="single"/>
    </w:rPr>
  </w:style>
  <w:style w:type="character" w:customStyle="1" w:styleId="apple-tab-span">
    <w:name w:val="apple-tab-span"/>
    <w:basedOn w:val="Absatz-Standardschriftart"/>
    <w:rsid w:val="002C16AD"/>
  </w:style>
  <w:style w:type="character" w:styleId="Platzhaltertext">
    <w:name w:val="Placeholder Text"/>
    <w:basedOn w:val="Absatz-Standardschriftart"/>
    <w:uiPriority w:val="99"/>
    <w:semiHidden/>
    <w:rsid w:val="002C16AD"/>
    <w:rPr>
      <w:color w:val="666666"/>
    </w:rPr>
  </w:style>
  <w:style w:type="paragraph" w:customStyle="1" w:styleId="v1elementtoproof">
    <w:name w:val="v1elementtoproof"/>
    <w:basedOn w:val="Standard"/>
    <w:uiPriority w:val="1"/>
    <w:rsid w:val="70C520A0"/>
    <w:pPr>
      <w:spacing w:beforeAutospacing="1" w:afterAutospacing="1"/>
    </w:pPr>
    <w:rPr>
      <w:rFonts w:ascii="Times New Roman" w:eastAsia="Times New Roman" w:hAnsi="Times New Roman" w:cs="Times New Roman"/>
    </w:rPr>
  </w:style>
  <w:style w:type="character" w:styleId="Kommentarzeichen">
    <w:name w:val="annotation reference"/>
    <w:basedOn w:val="Absatz-Standardschriftart"/>
    <w:uiPriority w:val="99"/>
    <w:semiHidden/>
    <w:unhideWhenUsed/>
    <w:rsid w:val="00723DE0"/>
    <w:rPr>
      <w:sz w:val="16"/>
      <w:szCs w:val="16"/>
    </w:rPr>
  </w:style>
  <w:style w:type="paragraph" w:styleId="Kommentartext">
    <w:name w:val="annotation text"/>
    <w:basedOn w:val="Standard"/>
    <w:link w:val="KommentartextZchn"/>
    <w:uiPriority w:val="99"/>
    <w:unhideWhenUsed/>
    <w:rsid w:val="70C520A0"/>
    <w:rPr>
      <w:sz w:val="20"/>
      <w:szCs w:val="20"/>
    </w:rPr>
  </w:style>
  <w:style w:type="character" w:customStyle="1" w:styleId="KommentartextZchn">
    <w:name w:val="Kommentartext Zchn"/>
    <w:basedOn w:val="Absatz-Standardschriftart"/>
    <w:link w:val="Kommentartext"/>
    <w:uiPriority w:val="99"/>
    <w:rsid w:val="70C520A0"/>
    <w:rPr>
      <w:noProof w:val="0"/>
      <w:sz w:val="20"/>
      <w:szCs w:val="20"/>
      <w:lang w:val="en-US"/>
    </w:rPr>
  </w:style>
  <w:style w:type="paragraph" w:styleId="Kommentarthema">
    <w:name w:val="annotation subject"/>
    <w:basedOn w:val="Kommentartext"/>
    <w:next w:val="Kommentartext"/>
    <w:link w:val="KommentarthemaZchn"/>
    <w:uiPriority w:val="99"/>
    <w:semiHidden/>
    <w:unhideWhenUsed/>
    <w:rsid w:val="70C520A0"/>
    <w:rPr>
      <w:b/>
      <w:bCs/>
    </w:rPr>
  </w:style>
  <w:style w:type="character" w:customStyle="1" w:styleId="KommentarthemaZchn">
    <w:name w:val="Kommentarthema Zchn"/>
    <w:basedOn w:val="KommentartextZchn"/>
    <w:link w:val="Kommentarthema"/>
    <w:uiPriority w:val="99"/>
    <w:semiHidden/>
    <w:rsid w:val="70C520A0"/>
    <w:rPr>
      <w:b/>
      <w:bCs/>
      <w:noProof w:val="0"/>
      <w:sz w:val="20"/>
      <w:szCs w:val="20"/>
      <w:lang w:val="en-US"/>
    </w:rPr>
  </w:style>
  <w:style w:type="paragraph" w:styleId="berarbeitung">
    <w:name w:val="Revision"/>
    <w:hidden/>
    <w:uiPriority w:val="99"/>
    <w:semiHidden/>
    <w:rsid w:val="00146F1E"/>
    <w:pPr>
      <w:spacing w:after="0" w:line="240" w:lineRule="auto"/>
    </w:pPr>
  </w:style>
  <w:style w:type="table" w:styleId="Tabellenraster">
    <w:name w:val="Table Grid"/>
    <w:basedOn w:val="NormaleTabelle"/>
    <w:uiPriority w:val="39"/>
    <w:rsid w:val="001D0D6B"/>
    <w:pPr>
      <w:spacing w:after="0" w:line="240" w:lineRule="auto"/>
    </w:pPr>
    <w:rPr>
      <w:kern w:val="0"/>
      <w:sz w:val="22"/>
      <w:szCs w:val="22"/>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Absatz-Standardschriftart"/>
    <w:rsid w:val="00E874EC"/>
    <w:rPr>
      <w:rFonts w:ascii="Segoe UI" w:hAnsi="Segoe UI" w:cs="Segoe UI" w:hint="default"/>
      <w:sz w:val="18"/>
      <w:szCs w:val="18"/>
    </w:rPr>
  </w:style>
  <w:style w:type="paragraph" w:styleId="Verzeichnis1">
    <w:name w:val="toc 1"/>
    <w:basedOn w:val="Standard"/>
    <w:next w:val="Standard"/>
    <w:uiPriority w:val="39"/>
    <w:unhideWhenUsed/>
    <w:rsid w:val="70C520A0"/>
    <w:pPr>
      <w:spacing w:after="100"/>
    </w:pPr>
  </w:style>
  <w:style w:type="paragraph" w:styleId="Verzeichnis2">
    <w:name w:val="toc 2"/>
    <w:basedOn w:val="Standard"/>
    <w:next w:val="Standard"/>
    <w:uiPriority w:val="39"/>
    <w:unhideWhenUsed/>
    <w:rsid w:val="70C520A0"/>
    <w:pPr>
      <w:spacing w:after="100"/>
      <w:ind w:left="220"/>
    </w:pPr>
  </w:style>
  <w:style w:type="paragraph" w:styleId="Verzeichnis3">
    <w:name w:val="toc 3"/>
    <w:basedOn w:val="Standard"/>
    <w:next w:val="Standard"/>
    <w:uiPriority w:val="39"/>
    <w:unhideWhenUsed/>
    <w:rsid w:val="70C520A0"/>
    <w:pPr>
      <w:spacing w:after="100"/>
      <w:ind w:left="440"/>
    </w:pPr>
  </w:style>
  <w:style w:type="paragraph" w:styleId="Verzeichnis4">
    <w:name w:val="toc 4"/>
    <w:basedOn w:val="Standard"/>
    <w:next w:val="Standard"/>
    <w:uiPriority w:val="39"/>
    <w:unhideWhenUsed/>
    <w:rsid w:val="70C520A0"/>
    <w:pPr>
      <w:spacing w:after="100"/>
      <w:ind w:left="660"/>
    </w:pPr>
  </w:style>
  <w:style w:type="paragraph" w:styleId="Verzeichnis5">
    <w:name w:val="toc 5"/>
    <w:basedOn w:val="Standard"/>
    <w:next w:val="Standard"/>
    <w:uiPriority w:val="39"/>
    <w:unhideWhenUsed/>
    <w:rsid w:val="70C520A0"/>
    <w:pPr>
      <w:spacing w:after="100"/>
      <w:ind w:left="880"/>
    </w:pPr>
  </w:style>
  <w:style w:type="paragraph" w:styleId="Verzeichnis6">
    <w:name w:val="toc 6"/>
    <w:basedOn w:val="Standard"/>
    <w:next w:val="Standard"/>
    <w:uiPriority w:val="39"/>
    <w:unhideWhenUsed/>
    <w:rsid w:val="70C520A0"/>
    <w:pPr>
      <w:spacing w:after="100"/>
      <w:ind w:left="1100"/>
    </w:pPr>
  </w:style>
  <w:style w:type="paragraph" w:styleId="Verzeichnis7">
    <w:name w:val="toc 7"/>
    <w:basedOn w:val="Standard"/>
    <w:next w:val="Standard"/>
    <w:uiPriority w:val="39"/>
    <w:unhideWhenUsed/>
    <w:rsid w:val="70C520A0"/>
    <w:pPr>
      <w:spacing w:after="100"/>
      <w:ind w:left="1320"/>
    </w:pPr>
  </w:style>
  <w:style w:type="paragraph" w:styleId="Verzeichnis8">
    <w:name w:val="toc 8"/>
    <w:basedOn w:val="Standard"/>
    <w:next w:val="Standard"/>
    <w:uiPriority w:val="39"/>
    <w:unhideWhenUsed/>
    <w:rsid w:val="70C520A0"/>
    <w:pPr>
      <w:spacing w:after="100"/>
      <w:ind w:left="1540"/>
    </w:pPr>
  </w:style>
  <w:style w:type="paragraph" w:styleId="Verzeichnis9">
    <w:name w:val="toc 9"/>
    <w:basedOn w:val="Standard"/>
    <w:next w:val="Standard"/>
    <w:uiPriority w:val="39"/>
    <w:unhideWhenUsed/>
    <w:rsid w:val="70C520A0"/>
    <w:pPr>
      <w:spacing w:after="100"/>
      <w:ind w:left="1760"/>
    </w:pPr>
  </w:style>
  <w:style w:type="paragraph" w:styleId="Endnotentext">
    <w:name w:val="endnote text"/>
    <w:basedOn w:val="Standard"/>
    <w:link w:val="EndnotentextZchn"/>
    <w:uiPriority w:val="99"/>
    <w:semiHidden/>
    <w:unhideWhenUsed/>
    <w:rsid w:val="70C520A0"/>
    <w:pPr>
      <w:spacing w:after="0"/>
    </w:pPr>
    <w:rPr>
      <w:sz w:val="20"/>
      <w:szCs w:val="20"/>
    </w:rPr>
  </w:style>
  <w:style w:type="character" w:customStyle="1" w:styleId="EndnotentextZchn">
    <w:name w:val="Endnotentext Zchn"/>
    <w:basedOn w:val="Absatz-Standardschriftart"/>
    <w:link w:val="Endnotentext"/>
    <w:uiPriority w:val="99"/>
    <w:semiHidden/>
    <w:rsid w:val="70C520A0"/>
    <w:rPr>
      <w:noProof w:val="0"/>
      <w:sz w:val="20"/>
      <w:szCs w:val="20"/>
      <w:lang w:val="en-US"/>
    </w:rPr>
  </w:style>
  <w:style w:type="paragraph" w:styleId="Fuzeile">
    <w:name w:val="footer"/>
    <w:basedOn w:val="Standard"/>
    <w:link w:val="FuzeileZchn"/>
    <w:uiPriority w:val="99"/>
    <w:unhideWhenUsed/>
    <w:rsid w:val="70C520A0"/>
    <w:pPr>
      <w:tabs>
        <w:tab w:val="center" w:pos="4680"/>
        <w:tab w:val="right" w:pos="9360"/>
      </w:tabs>
      <w:spacing w:after="0"/>
    </w:pPr>
  </w:style>
  <w:style w:type="character" w:customStyle="1" w:styleId="FuzeileZchn">
    <w:name w:val="Fußzeile Zchn"/>
    <w:basedOn w:val="Absatz-Standardschriftart"/>
    <w:link w:val="Fuzeile"/>
    <w:uiPriority w:val="99"/>
    <w:rsid w:val="70C520A0"/>
    <w:rPr>
      <w:noProof w:val="0"/>
      <w:lang w:val="en-US"/>
    </w:rPr>
  </w:style>
  <w:style w:type="paragraph" w:styleId="Funotentext">
    <w:name w:val="footnote text"/>
    <w:basedOn w:val="Standard"/>
    <w:link w:val="FunotentextZchn"/>
    <w:uiPriority w:val="99"/>
    <w:semiHidden/>
    <w:unhideWhenUsed/>
    <w:rsid w:val="70C520A0"/>
    <w:pPr>
      <w:spacing w:after="0"/>
    </w:pPr>
    <w:rPr>
      <w:sz w:val="20"/>
      <w:szCs w:val="20"/>
    </w:rPr>
  </w:style>
  <w:style w:type="character" w:customStyle="1" w:styleId="FunotentextZchn">
    <w:name w:val="Fußnotentext Zchn"/>
    <w:basedOn w:val="Absatz-Standardschriftart"/>
    <w:link w:val="Funotentext"/>
    <w:uiPriority w:val="99"/>
    <w:semiHidden/>
    <w:rsid w:val="70C520A0"/>
    <w:rPr>
      <w:noProof w:val="0"/>
      <w:sz w:val="20"/>
      <w:szCs w:val="20"/>
      <w:lang w:val="en-US"/>
    </w:rPr>
  </w:style>
  <w:style w:type="paragraph" w:styleId="Kopfzeile">
    <w:name w:val="header"/>
    <w:basedOn w:val="Standard"/>
    <w:link w:val="KopfzeileZchn"/>
    <w:uiPriority w:val="99"/>
    <w:unhideWhenUsed/>
    <w:rsid w:val="70C520A0"/>
    <w:pPr>
      <w:tabs>
        <w:tab w:val="center" w:pos="4680"/>
        <w:tab w:val="right" w:pos="9360"/>
      </w:tabs>
      <w:spacing w:after="0"/>
    </w:pPr>
  </w:style>
  <w:style w:type="character" w:customStyle="1" w:styleId="KopfzeileZchn">
    <w:name w:val="Kopfzeile Zchn"/>
    <w:basedOn w:val="Absatz-Standardschriftart"/>
    <w:link w:val="Kopfzeile"/>
    <w:uiPriority w:val="99"/>
    <w:rsid w:val="70C520A0"/>
    <w:rPr>
      <w:noProof w:val="0"/>
      <w:lang w:val="en-US"/>
    </w:rPr>
  </w:style>
  <w:style w:type="character" w:customStyle="1" w:styleId="c-bibliographic-informationvalue">
    <w:name w:val="c-bibliographic-information__value"/>
    <w:basedOn w:val="Absatz-Standardschriftart"/>
    <w:rsid w:val="00AE1CFA"/>
  </w:style>
  <w:style w:type="character" w:customStyle="1" w:styleId="citation-doi">
    <w:name w:val="citation-doi"/>
    <w:basedOn w:val="Absatz-Standardschriftart"/>
    <w:rsid w:val="00AE1CFA"/>
  </w:style>
  <w:style w:type="character" w:customStyle="1" w:styleId="NichtaufgelsteErwhnung1">
    <w:name w:val="Nicht aufgelöste Erwähnung1"/>
    <w:basedOn w:val="Absatz-Standardschriftart"/>
    <w:uiPriority w:val="99"/>
    <w:semiHidden/>
    <w:unhideWhenUsed/>
    <w:rsid w:val="00645A72"/>
    <w:rPr>
      <w:color w:val="605E5C"/>
      <w:shd w:val="clear" w:color="auto" w:fill="E1DFDD"/>
    </w:rPr>
  </w:style>
  <w:style w:type="character" w:styleId="Zeilennummer">
    <w:name w:val="line number"/>
    <w:basedOn w:val="Absatz-Standardschriftart"/>
    <w:uiPriority w:val="99"/>
    <w:semiHidden/>
    <w:unhideWhenUsed/>
    <w:rsid w:val="00C71D14"/>
  </w:style>
  <w:style w:type="character" w:styleId="Fett">
    <w:name w:val="Strong"/>
    <w:basedOn w:val="Absatz-Standardschriftart"/>
    <w:uiPriority w:val="22"/>
    <w:qFormat/>
    <w:rsid w:val="00ED47C1"/>
    <w:rPr>
      <w:b/>
      <w:bCs/>
    </w:rPr>
  </w:style>
  <w:style w:type="paragraph" w:styleId="Sprechblasentext">
    <w:name w:val="Balloon Text"/>
    <w:basedOn w:val="Standard"/>
    <w:link w:val="SprechblasentextZchn"/>
    <w:uiPriority w:val="99"/>
    <w:semiHidden/>
    <w:unhideWhenUsed/>
    <w:rsid w:val="002908E2"/>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908E2"/>
    <w:rPr>
      <w:rFonts w:ascii="Segoe UI" w:hAnsi="Segoe UI" w:cs="Segoe UI"/>
      <w:sz w:val="18"/>
      <w:szCs w:val="18"/>
      <w:lang w:val="en-US"/>
    </w:rPr>
  </w:style>
  <w:style w:type="character" w:styleId="NichtaufgelsteErwhnung">
    <w:name w:val="Unresolved Mention"/>
    <w:basedOn w:val="Absatz-Standardschriftart"/>
    <w:uiPriority w:val="99"/>
    <w:semiHidden/>
    <w:unhideWhenUsed/>
    <w:rsid w:val="000E6D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272082">
      <w:bodyDiv w:val="1"/>
      <w:marLeft w:val="0"/>
      <w:marRight w:val="0"/>
      <w:marTop w:val="0"/>
      <w:marBottom w:val="0"/>
      <w:divBdr>
        <w:top w:val="none" w:sz="0" w:space="0" w:color="auto"/>
        <w:left w:val="none" w:sz="0" w:space="0" w:color="auto"/>
        <w:bottom w:val="none" w:sz="0" w:space="0" w:color="auto"/>
        <w:right w:val="none" w:sz="0" w:space="0" w:color="auto"/>
      </w:divBdr>
    </w:div>
    <w:div w:id="133452314">
      <w:bodyDiv w:val="1"/>
      <w:marLeft w:val="0"/>
      <w:marRight w:val="0"/>
      <w:marTop w:val="0"/>
      <w:marBottom w:val="0"/>
      <w:divBdr>
        <w:top w:val="none" w:sz="0" w:space="0" w:color="auto"/>
        <w:left w:val="none" w:sz="0" w:space="0" w:color="auto"/>
        <w:bottom w:val="none" w:sz="0" w:space="0" w:color="auto"/>
        <w:right w:val="none" w:sz="0" w:space="0" w:color="auto"/>
      </w:divBdr>
    </w:div>
    <w:div w:id="137379730">
      <w:bodyDiv w:val="1"/>
      <w:marLeft w:val="0"/>
      <w:marRight w:val="0"/>
      <w:marTop w:val="0"/>
      <w:marBottom w:val="0"/>
      <w:divBdr>
        <w:top w:val="none" w:sz="0" w:space="0" w:color="auto"/>
        <w:left w:val="none" w:sz="0" w:space="0" w:color="auto"/>
        <w:bottom w:val="none" w:sz="0" w:space="0" w:color="auto"/>
        <w:right w:val="none" w:sz="0" w:space="0" w:color="auto"/>
      </w:divBdr>
    </w:div>
    <w:div w:id="164633513">
      <w:bodyDiv w:val="1"/>
      <w:marLeft w:val="0"/>
      <w:marRight w:val="0"/>
      <w:marTop w:val="0"/>
      <w:marBottom w:val="0"/>
      <w:divBdr>
        <w:top w:val="none" w:sz="0" w:space="0" w:color="auto"/>
        <w:left w:val="none" w:sz="0" w:space="0" w:color="auto"/>
        <w:bottom w:val="none" w:sz="0" w:space="0" w:color="auto"/>
        <w:right w:val="none" w:sz="0" w:space="0" w:color="auto"/>
      </w:divBdr>
    </w:div>
    <w:div w:id="175778699">
      <w:bodyDiv w:val="1"/>
      <w:marLeft w:val="0"/>
      <w:marRight w:val="0"/>
      <w:marTop w:val="0"/>
      <w:marBottom w:val="0"/>
      <w:divBdr>
        <w:top w:val="none" w:sz="0" w:space="0" w:color="auto"/>
        <w:left w:val="none" w:sz="0" w:space="0" w:color="auto"/>
        <w:bottom w:val="none" w:sz="0" w:space="0" w:color="auto"/>
        <w:right w:val="none" w:sz="0" w:space="0" w:color="auto"/>
      </w:divBdr>
    </w:div>
    <w:div w:id="315424804">
      <w:bodyDiv w:val="1"/>
      <w:marLeft w:val="0"/>
      <w:marRight w:val="0"/>
      <w:marTop w:val="0"/>
      <w:marBottom w:val="0"/>
      <w:divBdr>
        <w:top w:val="none" w:sz="0" w:space="0" w:color="auto"/>
        <w:left w:val="none" w:sz="0" w:space="0" w:color="auto"/>
        <w:bottom w:val="none" w:sz="0" w:space="0" w:color="auto"/>
        <w:right w:val="none" w:sz="0" w:space="0" w:color="auto"/>
      </w:divBdr>
    </w:div>
    <w:div w:id="336345347">
      <w:bodyDiv w:val="1"/>
      <w:marLeft w:val="0"/>
      <w:marRight w:val="0"/>
      <w:marTop w:val="0"/>
      <w:marBottom w:val="0"/>
      <w:divBdr>
        <w:top w:val="none" w:sz="0" w:space="0" w:color="auto"/>
        <w:left w:val="none" w:sz="0" w:space="0" w:color="auto"/>
        <w:bottom w:val="none" w:sz="0" w:space="0" w:color="auto"/>
        <w:right w:val="none" w:sz="0" w:space="0" w:color="auto"/>
      </w:divBdr>
    </w:div>
    <w:div w:id="383406479">
      <w:bodyDiv w:val="1"/>
      <w:marLeft w:val="0"/>
      <w:marRight w:val="0"/>
      <w:marTop w:val="0"/>
      <w:marBottom w:val="0"/>
      <w:divBdr>
        <w:top w:val="none" w:sz="0" w:space="0" w:color="auto"/>
        <w:left w:val="none" w:sz="0" w:space="0" w:color="auto"/>
        <w:bottom w:val="none" w:sz="0" w:space="0" w:color="auto"/>
        <w:right w:val="none" w:sz="0" w:space="0" w:color="auto"/>
      </w:divBdr>
    </w:div>
    <w:div w:id="562956034">
      <w:bodyDiv w:val="1"/>
      <w:marLeft w:val="0"/>
      <w:marRight w:val="0"/>
      <w:marTop w:val="0"/>
      <w:marBottom w:val="0"/>
      <w:divBdr>
        <w:top w:val="none" w:sz="0" w:space="0" w:color="auto"/>
        <w:left w:val="none" w:sz="0" w:space="0" w:color="auto"/>
        <w:bottom w:val="none" w:sz="0" w:space="0" w:color="auto"/>
        <w:right w:val="none" w:sz="0" w:space="0" w:color="auto"/>
      </w:divBdr>
    </w:div>
    <w:div w:id="613294606">
      <w:bodyDiv w:val="1"/>
      <w:marLeft w:val="0"/>
      <w:marRight w:val="0"/>
      <w:marTop w:val="0"/>
      <w:marBottom w:val="0"/>
      <w:divBdr>
        <w:top w:val="none" w:sz="0" w:space="0" w:color="auto"/>
        <w:left w:val="none" w:sz="0" w:space="0" w:color="auto"/>
        <w:bottom w:val="none" w:sz="0" w:space="0" w:color="auto"/>
        <w:right w:val="none" w:sz="0" w:space="0" w:color="auto"/>
      </w:divBdr>
    </w:div>
    <w:div w:id="662468137">
      <w:bodyDiv w:val="1"/>
      <w:marLeft w:val="0"/>
      <w:marRight w:val="0"/>
      <w:marTop w:val="0"/>
      <w:marBottom w:val="0"/>
      <w:divBdr>
        <w:top w:val="none" w:sz="0" w:space="0" w:color="auto"/>
        <w:left w:val="none" w:sz="0" w:space="0" w:color="auto"/>
        <w:bottom w:val="none" w:sz="0" w:space="0" w:color="auto"/>
        <w:right w:val="none" w:sz="0" w:space="0" w:color="auto"/>
      </w:divBdr>
    </w:div>
    <w:div w:id="817576351">
      <w:bodyDiv w:val="1"/>
      <w:marLeft w:val="0"/>
      <w:marRight w:val="0"/>
      <w:marTop w:val="0"/>
      <w:marBottom w:val="0"/>
      <w:divBdr>
        <w:top w:val="none" w:sz="0" w:space="0" w:color="auto"/>
        <w:left w:val="none" w:sz="0" w:space="0" w:color="auto"/>
        <w:bottom w:val="none" w:sz="0" w:space="0" w:color="auto"/>
        <w:right w:val="none" w:sz="0" w:space="0" w:color="auto"/>
      </w:divBdr>
    </w:div>
    <w:div w:id="855772445">
      <w:bodyDiv w:val="1"/>
      <w:marLeft w:val="0"/>
      <w:marRight w:val="0"/>
      <w:marTop w:val="0"/>
      <w:marBottom w:val="0"/>
      <w:divBdr>
        <w:top w:val="none" w:sz="0" w:space="0" w:color="auto"/>
        <w:left w:val="none" w:sz="0" w:space="0" w:color="auto"/>
        <w:bottom w:val="none" w:sz="0" w:space="0" w:color="auto"/>
        <w:right w:val="none" w:sz="0" w:space="0" w:color="auto"/>
      </w:divBdr>
    </w:div>
    <w:div w:id="1008941964">
      <w:bodyDiv w:val="1"/>
      <w:marLeft w:val="0"/>
      <w:marRight w:val="0"/>
      <w:marTop w:val="0"/>
      <w:marBottom w:val="0"/>
      <w:divBdr>
        <w:top w:val="none" w:sz="0" w:space="0" w:color="auto"/>
        <w:left w:val="none" w:sz="0" w:space="0" w:color="auto"/>
        <w:bottom w:val="none" w:sz="0" w:space="0" w:color="auto"/>
        <w:right w:val="none" w:sz="0" w:space="0" w:color="auto"/>
      </w:divBdr>
    </w:div>
    <w:div w:id="1100566461">
      <w:bodyDiv w:val="1"/>
      <w:marLeft w:val="0"/>
      <w:marRight w:val="0"/>
      <w:marTop w:val="0"/>
      <w:marBottom w:val="0"/>
      <w:divBdr>
        <w:top w:val="none" w:sz="0" w:space="0" w:color="auto"/>
        <w:left w:val="none" w:sz="0" w:space="0" w:color="auto"/>
        <w:bottom w:val="none" w:sz="0" w:space="0" w:color="auto"/>
        <w:right w:val="none" w:sz="0" w:space="0" w:color="auto"/>
      </w:divBdr>
    </w:div>
    <w:div w:id="1121152500">
      <w:bodyDiv w:val="1"/>
      <w:marLeft w:val="0"/>
      <w:marRight w:val="0"/>
      <w:marTop w:val="0"/>
      <w:marBottom w:val="0"/>
      <w:divBdr>
        <w:top w:val="none" w:sz="0" w:space="0" w:color="auto"/>
        <w:left w:val="none" w:sz="0" w:space="0" w:color="auto"/>
        <w:bottom w:val="none" w:sz="0" w:space="0" w:color="auto"/>
        <w:right w:val="none" w:sz="0" w:space="0" w:color="auto"/>
      </w:divBdr>
    </w:div>
    <w:div w:id="1137527155">
      <w:bodyDiv w:val="1"/>
      <w:marLeft w:val="0"/>
      <w:marRight w:val="0"/>
      <w:marTop w:val="0"/>
      <w:marBottom w:val="0"/>
      <w:divBdr>
        <w:top w:val="none" w:sz="0" w:space="0" w:color="auto"/>
        <w:left w:val="none" w:sz="0" w:space="0" w:color="auto"/>
        <w:bottom w:val="none" w:sz="0" w:space="0" w:color="auto"/>
        <w:right w:val="none" w:sz="0" w:space="0" w:color="auto"/>
      </w:divBdr>
      <w:divsChild>
        <w:div w:id="1427112315">
          <w:marLeft w:val="480"/>
          <w:marRight w:val="0"/>
          <w:marTop w:val="0"/>
          <w:marBottom w:val="0"/>
          <w:divBdr>
            <w:top w:val="none" w:sz="0" w:space="0" w:color="auto"/>
            <w:left w:val="none" w:sz="0" w:space="0" w:color="auto"/>
            <w:bottom w:val="none" w:sz="0" w:space="0" w:color="auto"/>
            <w:right w:val="none" w:sz="0" w:space="0" w:color="auto"/>
          </w:divBdr>
        </w:div>
        <w:div w:id="1650793175">
          <w:marLeft w:val="480"/>
          <w:marRight w:val="0"/>
          <w:marTop w:val="0"/>
          <w:marBottom w:val="0"/>
          <w:divBdr>
            <w:top w:val="none" w:sz="0" w:space="0" w:color="auto"/>
            <w:left w:val="none" w:sz="0" w:space="0" w:color="auto"/>
            <w:bottom w:val="none" w:sz="0" w:space="0" w:color="auto"/>
            <w:right w:val="none" w:sz="0" w:space="0" w:color="auto"/>
          </w:divBdr>
        </w:div>
        <w:div w:id="1717852163">
          <w:marLeft w:val="480"/>
          <w:marRight w:val="0"/>
          <w:marTop w:val="0"/>
          <w:marBottom w:val="0"/>
          <w:divBdr>
            <w:top w:val="none" w:sz="0" w:space="0" w:color="auto"/>
            <w:left w:val="none" w:sz="0" w:space="0" w:color="auto"/>
            <w:bottom w:val="none" w:sz="0" w:space="0" w:color="auto"/>
            <w:right w:val="none" w:sz="0" w:space="0" w:color="auto"/>
          </w:divBdr>
        </w:div>
        <w:div w:id="1249577989">
          <w:marLeft w:val="480"/>
          <w:marRight w:val="0"/>
          <w:marTop w:val="0"/>
          <w:marBottom w:val="0"/>
          <w:divBdr>
            <w:top w:val="none" w:sz="0" w:space="0" w:color="auto"/>
            <w:left w:val="none" w:sz="0" w:space="0" w:color="auto"/>
            <w:bottom w:val="none" w:sz="0" w:space="0" w:color="auto"/>
            <w:right w:val="none" w:sz="0" w:space="0" w:color="auto"/>
          </w:divBdr>
        </w:div>
        <w:div w:id="1969582444">
          <w:marLeft w:val="480"/>
          <w:marRight w:val="0"/>
          <w:marTop w:val="0"/>
          <w:marBottom w:val="0"/>
          <w:divBdr>
            <w:top w:val="none" w:sz="0" w:space="0" w:color="auto"/>
            <w:left w:val="none" w:sz="0" w:space="0" w:color="auto"/>
            <w:bottom w:val="none" w:sz="0" w:space="0" w:color="auto"/>
            <w:right w:val="none" w:sz="0" w:space="0" w:color="auto"/>
          </w:divBdr>
        </w:div>
        <w:div w:id="231501857">
          <w:marLeft w:val="480"/>
          <w:marRight w:val="0"/>
          <w:marTop w:val="0"/>
          <w:marBottom w:val="0"/>
          <w:divBdr>
            <w:top w:val="none" w:sz="0" w:space="0" w:color="auto"/>
            <w:left w:val="none" w:sz="0" w:space="0" w:color="auto"/>
            <w:bottom w:val="none" w:sz="0" w:space="0" w:color="auto"/>
            <w:right w:val="none" w:sz="0" w:space="0" w:color="auto"/>
          </w:divBdr>
        </w:div>
        <w:div w:id="584416230">
          <w:marLeft w:val="480"/>
          <w:marRight w:val="0"/>
          <w:marTop w:val="0"/>
          <w:marBottom w:val="0"/>
          <w:divBdr>
            <w:top w:val="none" w:sz="0" w:space="0" w:color="auto"/>
            <w:left w:val="none" w:sz="0" w:space="0" w:color="auto"/>
            <w:bottom w:val="none" w:sz="0" w:space="0" w:color="auto"/>
            <w:right w:val="none" w:sz="0" w:space="0" w:color="auto"/>
          </w:divBdr>
        </w:div>
      </w:divsChild>
    </w:div>
    <w:div w:id="1167407775">
      <w:bodyDiv w:val="1"/>
      <w:marLeft w:val="0"/>
      <w:marRight w:val="0"/>
      <w:marTop w:val="0"/>
      <w:marBottom w:val="0"/>
      <w:divBdr>
        <w:top w:val="none" w:sz="0" w:space="0" w:color="auto"/>
        <w:left w:val="none" w:sz="0" w:space="0" w:color="auto"/>
        <w:bottom w:val="none" w:sz="0" w:space="0" w:color="auto"/>
        <w:right w:val="none" w:sz="0" w:space="0" w:color="auto"/>
      </w:divBdr>
    </w:div>
    <w:div w:id="1200970430">
      <w:bodyDiv w:val="1"/>
      <w:marLeft w:val="0"/>
      <w:marRight w:val="0"/>
      <w:marTop w:val="0"/>
      <w:marBottom w:val="0"/>
      <w:divBdr>
        <w:top w:val="none" w:sz="0" w:space="0" w:color="auto"/>
        <w:left w:val="none" w:sz="0" w:space="0" w:color="auto"/>
        <w:bottom w:val="none" w:sz="0" w:space="0" w:color="auto"/>
        <w:right w:val="none" w:sz="0" w:space="0" w:color="auto"/>
      </w:divBdr>
    </w:div>
    <w:div w:id="1286039350">
      <w:bodyDiv w:val="1"/>
      <w:marLeft w:val="0"/>
      <w:marRight w:val="0"/>
      <w:marTop w:val="0"/>
      <w:marBottom w:val="0"/>
      <w:divBdr>
        <w:top w:val="none" w:sz="0" w:space="0" w:color="auto"/>
        <w:left w:val="none" w:sz="0" w:space="0" w:color="auto"/>
        <w:bottom w:val="none" w:sz="0" w:space="0" w:color="auto"/>
        <w:right w:val="none" w:sz="0" w:space="0" w:color="auto"/>
      </w:divBdr>
    </w:div>
    <w:div w:id="1288656094">
      <w:bodyDiv w:val="1"/>
      <w:marLeft w:val="0"/>
      <w:marRight w:val="0"/>
      <w:marTop w:val="0"/>
      <w:marBottom w:val="0"/>
      <w:divBdr>
        <w:top w:val="none" w:sz="0" w:space="0" w:color="auto"/>
        <w:left w:val="none" w:sz="0" w:space="0" w:color="auto"/>
        <w:bottom w:val="none" w:sz="0" w:space="0" w:color="auto"/>
        <w:right w:val="none" w:sz="0" w:space="0" w:color="auto"/>
      </w:divBdr>
    </w:div>
    <w:div w:id="1319383234">
      <w:bodyDiv w:val="1"/>
      <w:marLeft w:val="0"/>
      <w:marRight w:val="0"/>
      <w:marTop w:val="0"/>
      <w:marBottom w:val="0"/>
      <w:divBdr>
        <w:top w:val="none" w:sz="0" w:space="0" w:color="auto"/>
        <w:left w:val="none" w:sz="0" w:space="0" w:color="auto"/>
        <w:bottom w:val="none" w:sz="0" w:space="0" w:color="auto"/>
        <w:right w:val="none" w:sz="0" w:space="0" w:color="auto"/>
      </w:divBdr>
    </w:div>
    <w:div w:id="1417828508">
      <w:bodyDiv w:val="1"/>
      <w:marLeft w:val="0"/>
      <w:marRight w:val="0"/>
      <w:marTop w:val="0"/>
      <w:marBottom w:val="0"/>
      <w:divBdr>
        <w:top w:val="none" w:sz="0" w:space="0" w:color="auto"/>
        <w:left w:val="none" w:sz="0" w:space="0" w:color="auto"/>
        <w:bottom w:val="none" w:sz="0" w:space="0" w:color="auto"/>
        <w:right w:val="none" w:sz="0" w:space="0" w:color="auto"/>
      </w:divBdr>
    </w:div>
    <w:div w:id="1529219712">
      <w:bodyDiv w:val="1"/>
      <w:marLeft w:val="0"/>
      <w:marRight w:val="0"/>
      <w:marTop w:val="0"/>
      <w:marBottom w:val="0"/>
      <w:divBdr>
        <w:top w:val="none" w:sz="0" w:space="0" w:color="auto"/>
        <w:left w:val="none" w:sz="0" w:space="0" w:color="auto"/>
        <w:bottom w:val="none" w:sz="0" w:space="0" w:color="auto"/>
        <w:right w:val="none" w:sz="0" w:space="0" w:color="auto"/>
      </w:divBdr>
    </w:div>
    <w:div w:id="1554195037">
      <w:bodyDiv w:val="1"/>
      <w:marLeft w:val="0"/>
      <w:marRight w:val="0"/>
      <w:marTop w:val="0"/>
      <w:marBottom w:val="0"/>
      <w:divBdr>
        <w:top w:val="none" w:sz="0" w:space="0" w:color="auto"/>
        <w:left w:val="none" w:sz="0" w:space="0" w:color="auto"/>
        <w:bottom w:val="none" w:sz="0" w:space="0" w:color="auto"/>
        <w:right w:val="none" w:sz="0" w:space="0" w:color="auto"/>
      </w:divBdr>
    </w:div>
    <w:div w:id="1934126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87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B3A80B2-6602-4DD7-AED9-8026CD79BF12}">
  <we:reference id="wa104382081" version="1.55.1.0" store="en-US" storeType="OMEX"/>
  <we:alternateReferences>
    <we:reference id="WA104382081" version="1.55.1.0" store="" storeType="OMEX"/>
  </we:alternateReferences>
  <we:properties>
    <we:property name="MENDELEY_CITATIONS" value="[{&quot;citationID&quot;:&quot;MENDELEY_CITATION_b1ae34c7-51fb-4a07-a7fb-2a69362ab7ac&quot;,&quot;properties&quot;:{&quot;noteIndex&quot;:0},&quot;isEdited&quot;:false,&quot;manualOverride&quot;:{&quot;isManuallyOverridden&quot;:false,&quot;citeprocText&quot;:&quot;(Crnčec et al., 2018)&quot;,&quot;manualOverrideText&quot;:&quot;&quot;},&quot;citationTag&quot;:&quot;MENDELEY_CITATION_v3_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&quot;,&quot;citationItems&quot;:[{&quot;id&quot;:&quot;45deaea9-3135-3693-9a92-fc62a35a7f48&quot;,&quot;itemData&quot;:{&quot;type&quot;:&quot;article-journal&quot;,&quot;id&quot;:&quot;45deaea9-3135-3693-9a92-fc62a35a7f48&quot;,&quot;title&quot;:&quot;STAT1 is a sex‐specific tumor suppressor in colitis‐associated colorectal cancer&quot;,&quot;author&quot;:[{&quot;family&quot;:&quot;Crnčec&quot;,&quot;given&quot;:&quot;Ilija&quot;,&quot;parse-names&quot;:false,&quot;dropping-particle&quot;:&quot;&quot;,&quot;non-dropping-particle&quot;:&quot;&quot;},{&quot;family&quot;:&quot;Modak&quot;,&quot;given&quot;:&quot;Madhura&quot;,&quot;parse-names&quot;:false,&quot;dropping-particle&quot;:&quot;&quot;,&quot;non-dropping-particle&quot;:&quot;&quot;},{&quot;family&quot;:&quot;Gordziel&quot;,&quot;given&quot;:&quot;Claire&quot;,&quot;parse-names&quot;:false,&quot;dropping-particle&quot;:&quot;&quot;,&quot;non-dropping-particle&quot;:&quot;&quot;},{&quot;family&quot;:&quot;Svinka&quot;,&quot;given&quot;:&quot;Jasmin&quot;,&quot;parse-names&quot;:false,&quot;dropping-particle&quot;:&quot;&quot;,&quot;non-dropping-particle&quot;:&quot;&quot;},{&quot;family&quot;:&quot;Scharf&quot;,&quot;given&quot;:&quot;Irene&quot;,&quot;parse-names&quot;:false,&quot;dropping-particle&quot;:&quot;&quot;,&quot;non-dropping-particle&quot;:&quot;&quot;},{&quot;family&quot;:&quot;Moritsch&quot;,&quot;given&quot;:&quot;Stefan&quot;,&quot;parse-names&quot;:false,&quot;dropping-particle&quot;:&quot;&quot;,&quot;non-dropping-particle&quot;:&quot;&quot;},{&quot;family&quot;:&quot;Pathria&quot;,&quot;given&quot;:&quot;Paulina&quot;,&quot;parse-names&quot;:false,&quot;dropping-particle&quot;:&quot;&quot;,&quot;non-dropping-particle&quot;:&quot;&quot;},{&quot;family&quot;:&quot;Schlederer&quot;,&quot;given&quot;:&quot;Michaela&quot;,&quot;parse-names&quot;:false,&quot;dropping-particle&quot;:&quot;&quot;,&quot;non-dropping-particle&quot;:&quot;&quot;},{&quot;family&quot;:&quot;Kenner&quot;,&quot;given&quot;:&quot;Lukas&quot;,&quot;parse-names&quot;:false,&quot;dropping-particle&quot;:&quot;&quot;,&quot;non-dropping-particle&quot;:&quot;&quot;},{&quot;family&quot;:&quot;Timelthaler&quot;,&quot;given&quot;:&quot;Gerald&quot;,&quot;parse-names&quot;:false,&quot;dropping-particle&quot;:&quot;&quot;,&quot;non-dropping-particle&quot;:&quot;&quot;},{&quot;family&quot;:&quot;Müller&quot;,&quot;given&quot;:&quot;Mathias&quot;,&quot;parse-names&quot;:false,&quot;dropping-particle&quot;:&quot;&quot;,&quot;non-dropping-particle&quot;:&quot;&quot;},{&quot;family&quot;:&quot;Strobl&quot;,&quot;given&quot;:&quot;Birgit&quot;,&quot;parse-names&quot;:false,&quot;dropping-particle&quot;:&quot;&quot;,&quot;non-dropping-particle&quot;:&quot;&quot;},{&quot;family&quot;:&quot;Casanova&quot;,&quot;given&quot;:&quot;Emilio&quot;,&quot;parse-names&quot;:false,&quot;dropping-particle&quot;:&quot;&quot;,&quot;non-dropping-particle&quot;:&quot;&quot;},{&quot;family&quot;:&quot;Bayer&quot;,&quot;given&quot;:&quot;Editha&quot;,&quot;parse-names&quot;:false,&quot;dropping-particle&quot;:&quot;&quot;,&quot;non-dropping-particle&quot;:&quot;&quot;},{&quot;family&quot;:&quot;Mohr&quot;,&quot;given&quot;:&quot;Thomas&quot;,&quot;parse-names&quot;:false,&quot;dropping-particle&quot;:&quot;&quot;,&quot;non-dropping-particle&quot;:&quot;&quot;},{&quot;family&quot;:&quot;Stöckl&quot;,&quot;given&quot;:&quot;Johannes&quot;,&quot;parse-names&quot;:false,&quot;dropping-particle&quot;:&quot;&quot;,&quot;non-dropping-particle&quot;:&quot;&quot;},{&quot;family&quot;:&quot;Friedrich&quot;,&quot;given&quot;:&quot;Karlheinz&quot;,&quot;parse-names&quot;:false,&quot;dropping-particle&quot;:&quot;&quot;,&quot;non-dropping-particle&quot;:&quot;&quot;},{&quot;family&quot;:&quot;Eferl&quot;,&quot;given&quot;:&quot;Robert&quot;,&quot;parse-names&quot;:false,&quot;dropping-particle&quot;:&quot;&quot;,&quot;non-dropping-particle&quot;:&quot;&quot;}],&quot;container-title&quot;:&quot;Molecular Oncology&quot;,&quot;container-title-short&quot;:&quot;Mol Oncol&quot;,&quot;accessed&quot;:{&quot;date-parts&quot;:[[2022,1,1]]},&quot;DOI&quot;:&quot;10.1002/1878-0261.12178&quot;,&quot;ISSN&quot;:&quot;18780261&quot;,&quot;PMID&quot;:&quot;29419930&quot;,&quot;URL&quot;:&quot;/pmc/articles/PMC5891040/&quot;,&quot;issued&quot;:{&quot;date-parts&quot;:[[2018,4,1]]},&quot;page&quot;:&quot;514&quot;,&quot;abstract&quot;:&quot;The interferon-inducible transcription factor STAT1 is a tumor suppressor in various malignancies. We investigated sex-specific STAT1 functions in colitis and colitis-associated colorectal cancer (CRC) using mice with specific STAT1 deletion in intestinal epithelial cells (STAT1∆IEC). Male but not female STAT1∆IEC mice were more resistant to DSS-induced colitis than sex-matched STAT1flox/flox controls and displayed reduced intraepithelial infiltration of CD8+ TCRαβ+ granzyme B+ T cells. Moreover, DSS treatment failed to induce expression of T-cell-attracting chemokines in intestinal epithelial cells of male but not of female STAT1∆IEC mice. Application of the AOM-DSS protocol for induction of colitis-associated CRC resulted in increased intestinal tumor load in male but not in female STAT1∆IEC mice. A sex-specific stratification of human CRC patients corroborated the data obtained in mice and revealed that reduced tumor cell-intrinsic nuclear STAT1 protein expression is a poor prognostic factor in men but not in women. These data demonstrate that epithelial STAT1 is a male-specific tumor suppressor in CRC of mice and humans.&quot;,&quot;publisher&quot;:&quot;Wiley-Blackwell&quot;,&quot;issue&quot;:&quot;4&quot;,&quot;volume&quot;:&quot;12&quot;},&quot;isTemporary&quot;:false}]},{&quot;citationID&quot;:&quot;MENDELEY_CITATION_b7b9ceb0-72ca-43fe-a01c-3d3b5f33a548&quot;,&quot;properties&quot;:{&quot;noteIndex&quot;:0},&quot;isEdited&quot;:false,&quot;manualOverride&quot;:{&quot;isManuallyOverridden&quot;:false,&quot;citeprocText&quot;:&quot;(Crncec et al., 2015)&quot;,&quot;manualOverrideText&quot;:&quot;&quot;},&quot;citationTag&quot;:&quot;MENDELEY_CITATION_v3_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&quot;,&quot;citationItems&quot;:[{&quot;id&quot;:&quot;a04342f0-6f35-393e-ac76-9e4fab8eabb3&quot;,&quot;itemData&quot;:{&quot;type&quot;:&quot;article-journal&quot;,&quot;id&quot;:&quot;a04342f0-6f35-393e-ac76-9e4fab8eabb3&quot;,&quot;title&quot;:&quot;Induction of colorectal cancer in mice and histomorphometric evaluation of tumors&quot;,&quot;author&quot;:[{&quot;family&quot;:&quot;Crncec&quot;,&quot;given&quot;:&quot;Ilija&quot;,&quot;parse-names&quot;:false,&quot;dropping-particle&quot;:&quot;&quot;,&quot;non-dropping-particle&quot;:&quot;&quot;},{&quot;family&quot;:&quot;Pathria&quot;,&quot;given&quot;:&quot;Paulina&quot;,&quot;parse-names&quot;:false,&quot;dropping-particle&quot;:&quot;&quot;,&quot;non-dropping-particle&quot;:&quot;&quot;},{&quot;family&quot;:&quot;Svinka&quot;,&quot;given&quot;:&quot;Jasmin&quot;,&quot;parse-names&quot;:false,&quot;dropping-particle&quot;:&quot;&quot;,&quot;non-dropping-particle&quot;:&quot;&quot;},{&quot;family&quot;:&quot;Eferl&quot;,&quot;given&quot;:&quot;Robert&quot;,&quot;parse-names&quot;:false,&quot;dropping-particle&quot;:&quot;&quot;,&quot;non-dropping-particle&quot;:&quot;&quot;}],&quot;container-title&quot;:&quot;Methods in Molecular Biology&quot;,&quot;accessed&quot;:{&quot;date-parts&quot;:[[2021,12,30]]},&quot;DOI&quot;:&quot;10.1007/978-1-4939-2297-0_7&quot;,&quot;ISSN&quot;:&quot;10643745&quot;,&quot;PMID&quot;:&quot;25636468&quot;,&quot;issued&quot;:{&quot;date-parts&quot;:[[2015]]},&quot;page&quot;:&quot;145-164&quot;,&quot;abstract&quot;:&quot;Colorectal cancer (CRC) originates from the epithelial cells lining the colon or rectum of the gastrointestinal tract and represents the third most common form of cancer worldwide. CRC is frequently associated with Colitis Ulcerosa or Crohn’s Disease demonstrating the tumor-promoting role of inflammation. Colorectaltumor cells establish heterotypic interactions with inflammatory cells and cancer-associated fibroblasts in the tumor stroma that support tumor angiogenesis and are essential for tumor progression. Therefore, establishment of suitable mouse models mimicking the inflammatory etiology of CRC is important. Here we describe methods to induce CRC in mice, to quantify tumor parameters (multiplicity, tumor load, mean tumor size), and to analyze the cellular composition of the CRC tumor stroma.&quot;,&quot;publisher&quot;:&quot;Humana Press Inc.&quot;,&quot;volume&quot;:&quot;1267&quot;,&quot;container-title-short&quot;:&quot;&quot;},&quot;isTemporary&quot;:false}]},{&quot;citationID&quot;:&quot;MENDELEY_CITATION_f3768c68-c8b6-4d09-89ec-a19b3049d7cc&quot;,&quot;properties&quot;:{&quot;noteIndex&quot;:0},&quot;isEdited&quot;:false,&quot;manualOverride&quot;:{&quot;isManuallyOverridden&quot;:false,&quot;citeprocText&quot;:&quot;(Gonçalves et al., 2018)&quot;,&quot;manualOverrideText&quot;:&quot;&quot;},&quot;citationTag&quot;:&quot;MENDELEY_CITATION_v3_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&quot;,&quot;citationItems&quot;:[{&quot;id&quot;:&quot;be3fce8e-9fcf-33e3-b87e-2c038c4921a9&quot;,&quot;itemData&quot;:{&quot;type&quot;:&quot;article-journal&quot;,&quot;id&quot;:&quot;be3fce8e-9fcf-33e3-b87e-2c038c4921a9&quot;,&quot;title&quot;:&quot;Development of a method for the detection of polystyrene microplastics in paraffin-embedded histological sections&quot;,&quot;author&quot;:[{&quot;family&quot;:&quot;Gonçalves&quot;,&quot;given&quot;:&quot;Cátia&quot;,&quot;parse-names&quot;:false,&quot;dropping-particle&quot;:&quot;&quot;,&quot;non-dropping-particle&quot;:&quot;&quot;},{&quot;family&quot;:&quot;Martins&quot;,&quot;given&quot;:&quot;Marta&quot;,&quot;parse-names&quot;:false,&quot;dropping-particle&quot;:&quot;&quot;,&quot;non-dropping-particle&quot;:&quot;&quot;},{&quot;family&quot;:&quot;Costa&quot;,&quot;given&quot;:&quot;Maria H.&quot;,&quot;parse-names&quot;:false,&quot;dropping-particle&quot;:&quot;&quot;,&quot;non-dropping-particle&quot;:&quot;&quot;},{&quot;family&quot;:&quot;Costa&quot;,&quot;given&quot;:&quot;Pedro M.&quot;,&quot;parse-names&quot;:false,&quot;dropping-particle&quot;:&quot;&quot;,&quot;non-dropping-particle&quot;:&quot;&quot;}],&quot;container-title&quot;:&quot;Histochemistry and Cell Biology&quot;,&quot;container-title-short&quot;:&quot;Histochem Cell Biol&quot;,&quot;DOI&quot;:&quot;10.1007/s00418-017-1613-1&quot;,&quot;ISSN&quot;:&quot;0948-6143&quot;,&quot;issued&quot;:{&quot;date-parts&quot;:[[2018,2,20]]},&quot;page&quot;:&quot;187-191&quot;,&quot;issue&quot;:&quot;2&quot;,&quot;volume&quot;:&quot;149&quot;},&quot;isTemporary&quot;:false}]},{&quot;citationID&quot;:&quot;MENDELEY_CITATION_1d801237-9c14-49e2-a024-0b49978a7253&quot;,&quot;properties&quot;:{&quot;noteIndex&quot;:0},&quot;isEdited&quot;:false,&quot;manualOverride&quot;:{&quot;isManuallyOverridden&quot;:false,&quot;citeprocText&quot;:&quot;(Crnčec et al., 2018)&quot;,&quot;manualOverrideText&quot;:&quot;&quot;},&quot;citationTag&quot;:&quot;MENDELEY_CITATION_v3_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&quot;,&quot;citationItems&quot;:[{&quot;id&quot;:&quot;45deaea9-3135-3693-9a92-fc62a35a7f48&quot;,&quot;itemData&quot;:{&quot;type&quot;:&quot;article-journal&quot;,&quot;id&quot;:&quot;45deaea9-3135-3693-9a92-fc62a35a7f48&quot;,&quot;title&quot;:&quot;STAT1 is a sex‐specific tumor suppressor in colitis‐associated colorectal cancer&quot;,&quot;author&quot;:[{&quot;family&quot;:&quot;Crnčec&quot;,&quot;given&quot;:&quot;Ilija&quot;,&quot;parse-names&quot;:false,&quot;dropping-particle&quot;:&quot;&quot;,&quot;non-dropping-particle&quot;:&quot;&quot;},{&quot;family&quot;:&quot;Modak&quot;,&quot;given&quot;:&quot;Madhura&quot;,&quot;parse-names&quot;:false,&quot;dropping-particle&quot;:&quot;&quot;,&quot;non-dropping-particle&quot;:&quot;&quot;},{&quot;family&quot;:&quot;Gordziel&quot;,&quot;given&quot;:&quot;Claire&quot;,&quot;parse-names&quot;:false,&quot;dropping-particle&quot;:&quot;&quot;,&quot;non-dropping-particle&quot;:&quot;&quot;},{&quot;family&quot;:&quot;Svinka&quot;,&quot;given&quot;:&quot;Jasmin&quot;,&quot;parse-names&quot;:false,&quot;dropping-particle&quot;:&quot;&quot;,&quot;non-dropping-particle&quot;:&quot;&quot;},{&quot;family&quot;:&quot;Scharf&quot;,&quot;given&quot;:&quot;Irene&quot;,&quot;parse-names&quot;:false,&quot;dropping-particle&quot;:&quot;&quot;,&quot;non-dropping-particle&quot;:&quot;&quot;},{&quot;family&quot;:&quot;Moritsch&quot;,&quot;given&quot;:&quot;Stefan&quot;,&quot;parse-names&quot;:false,&quot;dropping-particle&quot;:&quot;&quot;,&quot;non-dropping-particle&quot;:&quot;&quot;},{&quot;family&quot;:&quot;Pathria&quot;,&quot;given&quot;:&quot;Paulina&quot;,&quot;parse-names&quot;:false,&quot;dropping-particle&quot;:&quot;&quot;,&quot;non-dropping-particle&quot;:&quot;&quot;},{&quot;family&quot;:&quot;Schlederer&quot;,&quot;given&quot;:&quot;Michaela&quot;,&quot;parse-names&quot;:false,&quot;dropping-particle&quot;:&quot;&quot;,&quot;non-dropping-particle&quot;:&quot;&quot;},{&quot;family&quot;:&quot;Kenner&quot;,&quot;given&quot;:&quot;Lukas&quot;,&quot;parse-names&quot;:false,&quot;dropping-particle&quot;:&quot;&quot;,&quot;non-dropping-particle&quot;:&quot;&quot;},{&quot;family&quot;:&quot;Timelthaler&quot;,&quot;given&quot;:&quot;Gerald&quot;,&quot;parse-names&quot;:false,&quot;dropping-particle&quot;:&quot;&quot;,&quot;non-dropping-particle&quot;:&quot;&quot;},{&quot;family&quot;:&quot;Müller&quot;,&quot;given&quot;:&quot;Mathias&quot;,&quot;parse-names&quot;:false,&quot;dropping-particle&quot;:&quot;&quot;,&quot;non-dropping-particle&quot;:&quot;&quot;},{&quot;family&quot;:&quot;Strobl&quot;,&quot;given&quot;:&quot;Birgit&quot;,&quot;parse-names&quot;:false,&quot;dropping-particle&quot;:&quot;&quot;,&quot;non-dropping-particle&quot;:&quot;&quot;},{&quot;family&quot;:&quot;Casanova&quot;,&quot;given&quot;:&quot;Emilio&quot;,&quot;parse-names&quot;:false,&quot;dropping-particle&quot;:&quot;&quot;,&quot;non-dropping-particle&quot;:&quot;&quot;},{&quot;family&quot;:&quot;Bayer&quot;,&quot;given&quot;:&quot;Editha&quot;,&quot;parse-names&quot;:false,&quot;dropping-particle&quot;:&quot;&quot;,&quot;non-dropping-particle&quot;:&quot;&quot;},{&quot;family&quot;:&quot;Mohr&quot;,&quot;given&quot;:&quot;Thomas&quot;,&quot;parse-names&quot;:false,&quot;dropping-particle&quot;:&quot;&quot;,&quot;non-dropping-particle&quot;:&quot;&quot;},{&quot;family&quot;:&quot;Stöckl&quot;,&quot;given&quot;:&quot;Johannes&quot;,&quot;parse-names&quot;:false,&quot;dropping-particle&quot;:&quot;&quot;,&quot;non-dropping-particle&quot;:&quot;&quot;},{&quot;family&quot;:&quot;Friedrich&quot;,&quot;given&quot;:&quot;Karlheinz&quot;,&quot;parse-names&quot;:false,&quot;dropping-particle&quot;:&quot;&quot;,&quot;non-dropping-particle&quot;:&quot;&quot;},{&quot;family&quot;:&quot;Eferl&quot;,&quot;given&quot;:&quot;Robert&quot;,&quot;parse-names&quot;:false,&quot;dropping-particle&quot;:&quot;&quot;,&quot;non-dropping-particle&quot;:&quot;&quot;}],&quot;container-title&quot;:&quot;Molecular Oncology&quot;,&quot;container-title-short&quot;:&quot;Mol Oncol&quot;,&quot;accessed&quot;:{&quot;date-parts&quot;:[[2022,1,1]]},&quot;DOI&quot;:&quot;10.1002/1878-0261.12178&quot;,&quot;ISSN&quot;:&quot;18780261&quot;,&quot;PMID&quot;:&quot;29419930&quot;,&quot;URL&quot;:&quot;/pmc/articles/PMC5891040/&quot;,&quot;issued&quot;:{&quot;date-parts&quot;:[[2018,4,1]]},&quot;page&quot;:&quot;514&quot;,&quot;abstract&quot;:&quot;The interferon-inducible transcription factor STAT1 is a tumor suppressor in various malignancies. We investigated sex-specific STAT1 functions in colitis and colitis-associated colorectal cancer (CRC) using mice with specific STAT1 deletion in intestinal epithelial cells (STAT1∆IEC). Male but not female STAT1∆IEC mice were more resistant to DSS-induced colitis than sex-matched STAT1flox/flox controls and displayed reduced intraepithelial infiltration of CD8+ TCRαβ+ granzyme B+ T cells. Moreover, DSS treatment failed to induce expression of T-cell-attracting chemokines in intestinal epithelial cells of male but not of female STAT1∆IEC mice. Application of the AOM-DSS protocol for induction of colitis-associated CRC resulted in increased intestinal tumor load in male but not in female STAT1∆IEC mice. A sex-specific stratification of human CRC patients corroborated the data obtained in mice and revealed that reduced tumor cell-intrinsic nuclear STAT1 protein expression is a poor prognostic factor in men but not in women. These data demonstrate that epithelial STAT1 is a male-specific tumor suppressor in CRC of mice and humans.&quot;,&quot;publisher&quot;:&quot;Wiley-Blackwell&quot;,&quot;issue&quot;:&quot;4&quot;,&quot;volume&quot;:&quot;12&quot;},&quot;isTemporary&quot;:false}]},{&quot;citationID&quot;:&quot;MENDELEY_CITATION_5cbf9376-8b1b-4d95-ac57-7bbf2216167f&quot;,&quot;properties&quot;:{&quot;noteIndex&quot;:0},&quot;isEdited&quot;:false,&quot;manualOverride&quot;:{&quot;isManuallyOverridden&quot;:false,&quot;citeprocText&quot;:&quot;(Thiele et al., 2019)&quot;,&quot;manualOverrideText&quot;:&quot;&quot;},&quot;citationTag&quot;:&quot;MENDELEY_CITATION_v3_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&quot;,&quot;citationItems&quot;:[{&quot;id&quot;:&quot;c409b312-e109-377c-b975-80381127ee36&quot;,&quot;itemData&quot;:{&quot;type&quot;:&quot;article-journal&quot;,&quot;id&quot;:&quot;c409b312-e109-377c-b975-80381127ee36&quot;,&quot;title&quot;:&quot;Evaluation of existing methods to extract microplastics from bivalve tissue: Adapted KOH digestion protocol improves filtration at single-digit pore size&quot;,&quot;author&quot;:[{&quot;family&quot;:&quot;Thiele&quot;,&quot;given&quot;:&quot;Christina J.&quot;,&quot;parse-names&quot;:false,&quot;dropping-particle&quot;:&quot;&quot;,&quot;non-dropping-particle&quot;:&quot;&quot;},{&quot;family&quot;:&quot;Hudson&quot;,&quot;given&quot;:&quot;Malcolm D.&quot;,&quot;parse-names&quot;:false,&quot;dropping-particle&quot;:&quot;&quot;,&quot;non-dropping-particle&quot;:&quot;&quot;},{&quot;family&quot;:&quot;Russell&quot;,&quot;given&quot;:&quot;Andrea E.&quot;,&quot;parse-names&quot;:false,&quot;dropping-particle&quot;:&quot;&quot;,&quot;non-dropping-particle&quot;:&quot;&quot;}],&quot;container-title&quot;:&quot;Marine Pollution Bulletin&quot;,&quot;container-title-short&quot;:&quot;Mar Pollut Bull&quot;,&quot;accessed&quot;:{&quot;date-parts&quot;:[[2024,2,22]]},&quot;DOI&quot;:&quot;10.1016/J.MARPOLBUL.2019.03.003&quot;,&quot;ISSN&quot;:&quot;0025-326X&quot;,&quot;PMID&quot;:&quot;31232316&quot;,&quot;issued&quot;:{&quot;date-parts&quot;:[[2019,5,1]]},&quot;page&quot;:&quot;384-393&quot;,&quot;abstract&quot;:&quot;Methods standardisation in microplastics research is needed. Apart from reagent-dependent effects on microplastics, varying target particle sizes can hinder result comparison between studies. Human health concerns warrant recovery of small microplastics. We compared existing techniques using hydrogen peroxide, Proteinase-K, Trypsin and potassium hydroxide to digest bivalve tissue. Filterability, digestion efficacy, recoverability of microplastics and subsequent polymer identification using Raman spectroscopy and a matching software were assessed. Only KOH allowed filtration at ≤25 μm. When adding a neutralisation step prior to filtration, KOH digestates were filterable using 1.2-μm filters. Digestion efficacies were &gt;95.0% for oysters, but lower for clams. KOH destroyed rayon at 60 °C but not at 40 °C. Acrylic fibre identification was affected due to changes in Raman spectra peaks. Despite those effects, we recommend KOH as the most viable extraction method for exposure risk studies, due to microplastics recovery from bivalve tissues of single-digit micrometre size.&quot;,&quot;publisher&quot;:&quot;Pergamon&quot;,&quot;volume&quot;:&quot;142&quot;},&quot;isTemporary&quot;:false}]},{&quot;citationID&quot;:&quot;MENDELEY_CITATION_8279a85f-9928-4842-9aa8-fd11ce2d52e7&quot;,&quot;properties&quot;:{&quot;noteIndex&quot;:0},&quot;isEdited&quot;:false,&quot;manualOverride&quot;:{&quot;isManuallyOverridden&quot;:false,&quot;citeprocText&quot;:&quot;(Senathirajah et al., 2021)&quot;,&quot;manualOverrideText&quot;:&quot;&quot;},&quot;citationTag&quot;:&quot;MENDELEY_CITATION_v3_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&quot;,&quot;citationItems&quot;:[{&quot;id&quot;:&quot;548e64ff-a7cb-3d5e-ae96-f546fb676d5f&quot;,&quot;itemData&quot;:{&quot;type&quot;:&quot;article-journal&quot;,&quot;id&quot;:&quot;548e64ff-a7cb-3d5e-ae96-f546fb676d5f&quot;,&quot;title&quot;:&quot;Estimation of the mass of microplastics ingested-A pivotal first step towards human health risk assessment&quot;,&quot;author&quot;:[{&quot;family&quot;:&quot;Senathirajah&quot;,&quot;given&quot;:&quot;Kala&quot;,&quot;parse-names&quot;:false,&quot;dropping-particle&quot;:&quot;&quot;,&quot;non-dropping-particle&quot;:&quot;&quot;},{&quot;family&quot;:&quot;Attwood&quot;,&quot;given&quot;:&quot;Simon&quot;,&quot;parse-names&quot;:false,&quot;dropping-particle&quot;:&quot;&quot;,&quot;non-dropping-particle&quot;:&quot;&quot;},{&quot;family&quot;:&quot;Bhagwat&quot;,&quot;given&quot;:&quot;Geetika&quot;,&quot;parse-names&quot;:false,&quot;dropping-particle&quot;:&quot;&quot;,&quot;non-dropping-particle&quot;:&quot;&quot;},{&quot;family&quot;:&quot;Carbery&quot;,&quot;given&quot;:&quot;Maddison&quot;,&quot;parse-names&quot;:false,&quot;dropping-particle&quot;:&quot;&quot;,&quot;non-dropping-particle&quot;:&quot;&quot;},{&quot;family&quot;:&quot;Wilson&quot;,&quot;given&quot;:&quot;Scott&quot;,&quot;parse-names&quot;:false,&quot;dropping-particle&quot;:&quot;&quot;,&quot;non-dropping-particle&quot;:&quot;&quot;},{&quot;family&quot;:&quot;Palanisami&quot;,&quot;given&quot;:&quot;Thava&quot;,&quot;parse-names&quot;:false,&quot;dropping-particle&quot;:&quot;&quot;,&quot;non-dropping-particle&quot;:&quot;&quot;}],&quot;container-title&quot;:&quot;Journal of Hazardous Materials&quot;,&quot;container-title-short&quot;:&quot;J Hazard Mater&quot;,&quot;accessed&quot;:{&quot;date-parts&quot;:[[2024,2,22]]},&quot;DOI&quot;:&quot;10.1016/j.jhazmat.2020.124004&quot;,&quot;URL&quot;:&quot;https://doi.org/10.1016/j.jhazmat.2020.124004&quot;,&quot;issued&quot;:{&quot;date-parts&quot;:[[2021]]},&quot;page&quot;:&quot;304-3894&quot;,&quot;volume&quot;:&quot;404&quot;},&quot;isTemporary&quot;:false}]},{&quot;citationID&quot;:&quot;MENDELEY_CITATION_9c552dfa-8d7e-42c8-bd0c-df05372ccb60&quot;,&quot;properties&quot;:{&quot;noteIndex&quot;:0},&quot;isEdited&quot;:false,&quot;manualOverride&quot;:{&quot;isManuallyOverridden&quot;:false,&quot;citeprocText&quot;:&quot;(Luo et al., 2022; Zolotova et al., 2023)&quot;,&quot;manualOverrideText&quot;:&quot;&quot;},&quot;citationTag&quot;:&quot;MENDELEY_CITATION_v3_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&quot;,&quot;citationItems&quot;:[{&quot;id&quot;:&quot;c470205a-61ff-3396-bce0-5248c547162b&quot;,&quot;itemData&quot;:{&quot;type&quot;:&quot;article-journal&quot;,&quot;id&quot;:&quot;c470205a-61ff-3396-bce0-5248c547162b&quot;,&quot;title&quot;:&quot;Influence of Microplastics on Morphological Manifestations of Experimental Acute Colitis&quot;,&quot;author&quot;:[{&quot;family&quot;:&quot;Zolotova&quot;,&quot;given&quot;:&quot;Natalia&quot;,&quot;parse-names&quot;:false,&quot;dropping-particle&quot;:&quot;&quot;,&quot;non-dropping-particle&quot;:&quot;&quot;},{&quot;family&quot;:&quot;Dzhalilova&quot;,&quot;given&quot;:&quot;Dzhuliia&quot;,&quot;parse-names&quot;:false,&quot;dropping-particle&quot;:&quot;&quot;,&quot;non-dropping-particle&quot;:&quot;&quot;},{&quot;family&quot;:&quot;Tsvetkov&quot;,&quot;given&quot;:&quot;Ivan&quot;,&quot;parse-names&quot;:false,&quot;dropping-particle&quot;:&quot;&quot;,&quot;non-dropping-particle&quot;:&quot;&quot;},{&quot;family&quot;:&quot;Makarova&quot;,&quot;given&quot;:&quot;Olga&quot;,&quot;parse-names&quot;:false,&quot;dropping-particle&quot;:&quot;&quot;,&quot;non-dropping-particle&quot;:&quot;&quot;}],&quot;container-title&quot;:&quot;Toxics&quot;,&quot;container-title-short&quot;:&quot;Toxics&quot;,&quot;accessed&quot;:{&quot;date-parts&quot;:[[2024,3,20]]},&quot;DOI&quot;:&quot;10.3390/TOXICS11090730&quot;,&quot;ISSN&quot;:&quot;23056304&quot;,&quot;PMID&quot;:&quot;37755741&quot;,&quot;URL&quot;:&quot;/pmc/articles/PMC10536389/&quot;,&quot;issued&quot;:{&quot;date-parts&quot;:[[2023,9,1]]},&quot;abstract&quot;:&quot;Microplastic pollution poses a threat to human health. It is possible that the increase in the incidence of inflammatory bowel disease is associated with exposure to microplastics. We investigated the effect of the consumption of polystyrene microparticles with a diameter of 5 μm at a dose of 2.3 mg/kg/day for 6 weeks on morphological changes in the colons of healthy male C57BL/6 mice and of mice with acute colitis induced by a 1% dextran sulfate sodium solution (DSS). In healthy mice, microplastics caused an increase in the number of endocrine cells, an increase in the content of highly sulfated mucins in goblet cells, an increase in the number of cells in the lamina propria, and a decrease in the volume fraction of macrophages. Microplastic consumption caused more severe acute colitis, which is characterized by a greater prevalence of ulcers and inflammation and a decrease in the content of neutral mucins in goblet cells.&quot;,&quot;publisher&quot;:&quot;Multidisciplinary Digital Publishing Institute  (MDPI)&quot;,&quot;issue&quot;:&quot;9&quot;,&quot;volume&quot;:&quot;11&quot;},&quot;isTemporary&quot;:false},{&quot;id&quot;:&quot;11d7260d-f4df-378c-a410-5fe72b9b2164&quot;,&quot;itemData&quot;:{&quot;type&quot;:&quot;article-journal&quot;,&quot;id&quot;:&quot;11d7260d-f4df-378c-a410-5fe72b9b2164&quot;,&quot;title&quot;:&quot;Polystyrene microplastics exacerbate experimental colitis in mice tightly associated with the occurrence of hepatic inflammation&quot;,&quot;author&quot;:[{&quot;family&quot;:&quot;Luo&quot;,&quot;given&quot;:&quot;Ting&quot;,&quot;parse-names&quot;:false,&quot;dropping-particle&quot;:&quot;&quot;,&quot;non-dropping-particle&quot;:&quot;&quot;},{&quot;family&quot;:&quot;Wang&quot;,&quot;given&quot;:&quot;Dou&quot;,&quot;parse-names&quot;:false,&quot;dropping-particle&quot;:&quot;&quot;,&quot;non-dropping-particle&quot;:&quot;&quot;},{&quot;family&quot;:&quot;Zhao&quot;,&quot;given&quot;:&quot;Yao&quot;,&quot;parse-names&quot;:false,&quot;dropping-particle&quot;:&quot;&quot;,&quot;non-dropping-particle&quot;:&quot;&quot;},{&quot;family&quot;:&quot;Li&quot;,&quot;given&quot;:&quot;Xinfang&quot;,&quot;parse-names&quot;:false,&quot;dropping-particle&quot;:&quot;&quot;,&quot;non-dropping-particle&quot;:&quot;&quot;},{&quot;family&quot;:&quot;Yang&quot;,&quot;given&quot;:&quot;Guiling&quot;,&quot;parse-names&quot;:false,&quot;dropping-particle&quot;:&quot;&quot;,&quot;non-dropping-particle&quot;:&quot;&quot;},{&quot;family&quot;:&quot;Jin&quot;,&quot;given&quot;:&quot;Yuanxiang&quot;,&quot;parse-names&quot;:false,&quot;dropping-particle&quot;:&quot;&quot;,&quot;non-dropping-particle&quot;:&quot;&quot;}],&quot;container-title&quot;:&quot;The Science of the total environment&quot;,&quot;container-title-short&quot;:&quot;Sci Total Environ&quot;,&quot;accessed&quot;:{&quot;date-parts&quot;:[[2024,3,20]]},&quot;DOI&quot;:&quot;10.1016/J.SCITOTENV.2022.156884&quot;,&quot;ISSN&quot;:&quot;1879-1026&quot;,&quot;PMID&quot;:&quot;35752249&quot;,&quot;URL&quot;:&quot;https://pubmed.ncbi.nlm.nih.gov/35752249/&quot;,&quot;issued&quot;:{&quot;date-parts&quot;:[[2022,10,20]]},&quot;abstract&quot;:&quot;The potential health effects of microplastics (MPs) have become a public concern due to their ubiquitousness in the environment and life. Numerous studies have demonstrated that a high dose of MPs can adversely affect gastrointestinal health. However, few studies have focused on the impact of microplastics on patients' health with respect to gastrointestinal diseases. Inflammatory bowel disease (IBD) has emerged as a global disease with a rapidly increasing incidence. IBD, a specific gastrointestinal illness characterized by acute, chronic inflammation and intestinal barrier dysfunction, might increase sensitivity to MPs exposure. Herein, we investigated the impact and mechanism of PS-MPs on dextran sodium sulfate (DSS)-induced colitis. The results demonstrated that gavage with PS-MPs alone caused minimal effects on the intestinal barrier and liver status of mice. For mice with colitis, additional PS-MPs exposure caused a shorter colon length, aggravated histopathological damage and inflammation, reduced mucus secretion, and increased the colon permeability. Furthermore, PS-MPs exposure also increased the risk of secondary liver injury associated with inflammatory cell infiltration. These findings provide more histopathological evidence and suggest a need for more research on the health risk of MPs for sensitive individuals.&quot;,&quot;publisher&quot;:&quot;Sci Total Environ&quot;,&quot;volume&quot;:&quot;844&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931c1e2-a7df-44a8-96b6-08c6d0b605f2" xsi:nil="true"/>
    <lcf76f155ced4ddcb4097134ff3c332f xmlns="ca43dae8-90d5-4660-b8f3-d03062d29e38">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146243FBB8CDF4482CB2012163EA58E" ma:contentTypeVersion="13" ma:contentTypeDescription="Create a new document." ma:contentTypeScope="" ma:versionID="2ec376a2ee31affbc9b9b6c1df1b0396">
  <xsd:schema xmlns:xsd="http://www.w3.org/2001/XMLSchema" xmlns:xs="http://www.w3.org/2001/XMLSchema" xmlns:p="http://schemas.microsoft.com/office/2006/metadata/properties" xmlns:ns2="b931c1e2-a7df-44a8-96b6-08c6d0b605f2" xmlns:ns3="ca43dae8-90d5-4660-b8f3-d03062d29e38" targetNamespace="http://schemas.microsoft.com/office/2006/metadata/properties" ma:root="true" ma:fieldsID="17694e19813efbe35dd75a942fd78b66" ns2:_="" ns3:_="">
    <xsd:import namespace="b931c1e2-a7df-44a8-96b6-08c6d0b605f2"/>
    <xsd:import namespace="ca43dae8-90d5-4660-b8f3-d03062d29e3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31c1e2-a7df-44a8-96b6-08c6d0b605f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1ec63ca-442e-4e9c-a614-75aa016e3c0e}" ma:internalName="TaxCatchAll" ma:showField="CatchAllData" ma:web="b931c1e2-a7df-44a8-96b6-08c6d0b605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a43dae8-90d5-4660-b8f3-d03062d29e3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e2c7251-c252-4fbc-b6cc-a9e3136299b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129F285-BD91-43D7-8026-20DEDEFE9B0E}">
  <ds:schemaRefs>
    <ds:schemaRef ds:uri="http://schemas.openxmlformats.org/officeDocument/2006/bibliography"/>
  </ds:schemaRefs>
</ds:datastoreItem>
</file>

<file path=customXml/itemProps2.xml><?xml version="1.0" encoding="utf-8"?>
<ds:datastoreItem xmlns:ds="http://schemas.openxmlformats.org/officeDocument/2006/customXml" ds:itemID="{8DFC72F7-4CB0-4479-8DC0-6A42B4D6714F}">
  <ds:schemaRefs>
    <ds:schemaRef ds:uri="http://schemas.microsoft.com/sharepoint/v3/contenttype/forms"/>
  </ds:schemaRefs>
</ds:datastoreItem>
</file>

<file path=customXml/itemProps3.xml><?xml version="1.0" encoding="utf-8"?>
<ds:datastoreItem xmlns:ds="http://schemas.openxmlformats.org/officeDocument/2006/customXml" ds:itemID="{C3B6B6F5-DFE0-4EBF-A998-C942F7FA2B2F}">
  <ds:schemaRefs>
    <ds:schemaRef ds:uri="http://schemas.microsoft.com/office/2006/metadata/properties"/>
    <ds:schemaRef ds:uri="http://schemas.microsoft.com/office/infopath/2007/PartnerControls"/>
    <ds:schemaRef ds:uri="b931c1e2-a7df-44a8-96b6-08c6d0b605f2"/>
    <ds:schemaRef ds:uri="ca43dae8-90d5-4660-b8f3-d03062d29e38"/>
  </ds:schemaRefs>
</ds:datastoreItem>
</file>

<file path=customXml/itemProps4.xml><?xml version="1.0" encoding="utf-8"?>
<ds:datastoreItem xmlns:ds="http://schemas.openxmlformats.org/officeDocument/2006/customXml" ds:itemID="{56F9DC46-BC8B-42FE-9F9A-A27DF70BBD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31c1e2-a7df-44a8-96b6-08c6d0b605f2"/>
    <ds:schemaRef ds:uri="ca43dae8-90d5-4660-b8f3-d03062d29e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398</Words>
  <Characters>2270</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Kopatz, Verena</dc:creator>
  <cp:keywords/>
  <dc:description/>
  <cp:lastModifiedBy>Kopatz, Verena</cp:lastModifiedBy>
  <cp:revision>2</cp:revision>
  <dcterms:created xsi:type="dcterms:W3CDTF">2024-05-23T12:09:00Z</dcterms:created>
  <dcterms:modified xsi:type="dcterms:W3CDTF">2024-05-23T12:09:00Z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0x0101005146243FBB8CDF4482CB2012163EA58E</vt:lpwstr>
  </property>
  <property fmtid="{D5CDD505-2E9C-101B-9397-08002B2CF9AE}" pid="3" name="MediaServiceImageTags">
    <vt:lpwstr/>
  </property>
  <property fmtid="{D5CDD505-2E9C-101B-9397-08002B2CF9AE}" pid="4" name="Mendeley Document_1">
    <vt:lpwstr>True</vt:lpwstr>
  </property>
  <property fmtid="{D5CDD505-2E9C-101B-9397-08002B2CF9AE}" pid="5" name="Mendeley Unique User Id_1">
    <vt:lpwstr>cb6a62a4-3fb1-35ce-b08d-7ab1389497a6</vt:lpwstr>
  </property>
  <property fmtid="{D5CDD505-2E9C-101B-9397-08002B2CF9AE}" pid="6" name="Mendeley Citation Style_1">
    <vt:lpwstr>http://www.zotero.org/styles/elsevier-vancouver</vt:lpwstr>
  </property>
  <property fmtid="{D5CDD505-2E9C-101B-9397-08002B2CF9AE}" pid="7" name="Mendeley Recent Style Id 0_1">
    <vt:lpwstr>http://www.zotero.org/styles/american-medical-association</vt:lpwstr>
  </property>
  <property fmtid="{D5CDD505-2E9C-101B-9397-08002B2CF9AE}" pid="8" name="Mendeley Recent Style Name 0_1">
    <vt:lpwstr>American Medical Association 11th edition</vt:lpwstr>
  </property>
  <property fmtid="{D5CDD505-2E9C-101B-9397-08002B2CF9AE}" pid="9" name="Mendeley Recent Style Id 1_1">
    <vt:lpwstr>http://www.zotero.org/styles/american-political-science-association</vt:lpwstr>
  </property>
  <property fmtid="{D5CDD505-2E9C-101B-9397-08002B2CF9AE}" pid="10" name="Mendeley Recent Style Name 1_1">
    <vt:lpwstr>American Political Science Association</vt:lpwstr>
  </property>
  <property fmtid="{D5CDD505-2E9C-101B-9397-08002B2CF9AE}" pid="11" name="Mendeley Recent Style Id 2_1">
    <vt:lpwstr>http://www.zotero.org/styles/apa</vt:lpwstr>
  </property>
  <property fmtid="{D5CDD505-2E9C-101B-9397-08002B2CF9AE}" pid="12" name="Mendeley Recent Style Name 2_1">
    <vt:lpwstr>American Psychological Association 7th edition</vt:lpwstr>
  </property>
  <property fmtid="{D5CDD505-2E9C-101B-9397-08002B2CF9AE}" pid="13" name="Mendeley Recent Style Id 3_1">
    <vt:lpwstr>http://www.zotero.org/styles/american-sociological-association</vt:lpwstr>
  </property>
  <property fmtid="{D5CDD505-2E9C-101B-9397-08002B2CF9AE}" pid="14" name="Mendeley Recent Style Name 3_1">
    <vt:lpwstr>American Sociological Association 6th edition</vt:lpwstr>
  </property>
  <property fmtid="{D5CDD505-2E9C-101B-9397-08002B2CF9AE}" pid="15" name="Mendeley Recent Style Id 4_1">
    <vt:lpwstr>http://www.zotero.org/styles/harvard-cite-them-right</vt:lpwstr>
  </property>
  <property fmtid="{D5CDD505-2E9C-101B-9397-08002B2CF9AE}" pid="16" name="Mendeley Recent Style Name 4_1">
    <vt:lpwstr>Cite Them Right 10th edition - Harvard</vt:lpwstr>
  </property>
  <property fmtid="{D5CDD505-2E9C-101B-9397-08002B2CF9AE}" pid="17" name="Mendeley Recent Style Id 5_1">
    <vt:lpwstr>http://www.zotero.org/styles/elsevier-vancouver</vt:lpwstr>
  </property>
  <property fmtid="{D5CDD505-2E9C-101B-9397-08002B2CF9AE}" pid="18" name="Mendeley Recent Style Name 5_1">
    <vt:lpwstr>Elsevier - Vancouver</vt:lpwstr>
  </property>
  <property fmtid="{D5CDD505-2E9C-101B-9397-08002B2CF9AE}" pid="19" name="Mendeley Recent Style Id 6_1">
    <vt:lpwstr>http://www.zotero.org/styles/modern-humanities-research-association</vt:lpwstr>
  </property>
  <property fmtid="{D5CDD505-2E9C-101B-9397-08002B2CF9AE}" pid="20" name="Mendeley Recent Style Name 6_1">
    <vt:lpwstr>Modern Humanities Research Association 3rd edition (note with bibliography)</vt:lpwstr>
  </property>
  <property fmtid="{D5CDD505-2E9C-101B-9397-08002B2CF9AE}" pid="21" name="Mendeley Recent Style Id 7_1">
    <vt:lpwstr>http://www.zotero.org/styles/modern-language-association</vt:lpwstr>
  </property>
  <property fmtid="{D5CDD505-2E9C-101B-9397-08002B2CF9AE}" pid="22" name="Mendeley Recent Style Name 7_1">
    <vt:lpwstr>Modern Language Association 8th edition</vt:lpwstr>
  </property>
  <property fmtid="{D5CDD505-2E9C-101B-9397-08002B2CF9AE}" pid="23" name="Mendeley Recent Style Id 8_1">
    <vt:lpwstr>http://www.zotero.org/styles/nature</vt:lpwstr>
  </property>
  <property fmtid="{D5CDD505-2E9C-101B-9397-08002B2CF9AE}" pid="24" name="Mendeley Recent Style Name 8_1">
    <vt:lpwstr>Nature</vt:lpwstr>
  </property>
  <property fmtid="{D5CDD505-2E9C-101B-9397-08002B2CF9AE}" pid="25" name="Mendeley Recent Style Id 9_1">
    <vt:lpwstr>http://www.zotero.org/styles/vancouver</vt:lpwstr>
  </property>
  <property fmtid="{D5CDD505-2E9C-101B-9397-08002B2CF9AE}" pid="26" name="Mendeley Recent Style Name 9_1">
    <vt:lpwstr>Vancouver</vt:lpwstr>
  </property>
</Properties>
</file>