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2AA70" w14:textId="4E4AF9EB" w:rsidR="00C7662B" w:rsidRDefault="001D592C" w:rsidP="0080277D">
      <w:pPr>
        <w:spacing w:line="480" w:lineRule="auto"/>
        <w:rPr>
          <w:rFonts w:ascii="Times New Roman" w:hAnsi="Times New Roman" w:cs="Times New Roman"/>
          <w:b/>
          <w:bCs/>
          <w:sz w:val="28"/>
          <w:szCs w:val="28"/>
        </w:rPr>
      </w:pPr>
      <w:r>
        <w:rPr>
          <w:rFonts w:ascii="Times New Roman" w:hAnsi="Times New Roman" w:cs="Times New Roman"/>
          <w:b/>
          <w:bCs/>
          <w:sz w:val="28"/>
          <w:szCs w:val="28"/>
        </w:rPr>
        <w:t xml:space="preserve">Exploring of </w:t>
      </w:r>
      <w:r w:rsidRPr="001D592C">
        <w:rPr>
          <w:rFonts w:ascii="Times New Roman" w:hAnsi="Times New Roman" w:cs="Times New Roman"/>
          <w:b/>
          <w:bCs/>
          <w:sz w:val="28"/>
          <w:szCs w:val="28"/>
        </w:rPr>
        <w:t>TNF-</w:t>
      </w:r>
      <w:r w:rsidRPr="0038450D">
        <w:rPr>
          <w:rFonts w:ascii="Times New Roman" w:hAnsi="Times New Roman" w:cs="Times New Roman"/>
          <w:b/>
          <w:bCs/>
          <w:sz w:val="28"/>
          <w:szCs w:val="28"/>
        </w:rPr>
        <w:t>α</w:t>
      </w:r>
      <w:r>
        <w:rPr>
          <w:rFonts w:ascii="Times New Roman" w:hAnsi="Times New Roman" w:cs="Times New Roman"/>
          <w:b/>
          <w:bCs/>
          <w:sz w:val="28"/>
          <w:szCs w:val="28"/>
        </w:rPr>
        <w:t xml:space="preserve"> </w:t>
      </w:r>
      <w:r w:rsidR="0038450D">
        <w:rPr>
          <w:rFonts w:ascii="Times New Roman" w:hAnsi="Times New Roman" w:cs="Times New Roman"/>
          <w:b/>
          <w:bCs/>
          <w:sz w:val="28"/>
          <w:szCs w:val="28"/>
        </w:rPr>
        <w:t>concentration and treating time</w:t>
      </w:r>
    </w:p>
    <w:p w14:paraId="5DDAFEDE" w14:textId="3EB45228" w:rsidR="0080277D" w:rsidRPr="00FE235C" w:rsidRDefault="0080277D" w:rsidP="0080277D">
      <w:pPr>
        <w:spacing w:line="480" w:lineRule="auto"/>
        <w:rPr>
          <w:rFonts w:ascii="Times New Roman" w:hAnsi="Times New Roman" w:cs="Times New Roman"/>
          <w:sz w:val="24"/>
        </w:rPr>
      </w:pPr>
      <w:r w:rsidRPr="00FE235C">
        <w:rPr>
          <w:rFonts w:ascii="Times New Roman" w:hAnsi="Times New Roman" w:cs="Times New Roman"/>
          <w:sz w:val="24"/>
        </w:rPr>
        <w:tab/>
        <w:t>CCK-8 kit was used to analyze mature oligodendrocyte toxicity at different TNF-</w:t>
      </w:r>
      <w:r w:rsidR="001D592C" w:rsidRPr="00FE235C">
        <w:rPr>
          <w:rFonts w:ascii="Times New Roman" w:hAnsi="Times New Roman" w:cs="Times New Roman"/>
          <w:sz w:val="24"/>
        </w:rPr>
        <w:t>α</w:t>
      </w:r>
      <w:r w:rsidRPr="00FE235C">
        <w:rPr>
          <w:rFonts w:ascii="Times New Roman" w:hAnsi="Times New Roman" w:cs="Times New Roman"/>
          <w:sz w:val="24"/>
        </w:rPr>
        <w:t xml:space="preserve"> concentrations and stimulation times. Mature oligodendrocytes were </w:t>
      </w:r>
      <w:r w:rsidR="00A00419" w:rsidRPr="00FE235C">
        <w:rPr>
          <w:rFonts w:ascii="Times New Roman" w:hAnsi="Times New Roman" w:cs="Times New Roman"/>
          <w:sz w:val="24"/>
        </w:rPr>
        <w:t>plated</w:t>
      </w:r>
      <w:r w:rsidRPr="00FE235C">
        <w:rPr>
          <w:rFonts w:ascii="Times New Roman" w:hAnsi="Times New Roman" w:cs="Times New Roman"/>
          <w:sz w:val="24"/>
        </w:rPr>
        <w:t xml:space="preserve"> in 96-well plate at 1×10</w:t>
      </w:r>
      <w:r w:rsidRPr="00FE235C">
        <w:rPr>
          <w:rFonts w:ascii="Times New Roman" w:hAnsi="Times New Roman" w:cs="Times New Roman"/>
          <w:sz w:val="24"/>
          <w:vertAlign w:val="superscript"/>
        </w:rPr>
        <w:t>4</w:t>
      </w:r>
      <w:r w:rsidRPr="00FE235C">
        <w:rPr>
          <w:rFonts w:ascii="Times New Roman" w:hAnsi="Times New Roman" w:cs="Times New Roman"/>
          <w:sz w:val="24"/>
        </w:rPr>
        <w:t xml:space="preserve"> cells per well. Based on previous studies</w:t>
      </w:r>
      <w:r w:rsidR="00A00419" w:rsidRPr="00FE235C">
        <w:rPr>
          <w:rFonts w:ascii="Times New Roman" w:hAnsi="Times New Roman" w:cs="Times New Roman" w:hint="eastAsia"/>
          <w:sz w:val="24"/>
        </w:rPr>
        <w:t xml:space="preserve"> </w:t>
      </w:r>
      <w:r w:rsidR="00A00419" w:rsidRPr="00FE235C">
        <w:rPr>
          <w:rFonts w:ascii="Times New Roman" w:hAnsi="Times New Roman" w:cs="Times New Roman"/>
          <w:sz w:val="24"/>
        </w:rPr>
        <w:fldChar w:fldCharType="begin"/>
      </w:r>
      <w:r w:rsidR="00A00419" w:rsidRPr="00FE235C">
        <w:rPr>
          <w:rFonts w:ascii="Times New Roman" w:hAnsi="Times New Roman" w:cs="Times New Roman"/>
          <w:sz w:val="24"/>
        </w:rPr>
        <w:instrText xml:space="preserve"> ADDIN ZOTERO_ITEM CSL_CITATION {"citationID":"givQ6FOd","properties":{"formattedCitation":"[1,2]","plainCitation":"[1,2]","noteIndex":0},"citationItems":[{"id":1074,"uris":["http://zotero.org/users/11330821/items/P2BUTBIW"],"itemData":{"id":1074,"type":"article-journal","abstract":"Chlorogenic acid (CGA), a polyphenol found mainly in coffee and tea, exerts antioxidant, anti-inflammatory and anti-apoptotic effects at the gastrointestinal level. However, although CGA is known to cross the blood–brain barrier (BBB), its effects on the CNS are still unknown. Oligodendrocytes (OLs), the myelin-forming cells in the CNS, are the main target in demyelinating neuroinflammatory diseases such as multiple sclerosis (MS). We evaluated the antioxidant, anti-inflammatory and anti-apoptotic roles of CGA in M03-13, an immortalized human OL cell line. We found that CGA reduces intracellular superoxide ions, mitochondrial reactive oxygen species (ROS) and NADPH oxidases (NOXs) /dual oxidase 2 (DUOX2) protein levels. The stimulation of M03-13 cells with TNFα activates the nuclear factor kappa-light-chain-enhancer of activated B cell (NF-kB) pathway, leading to an increase in superoxide ion, NOXs/DUOX2 and phosphorylated extracellular regulated protein kinase (pERK) levels. In addition, tumor necrosis factor alpha (TNF-α) stimulation induces caspase 8 activation and the cleavage of poly-ADP-ribose polymerase (PARP). All these TNFα-induced effects are reversed by CGA. Furthermore, CGA induces a blockade of proliferation, driving cells to differentiation, resulting in increased mRNA levels of myelin basic protein (MBP) and proteolipid protein (PLP), which are major markers of mature OLs. Overall, these data suggest that dietary supplementation with this polyphenol could play an important beneficial role in autoimmune neuroinflammatory diseases such as MS.","container-title":"International Journal of Molecular Sciences","DOI":"10.3390/ijms242316731","ISSN":"1422-0067","issue":"23","journalAbbreviation":"Int J Mol Sci","note":"PMID: 38069054\nPMCID: PMC10706857","page":"16731","source":"PubMed Central","title":"Antioxidant, Anti-Inflammatory and Pro-Differentiative Effects of Chlorogenic Acid on M03-13 Human Oligodendrocyte-like Cells","volume":"24","author":[{"family":"La Rosa","given":"Giuliana"},{"family":"Sozio","given":"Concetta"},{"family":"Pipicelli","given":"Luca"},{"family":"Raia","given":"Maddalena"},{"family":"Palmiero","given":"Anna"},{"family":"Santillo","given":"Mariarosaria"},{"family":"Damiano","given":"Simona"}],"issued":{"date-parts":[["2023",11,24]]}},"label":"page"},{"id":1071,"uris":["http://zotero.org/users/11330821/items/MNJ5PDFF"],"itemData":{"id":1071,"type":"article-journal","abstract":"Th1 cytokine-induced loss of oligodendrocytes (OLs) is associated with axonal loss in CNS demyelinating diseases such as multiple sclerosis (MS)that contributes to neurological disabilities in affected individuals. Recent studies indicated that, in addition to Th1-phenotype cytokines including tumor necrosis factor (TNF)-α, Th17 phenotype cytokine, interleukin (IL)-17 also involved in the development of MS. In this study, we investigated the direct effect of IL-17 on the survival of OLs in the presence of TNF-α and individually in vitro settings. Our findings suggest that IL-17 alone, however, was not able to affect the survival of OLs, but it exacerbates the TNF-α-induced OL apoptosis as compared with individual TNF-α treatment. This effect of cytokines was ascribed to an inhibition of cell-survival mechanisms, co-localization of Bid/Bax proteins in the mitochondrial membrane and caspase 8 activation mediated release of apoptosis inducing factor from mitochondria in treated OLs. In addition, cytokine treatment disturbed the mitochondrial membrane potential in OLs with corresponding increase in the generation of reactive oxygen species, which were attenuated by N-acetyl cysteine treatment. In addition, combining of these cytokines induced cell-cycle arrest at G1/S phases in OL-like cells and inhibited the maturation of OL progenitor cells that was attenuated by peroxisome proliferator-activated receptor-γ/-β agonists. Collectively, these data provide initial evidence that IL-17 exacerbates TNF-α-induced OL loss and inhibits the differentiation of OL progenitor cells suggesting that antioxidant- or peroxisome proliferator-activated receptor agonist-based therapies have potential to limit CNS demyelination in MS or other related demyelinating disorders.","container-title":"Journal of Neurochemistry","DOI":"10.1111/j.1471-4159.2010.07136.x","ISSN":"1471-4159","issue":"4","journalAbbreviation":"J Neurochem","language":"eng","note":"PMID: 21143599\nPMCID: PMC3033460","page":"508-521","source":"PubMed","title":"Synergistic activity of interleukin-17 and tumor necrosis factor-α enhances oxidative stress-mediated oligodendrocyte apoptosis","volume":"116","author":[{"family":"Paintlia","given":"Manjeet K."},{"family":"Paintlia","given":"Ajaib S."},{"family":"Singh","given":"Avtar K."},{"family":"Singh","given":"Inderjit"}],"issued":{"date-parts":[["2011",2]]}},"label":"page"}],"schema":"https://github.com/citation-style-language/schema/raw/master/csl-citation.json"} </w:instrText>
      </w:r>
      <w:r w:rsidR="00A00419" w:rsidRPr="00FE235C">
        <w:rPr>
          <w:rFonts w:ascii="Times New Roman" w:hAnsi="Times New Roman" w:cs="Times New Roman"/>
          <w:sz w:val="24"/>
        </w:rPr>
        <w:fldChar w:fldCharType="separate"/>
      </w:r>
      <w:r w:rsidR="00A00419" w:rsidRPr="00FE235C">
        <w:rPr>
          <w:rFonts w:ascii="Times New Roman" w:hAnsi="Times New Roman" w:cs="Times New Roman"/>
          <w:noProof/>
          <w:sz w:val="24"/>
        </w:rPr>
        <w:t>[1,2]</w:t>
      </w:r>
      <w:r w:rsidR="00A00419" w:rsidRPr="00FE235C">
        <w:rPr>
          <w:rFonts w:ascii="Times New Roman" w:hAnsi="Times New Roman" w:cs="Times New Roman"/>
          <w:sz w:val="24"/>
        </w:rPr>
        <w:fldChar w:fldCharType="end"/>
      </w:r>
      <w:r w:rsidRPr="00FE235C">
        <w:rPr>
          <w:rFonts w:ascii="Times New Roman" w:hAnsi="Times New Roman" w:cs="Times New Roman"/>
          <w:sz w:val="24"/>
        </w:rPr>
        <w:t>, TNF-</w:t>
      </w:r>
      <w:bookmarkStart w:id="0" w:name="OLE_LINK122"/>
      <w:r w:rsidRPr="00FE235C">
        <w:rPr>
          <w:rFonts w:ascii="Times New Roman" w:hAnsi="Times New Roman" w:cs="Times New Roman"/>
          <w:sz w:val="24"/>
        </w:rPr>
        <w:t>α</w:t>
      </w:r>
      <w:bookmarkEnd w:id="0"/>
      <w:r w:rsidRPr="00FE235C">
        <w:rPr>
          <w:rFonts w:ascii="Times New Roman" w:hAnsi="Times New Roman" w:cs="Times New Roman"/>
          <w:sz w:val="24"/>
        </w:rPr>
        <w:t xml:space="preserve"> was administered at final concentrations of 5ng/mL, 10ng/mL, 20ng/mL, and 50ng/</w:t>
      </w:r>
      <w:proofErr w:type="spellStart"/>
      <w:r w:rsidRPr="00FE235C">
        <w:rPr>
          <w:rFonts w:ascii="Times New Roman" w:hAnsi="Times New Roman" w:cs="Times New Roman"/>
          <w:sz w:val="24"/>
        </w:rPr>
        <w:t>mL.</w:t>
      </w:r>
      <w:proofErr w:type="spellEnd"/>
      <w:r w:rsidRPr="00FE235C">
        <w:rPr>
          <w:rFonts w:ascii="Times New Roman" w:hAnsi="Times New Roman" w:cs="Times New Roman"/>
          <w:sz w:val="24"/>
        </w:rPr>
        <w:t xml:space="preserve"> Each concentration was tested </w:t>
      </w:r>
      <w:r w:rsidR="00A00419" w:rsidRPr="00FE235C">
        <w:rPr>
          <w:rFonts w:ascii="Times New Roman" w:hAnsi="Times New Roman" w:cs="Times New Roman" w:hint="eastAsia"/>
          <w:sz w:val="24"/>
        </w:rPr>
        <w:t>for</w:t>
      </w:r>
      <w:r w:rsidRPr="00FE235C">
        <w:rPr>
          <w:rFonts w:ascii="Times New Roman" w:hAnsi="Times New Roman" w:cs="Times New Roman"/>
          <w:sz w:val="24"/>
        </w:rPr>
        <w:t xml:space="preserve"> 4h, 10h, 18h, 24h, and 48h </w:t>
      </w:r>
      <w:r w:rsidR="00A00419" w:rsidRPr="00FE235C">
        <w:rPr>
          <w:rFonts w:ascii="Times New Roman" w:hAnsi="Times New Roman" w:cs="Times New Roman"/>
          <w:sz w:val="24"/>
        </w:rPr>
        <w:t>of treatment</w:t>
      </w:r>
      <w:r w:rsidRPr="00FE235C">
        <w:rPr>
          <w:rFonts w:ascii="Times New Roman" w:hAnsi="Times New Roman" w:cs="Times New Roman"/>
          <w:sz w:val="24"/>
        </w:rPr>
        <w:t xml:space="preserve">. </w:t>
      </w:r>
      <w:r w:rsidR="00A00419" w:rsidRPr="00FE235C">
        <w:rPr>
          <w:rFonts w:ascii="Times New Roman" w:hAnsi="Times New Roman" w:cs="Times New Roman"/>
          <w:sz w:val="24"/>
        </w:rPr>
        <w:t>T</w:t>
      </w:r>
      <w:r w:rsidRPr="00FE235C">
        <w:rPr>
          <w:rFonts w:ascii="Times New Roman" w:hAnsi="Times New Roman" w:cs="Times New Roman"/>
          <w:sz w:val="24"/>
        </w:rPr>
        <w:t>he</w:t>
      </w:r>
      <w:r w:rsidR="00A00419" w:rsidRPr="00FE235C">
        <w:rPr>
          <w:rFonts w:ascii="Times New Roman" w:hAnsi="Times New Roman" w:cs="Times New Roman"/>
          <w:sz w:val="24"/>
        </w:rPr>
        <w:t xml:space="preserve"> </w:t>
      </w:r>
      <w:r w:rsidRPr="00FE235C">
        <w:rPr>
          <w:rFonts w:ascii="Times New Roman" w:hAnsi="Times New Roman" w:cs="Times New Roman"/>
          <w:sz w:val="24"/>
        </w:rPr>
        <w:t xml:space="preserve">control </w:t>
      </w:r>
      <w:r w:rsidR="00A00419" w:rsidRPr="00FE235C">
        <w:rPr>
          <w:rFonts w:ascii="Times New Roman" w:hAnsi="Times New Roman" w:cs="Times New Roman"/>
          <w:sz w:val="24"/>
        </w:rPr>
        <w:t>wells</w:t>
      </w:r>
      <w:r w:rsidRPr="00FE235C">
        <w:rPr>
          <w:rFonts w:ascii="Times New Roman" w:hAnsi="Times New Roman" w:cs="Times New Roman"/>
          <w:sz w:val="24"/>
        </w:rPr>
        <w:t xml:space="preserve"> w</w:t>
      </w:r>
      <w:r w:rsidR="00A00419" w:rsidRPr="00FE235C">
        <w:rPr>
          <w:rFonts w:ascii="Times New Roman" w:hAnsi="Times New Roman" w:cs="Times New Roman"/>
          <w:sz w:val="24"/>
        </w:rPr>
        <w:t>ere</w:t>
      </w:r>
      <w:r w:rsidRPr="00FE235C">
        <w:rPr>
          <w:rFonts w:ascii="Times New Roman" w:hAnsi="Times New Roman" w:cs="Times New Roman"/>
          <w:sz w:val="24"/>
        </w:rPr>
        <w:t xml:space="preserve"> </w:t>
      </w:r>
      <w:r w:rsidR="00A00419" w:rsidRPr="00FE235C">
        <w:rPr>
          <w:rFonts w:ascii="Times New Roman" w:hAnsi="Times New Roman" w:cs="Times New Roman"/>
          <w:sz w:val="24"/>
        </w:rPr>
        <w:t>treated with PBS</w:t>
      </w:r>
      <w:r w:rsidRPr="00FE235C">
        <w:rPr>
          <w:rFonts w:ascii="Times New Roman" w:hAnsi="Times New Roman" w:cs="Times New Roman"/>
          <w:sz w:val="24"/>
        </w:rPr>
        <w:t>, and corresponding blank wells (wells with medium</w:t>
      </w:r>
      <w:r w:rsidR="00A00419" w:rsidRPr="00FE235C">
        <w:rPr>
          <w:rFonts w:ascii="Times New Roman" w:hAnsi="Times New Roman" w:cs="Times New Roman"/>
          <w:sz w:val="24"/>
        </w:rPr>
        <w:t xml:space="preserve"> </w:t>
      </w:r>
      <w:r w:rsidRPr="00FE235C">
        <w:rPr>
          <w:rFonts w:ascii="Times New Roman" w:hAnsi="Times New Roman" w:cs="Times New Roman"/>
          <w:sz w:val="24"/>
        </w:rPr>
        <w:t xml:space="preserve">but no cells) were set up. After </w:t>
      </w:r>
      <w:r w:rsidR="00A00419" w:rsidRPr="00FE235C">
        <w:rPr>
          <w:rFonts w:ascii="Times New Roman" w:hAnsi="Times New Roman" w:cs="Times New Roman"/>
          <w:sz w:val="24"/>
        </w:rPr>
        <w:t>incubat</w:t>
      </w:r>
      <w:r w:rsidRPr="00FE235C">
        <w:rPr>
          <w:rFonts w:ascii="Times New Roman" w:hAnsi="Times New Roman" w:cs="Times New Roman"/>
          <w:sz w:val="24"/>
        </w:rPr>
        <w:t xml:space="preserve">ing for an appropriate time, 10μL of CCK-8 solution was added to all </w:t>
      </w:r>
      <w:r w:rsidR="00A00419" w:rsidRPr="00FE235C">
        <w:rPr>
          <w:rFonts w:ascii="Times New Roman" w:hAnsi="Times New Roman" w:cs="Times New Roman"/>
          <w:sz w:val="24"/>
        </w:rPr>
        <w:t>wells and</w:t>
      </w:r>
      <w:r w:rsidRPr="00FE235C">
        <w:rPr>
          <w:rFonts w:ascii="Times New Roman" w:hAnsi="Times New Roman" w:cs="Times New Roman"/>
          <w:sz w:val="24"/>
        </w:rPr>
        <w:t xml:space="preserve"> incubated </w:t>
      </w:r>
      <w:r w:rsidR="00A00419" w:rsidRPr="00FE235C">
        <w:rPr>
          <w:rFonts w:ascii="Times New Roman" w:hAnsi="Times New Roman" w:cs="Times New Roman"/>
          <w:sz w:val="24"/>
        </w:rPr>
        <w:t>at 37</w:t>
      </w:r>
      <w:r w:rsidR="00A00419" w:rsidRPr="00FE235C">
        <w:rPr>
          <w:rFonts w:ascii="Times New Roman" w:hAnsi="Times New Roman" w:cs="Times New Roman"/>
          <w:sz w:val="24"/>
          <w:vertAlign w:val="superscript"/>
        </w:rPr>
        <w:t>◦</w:t>
      </w:r>
      <w:r w:rsidR="00A00419" w:rsidRPr="00FE235C">
        <w:rPr>
          <w:rFonts w:ascii="Times New Roman" w:hAnsi="Times New Roman" w:cs="Times New Roman"/>
          <w:sz w:val="24"/>
        </w:rPr>
        <w:t xml:space="preserve">C </w:t>
      </w:r>
      <w:r w:rsidRPr="00FE235C">
        <w:rPr>
          <w:rFonts w:ascii="Times New Roman" w:hAnsi="Times New Roman" w:cs="Times New Roman"/>
          <w:sz w:val="24"/>
        </w:rPr>
        <w:t>for 4</w:t>
      </w:r>
      <w:r w:rsidR="00A00419" w:rsidRPr="00FE235C">
        <w:rPr>
          <w:rFonts w:ascii="Times New Roman" w:hAnsi="Times New Roman" w:cs="Times New Roman"/>
          <w:sz w:val="24"/>
        </w:rPr>
        <w:t>h</w:t>
      </w:r>
      <w:r w:rsidRPr="00FE235C">
        <w:rPr>
          <w:rFonts w:ascii="Times New Roman" w:hAnsi="Times New Roman" w:cs="Times New Roman"/>
          <w:sz w:val="24"/>
        </w:rPr>
        <w:t>. The absorbance at 450 nm was measured. The inhibition rate of the drug on the cells was calculated using the formula:</w:t>
      </w:r>
      <w:r w:rsidR="00A931AC" w:rsidRPr="00FE235C">
        <w:rPr>
          <w:rFonts w:ascii="Times New Roman" w:hAnsi="Times New Roman" w:cs="Times New Roman"/>
          <w:sz w:val="24"/>
        </w:rPr>
        <w:t xml:space="preserve"> </w:t>
      </w:r>
      <w:r w:rsidRPr="00FE235C">
        <w:rPr>
          <w:rFonts w:ascii="Times New Roman" w:hAnsi="Times New Roman" w:cs="Times New Roman"/>
          <w:sz w:val="24"/>
        </w:rPr>
        <w:t>Inhibition rate % = [(Control - Blank) - (Test - Blank)] / (Control - Blank) × 100%</w:t>
      </w:r>
      <w:r w:rsidR="00A931AC" w:rsidRPr="00FE235C">
        <w:rPr>
          <w:rFonts w:ascii="Times New Roman" w:hAnsi="Times New Roman" w:cs="Times New Roman"/>
          <w:sz w:val="24"/>
        </w:rPr>
        <w:t>.</w:t>
      </w:r>
    </w:p>
    <w:p w14:paraId="5D9568A9" w14:textId="6C980E68" w:rsidR="00A931AC" w:rsidRPr="00FE235C" w:rsidRDefault="00A931AC" w:rsidP="0080277D">
      <w:pPr>
        <w:spacing w:line="480" w:lineRule="auto"/>
        <w:rPr>
          <w:rFonts w:ascii="Times New Roman" w:hAnsi="Times New Roman" w:cs="Times New Roman"/>
          <w:sz w:val="24"/>
        </w:rPr>
      </w:pPr>
      <w:r w:rsidRPr="00FE235C">
        <w:rPr>
          <w:rFonts w:ascii="Times New Roman" w:hAnsi="Times New Roman" w:cs="Times New Roman"/>
          <w:sz w:val="24"/>
        </w:rPr>
        <w:tab/>
      </w:r>
      <w:r w:rsidR="00D4402B" w:rsidRPr="00FE235C">
        <w:rPr>
          <w:rFonts w:ascii="Times New Roman" w:hAnsi="Times New Roman" w:cs="Times New Roman"/>
          <w:sz w:val="24"/>
        </w:rPr>
        <w:t>Mature oligodendrocytes treated with TNF-α at 50ng/mL for 18h, 20ng/mL for 48h, and 50ng/mL for 48h, resulting in a significantly higher inhibition rate (</w:t>
      </w:r>
      <w:r w:rsidR="00C139D2" w:rsidRPr="00FE235C">
        <w:rPr>
          <w:rFonts w:ascii="Times New Roman" w:hAnsi="Times New Roman" w:cs="Times New Roman"/>
          <w:sz w:val="24"/>
        </w:rPr>
        <w:t xml:space="preserve">Supplement </w:t>
      </w:r>
      <w:r w:rsidR="00D4402B" w:rsidRPr="00FE235C">
        <w:rPr>
          <w:rFonts w:ascii="Times New Roman" w:hAnsi="Times New Roman" w:cs="Times New Roman"/>
          <w:sz w:val="24"/>
        </w:rPr>
        <w:t>Fig.</w:t>
      </w:r>
      <w:r w:rsidR="00C139D2" w:rsidRPr="00FE235C">
        <w:rPr>
          <w:rFonts w:ascii="Times New Roman" w:hAnsi="Times New Roman" w:cs="Times New Roman"/>
          <w:sz w:val="24"/>
        </w:rPr>
        <w:t xml:space="preserve"> 1A</w:t>
      </w:r>
      <w:r w:rsidR="00D4402B" w:rsidRPr="00FE235C">
        <w:rPr>
          <w:rFonts w:ascii="Times New Roman" w:hAnsi="Times New Roman" w:cs="Times New Roman" w:hint="eastAsia"/>
          <w:sz w:val="24"/>
        </w:rPr>
        <w:t>)</w:t>
      </w:r>
      <w:r w:rsidR="00D4402B" w:rsidRPr="00FE235C">
        <w:rPr>
          <w:rFonts w:ascii="Times New Roman" w:hAnsi="Times New Roman" w:cs="Times New Roman"/>
          <w:sz w:val="24"/>
        </w:rPr>
        <w:t xml:space="preserve">. Subsequently, </w:t>
      </w:r>
      <w:r w:rsidR="00300BD5" w:rsidRPr="00FE235C">
        <w:rPr>
          <w:rFonts w:ascii="Times New Roman" w:hAnsi="Times New Roman" w:cs="Times New Roman"/>
          <w:sz w:val="24"/>
        </w:rPr>
        <w:t>we</w:t>
      </w:r>
      <w:r w:rsidR="00D4402B" w:rsidRPr="00FE235C">
        <w:rPr>
          <w:rFonts w:ascii="Times New Roman" w:hAnsi="Times New Roman" w:cs="Times New Roman"/>
          <w:sz w:val="24"/>
        </w:rPr>
        <w:t xml:space="preserve"> measured the GAPDH protein levels in mature oligodendrocytes under different TNF-α concentrations and stimulation durations, revealing that the lowest GAPDH protein content occurred at 50ng/mL TNF-α after 18h of stimulation (</w:t>
      </w:r>
      <w:r w:rsidR="00300BD5" w:rsidRPr="00FE235C">
        <w:rPr>
          <w:rFonts w:ascii="Times New Roman" w:hAnsi="Times New Roman" w:cs="Times New Roman"/>
          <w:sz w:val="24"/>
        </w:rPr>
        <w:t>Supplement Fig. 1B</w:t>
      </w:r>
      <w:r w:rsidR="00D4402B" w:rsidRPr="00FE235C">
        <w:rPr>
          <w:rFonts w:ascii="Times New Roman" w:hAnsi="Times New Roman" w:cs="Times New Roman"/>
          <w:sz w:val="24"/>
        </w:rPr>
        <w:t xml:space="preserve">). Based on these results, </w:t>
      </w:r>
      <w:r w:rsidR="00300BD5" w:rsidRPr="00FE235C">
        <w:rPr>
          <w:rFonts w:ascii="Times New Roman" w:hAnsi="Times New Roman" w:cs="Times New Roman"/>
          <w:sz w:val="24"/>
        </w:rPr>
        <w:t>we</w:t>
      </w:r>
      <w:r w:rsidR="00D4402B" w:rsidRPr="00FE235C">
        <w:rPr>
          <w:rFonts w:ascii="Times New Roman" w:hAnsi="Times New Roman" w:cs="Times New Roman"/>
          <w:sz w:val="24"/>
        </w:rPr>
        <w:t xml:space="preserve"> chose to stimulate mature oligodendrocytes with 50ng/mL TNF-α for 18h to establish a cellular model of TNF-α-induced damage in mature oligodendrocytes</w:t>
      </w:r>
      <w:r w:rsidR="00300BD5" w:rsidRPr="00FE235C">
        <w:rPr>
          <w:rFonts w:ascii="Times New Roman" w:hAnsi="Times New Roman" w:cs="Times New Roman"/>
          <w:sz w:val="24"/>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0"/>
      </w:tblGrid>
      <w:tr w:rsidR="00300BD5" w:rsidRPr="00FE235C" w14:paraId="1AA54EFF" w14:textId="77777777" w:rsidTr="000962C7">
        <w:tc>
          <w:tcPr>
            <w:tcW w:w="10450" w:type="dxa"/>
          </w:tcPr>
          <w:p w14:paraId="73C9AAAB" w14:textId="4233A434" w:rsidR="00300BD5" w:rsidRPr="00FE235C" w:rsidRDefault="004F3D1D" w:rsidP="0080277D">
            <w:pPr>
              <w:spacing w:line="480" w:lineRule="auto"/>
              <w:rPr>
                <w:rFonts w:ascii="Times New Roman" w:hAnsi="Times New Roman" w:cs="Times New Roman"/>
                <w:sz w:val="24"/>
              </w:rPr>
            </w:pPr>
            <w:r w:rsidRPr="00FE235C">
              <w:rPr>
                <w:rFonts w:ascii="Times New Roman" w:hAnsi="Times New Roman" w:cs="Times New Roman"/>
                <w:noProof/>
                <w:sz w:val="24"/>
              </w:rPr>
              <w:lastRenderedPageBreak/>
              <w:drawing>
                <wp:inline distT="0" distB="0" distL="0" distR="0" wp14:anchorId="522F282B" wp14:editId="42A7DB46">
                  <wp:extent cx="6642100" cy="4718304"/>
                  <wp:effectExtent l="0" t="0" r="0" b="6350"/>
                  <wp:docPr id="1004667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67317" name=""/>
                          <pic:cNvPicPr/>
                        </pic:nvPicPr>
                        <pic:blipFill rotWithShape="1">
                          <a:blip r:embed="rId5"/>
                          <a:srcRect b="36127"/>
                          <a:stretch/>
                        </pic:blipFill>
                        <pic:spPr bwMode="auto">
                          <a:xfrm>
                            <a:off x="0" y="0"/>
                            <a:ext cx="6642100" cy="4718304"/>
                          </a:xfrm>
                          <a:prstGeom prst="rect">
                            <a:avLst/>
                          </a:prstGeom>
                          <a:ln>
                            <a:noFill/>
                          </a:ln>
                          <a:extLst>
                            <a:ext uri="{53640926-AAD7-44D8-BBD7-CCE9431645EC}">
                              <a14:shadowObscured xmlns:a14="http://schemas.microsoft.com/office/drawing/2010/main"/>
                            </a:ext>
                          </a:extLst>
                        </pic:spPr>
                      </pic:pic>
                    </a:graphicData>
                  </a:graphic>
                </wp:inline>
              </w:drawing>
            </w:r>
          </w:p>
        </w:tc>
      </w:tr>
      <w:tr w:rsidR="00300BD5" w:rsidRPr="00FE235C" w14:paraId="333F2F1F" w14:textId="77777777" w:rsidTr="000962C7">
        <w:tc>
          <w:tcPr>
            <w:tcW w:w="10450" w:type="dxa"/>
          </w:tcPr>
          <w:p w14:paraId="52D43D44" w14:textId="4C8850EB" w:rsidR="00300BD5" w:rsidRPr="00FE235C" w:rsidRDefault="00B656EF" w:rsidP="0080277D">
            <w:pPr>
              <w:spacing w:line="480" w:lineRule="auto"/>
              <w:rPr>
                <w:rFonts w:ascii="Times New Roman" w:hAnsi="Times New Roman" w:cs="Times New Roman"/>
                <w:sz w:val="24"/>
              </w:rPr>
            </w:pPr>
            <w:r w:rsidRPr="00FE235C">
              <w:rPr>
                <w:rFonts w:ascii="Times New Roman" w:hAnsi="Times New Roman" w:cs="Times New Roman"/>
                <w:sz w:val="24"/>
              </w:rPr>
              <w:t>Supplement</w:t>
            </w:r>
            <w:r w:rsidR="006A6A7C">
              <w:rPr>
                <w:rFonts w:ascii="Times New Roman" w:hAnsi="Times New Roman" w:cs="Times New Roman"/>
                <w:sz w:val="24"/>
              </w:rPr>
              <w:t>ary</w:t>
            </w:r>
            <w:r w:rsidRPr="00FE235C">
              <w:rPr>
                <w:rFonts w:ascii="Times New Roman" w:hAnsi="Times New Roman" w:cs="Times New Roman"/>
                <w:sz w:val="24"/>
              </w:rPr>
              <w:t xml:space="preserve"> figure 1. Establishment the model for TNF-α-induced damage in mature oligodendrocyte. A. CCK-8 assesses the inhibition rate of mature oligodendrocyte under different concentrations and stimulation times. N=2. B. Relative levels of GAPDH protein in mature oligodendrocyte under different concentrations and stimulation times. N=3.</w:t>
            </w:r>
          </w:p>
        </w:tc>
      </w:tr>
    </w:tbl>
    <w:p w14:paraId="39EC14EF" w14:textId="77777777" w:rsidR="00300BD5" w:rsidRPr="0080277D" w:rsidRDefault="00300BD5" w:rsidP="0080277D">
      <w:pPr>
        <w:spacing w:line="480" w:lineRule="auto"/>
        <w:rPr>
          <w:rFonts w:ascii="Times New Roman" w:hAnsi="Times New Roman" w:cs="Times New Roman"/>
          <w:sz w:val="28"/>
          <w:szCs w:val="28"/>
        </w:rPr>
      </w:pPr>
    </w:p>
    <w:p w14:paraId="35707C51" w14:textId="6952145F" w:rsidR="0080277D" w:rsidRPr="00FE235C" w:rsidRDefault="00FE235C" w:rsidP="0080277D">
      <w:pPr>
        <w:spacing w:line="480" w:lineRule="auto"/>
        <w:rPr>
          <w:rFonts w:ascii="Times New Roman" w:hAnsi="Times New Roman" w:cs="Times New Roman"/>
          <w:b/>
          <w:bCs/>
          <w:sz w:val="28"/>
          <w:szCs w:val="28"/>
        </w:rPr>
      </w:pPr>
      <w:r w:rsidRPr="00FE235C">
        <w:rPr>
          <w:rFonts w:ascii="Times New Roman" w:hAnsi="Times New Roman" w:cs="Times New Roman"/>
          <w:b/>
          <w:bCs/>
          <w:sz w:val="28"/>
          <w:szCs w:val="28"/>
        </w:rPr>
        <w:t>References</w:t>
      </w:r>
    </w:p>
    <w:p w14:paraId="45F640B6" w14:textId="77777777" w:rsidR="00472086" w:rsidRPr="00472086" w:rsidRDefault="00B147AA" w:rsidP="00C6192C">
      <w:pPr>
        <w:pStyle w:val="1"/>
        <w:spacing w:line="480" w:lineRule="auto"/>
        <w:ind w:left="280" w:hangingChars="100" w:hanging="280"/>
      </w:pPr>
      <w:r>
        <w:fldChar w:fldCharType="begin"/>
      </w:r>
      <w:r w:rsidR="00472086">
        <w:instrText xml:space="preserve"> ADDIN ZOTERO_BIBL {"uncited":[],"omitted":[],"custom":[]} CSL_BIBLIOGRAPHY </w:instrText>
      </w:r>
      <w:r>
        <w:fldChar w:fldCharType="separate"/>
      </w:r>
      <w:r w:rsidR="00472086" w:rsidRPr="00472086">
        <w:t xml:space="preserve">1. La Rosa G, Sozio C, Pipicelli L, Raia M, Palmiero A, Santillo M, et al. Antioxidant, Anti-Inflammatory and Pro-Differentiative Effects of Chlorogenic Acid on M03-13 Human Oligodendrocyte-like Cells. Int J Mol Sci. 2023;24:16731. </w:t>
      </w:r>
    </w:p>
    <w:p w14:paraId="131D5F4A" w14:textId="77777777" w:rsidR="00472086" w:rsidRPr="00472086" w:rsidRDefault="00472086" w:rsidP="00C6192C">
      <w:pPr>
        <w:pStyle w:val="1"/>
        <w:spacing w:line="480" w:lineRule="auto"/>
        <w:ind w:left="280" w:hangingChars="100" w:hanging="280"/>
      </w:pPr>
      <w:r w:rsidRPr="00472086">
        <w:t xml:space="preserve">2. Paintlia MK, Paintlia AS, Singh AK, Singh I. Synergistic activity of interleukin-17 and tumor necrosis factor-α enhances oxidative stress-mediated oligodendrocyte apoptosis. J Neurochem. 2011;116:508–21. </w:t>
      </w:r>
    </w:p>
    <w:p w14:paraId="5931E50D" w14:textId="4F4D5E46" w:rsidR="0080277D" w:rsidRPr="0080277D" w:rsidRDefault="00B147AA" w:rsidP="007B491E">
      <w:pPr>
        <w:spacing w:line="480" w:lineRule="auto"/>
        <w:ind w:left="280" w:hangingChars="100" w:hanging="280"/>
        <w:rPr>
          <w:rFonts w:ascii="Times New Roman" w:hAnsi="Times New Roman" w:cs="Times New Roman"/>
          <w:sz w:val="28"/>
          <w:szCs w:val="28"/>
        </w:rPr>
      </w:pPr>
      <w:r>
        <w:rPr>
          <w:rFonts w:ascii="Times New Roman" w:hAnsi="Times New Roman" w:cs="Times New Roman"/>
          <w:sz w:val="28"/>
          <w:szCs w:val="28"/>
        </w:rPr>
        <w:lastRenderedPageBreak/>
        <w:fldChar w:fldCharType="end"/>
      </w:r>
    </w:p>
    <w:p w14:paraId="4B1F13BE" w14:textId="6A2CF970" w:rsidR="0080277D" w:rsidRPr="0080277D" w:rsidRDefault="0080277D" w:rsidP="00CC5C42">
      <w:pPr>
        <w:spacing w:line="480" w:lineRule="auto"/>
        <w:rPr>
          <w:rFonts w:ascii="Times New Roman" w:hAnsi="Times New Roman" w:cs="Times New Roman"/>
          <w:sz w:val="28"/>
          <w:szCs w:val="28"/>
        </w:rPr>
      </w:pPr>
    </w:p>
    <w:sectPr w:rsidR="0080277D" w:rsidRPr="0080277D" w:rsidSect="00CC5C42">
      <w:pgSz w:w="11900" w:h="16840"/>
      <w:pgMar w:top="720" w:right="720" w:bottom="720" w:left="72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C42"/>
    <w:rsid w:val="00001FF2"/>
    <w:rsid w:val="00016C4A"/>
    <w:rsid w:val="00020174"/>
    <w:rsid w:val="00030034"/>
    <w:rsid w:val="00036C5E"/>
    <w:rsid w:val="00064E4F"/>
    <w:rsid w:val="000731A4"/>
    <w:rsid w:val="000962C7"/>
    <w:rsid w:val="000973D0"/>
    <w:rsid w:val="0009749D"/>
    <w:rsid w:val="0009758A"/>
    <w:rsid w:val="000A05E7"/>
    <w:rsid w:val="000D1458"/>
    <w:rsid w:val="000D43D0"/>
    <w:rsid w:val="000D4437"/>
    <w:rsid w:val="000D6A02"/>
    <w:rsid w:val="000F461B"/>
    <w:rsid w:val="0010036C"/>
    <w:rsid w:val="00110194"/>
    <w:rsid w:val="00125941"/>
    <w:rsid w:val="00126109"/>
    <w:rsid w:val="00130F9E"/>
    <w:rsid w:val="001321AD"/>
    <w:rsid w:val="00137F91"/>
    <w:rsid w:val="0015130A"/>
    <w:rsid w:val="00172455"/>
    <w:rsid w:val="0018035B"/>
    <w:rsid w:val="00181C31"/>
    <w:rsid w:val="001835E4"/>
    <w:rsid w:val="00196574"/>
    <w:rsid w:val="001B0E14"/>
    <w:rsid w:val="001C3AC4"/>
    <w:rsid w:val="001D2981"/>
    <w:rsid w:val="001D592C"/>
    <w:rsid w:val="001E192A"/>
    <w:rsid w:val="001F3E37"/>
    <w:rsid w:val="001F4F54"/>
    <w:rsid w:val="001F5437"/>
    <w:rsid w:val="001F56A2"/>
    <w:rsid w:val="002002CB"/>
    <w:rsid w:val="002152F9"/>
    <w:rsid w:val="002403B1"/>
    <w:rsid w:val="00243EE6"/>
    <w:rsid w:val="002546CA"/>
    <w:rsid w:val="0025542F"/>
    <w:rsid w:val="00280A75"/>
    <w:rsid w:val="002937A2"/>
    <w:rsid w:val="002966F1"/>
    <w:rsid w:val="0029680E"/>
    <w:rsid w:val="002A7F29"/>
    <w:rsid w:val="002D7906"/>
    <w:rsid w:val="002F3709"/>
    <w:rsid w:val="00300BD5"/>
    <w:rsid w:val="00307B28"/>
    <w:rsid w:val="00316399"/>
    <w:rsid w:val="00326DA0"/>
    <w:rsid w:val="0033159F"/>
    <w:rsid w:val="00337F09"/>
    <w:rsid w:val="00342862"/>
    <w:rsid w:val="0035702B"/>
    <w:rsid w:val="00360733"/>
    <w:rsid w:val="00367BD1"/>
    <w:rsid w:val="00370AAC"/>
    <w:rsid w:val="0038450D"/>
    <w:rsid w:val="003A0389"/>
    <w:rsid w:val="003A3867"/>
    <w:rsid w:val="003B1C66"/>
    <w:rsid w:val="003B22FD"/>
    <w:rsid w:val="003B3D6D"/>
    <w:rsid w:val="003B5C50"/>
    <w:rsid w:val="003E743A"/>
    <w:rsid w:val="003F7C2D"/>
    <w:rsid w:val="004122BD"/>
    <w:rsid w:val="00416288"/>
    <w:rsid w:val="004266E0"/>
    <w:rsid w:val="00440F9E"/>
    <w:rsid w:val="00445AA5"/>
    <w:rsid w:val="00446DD9"/>
    <w:rsid w:val="004643E6"/>
    <w:rsid w:val="00472086"/>
    <w:rsid w:val="00481C75"/>
    <w:rsid w:val="004861C2"/>
    <w:rsid w:val="004B764A"/>
    <w:rsid w:val="004E0D2D"/>
    <w:rsid w:val="004F25DC"/>
    <w:rsid w:val="004F3D1D"/>
    <w:rsid w:val="004F41A6"/>
    <w:rsid w:val="0052048C"/>
    <w:rsid w:val="00530068"/>
    <w:rsid w:val="00534B01"/>
    <w:rsid w:val="0055336E"/>
    <w:rsid w:val="00574EBC"/>
    <w:rsid w:val="0057675C"/>
    <w:rsid w:val="005816B8"/>
    <w:rsid w:val="005836DC"/>
    <w:rsid w:val="00583995"/>
    <w:rsid w:val="00592BF1"/>
    <w:rsid w:val="005B5E02"/>
    <w:rsid w:val="005B6FDC"/>
    <w:rsid w:val="005C4848"/>
    <w:rsid w:val="005D01B6"/>
    <w:rsid w:val="005D14C7"/>
    <w:rsid w:val="00607A2E"/>
    <w:rsid w:val="00612900"/>
    <w:rsid w:val="00615E44"/>
    <w:rsid w:val="006177C0"/>
    <w:rsid w:val="006277FF"/>
    <w:rsid w:val="0063347E"/>
    <w:rsid w:val="00634ADD"/>
    <w:rsid w:val="00655AD1"/>
    <w:rsid w:val="0069039C"/>
    <w:rsid w:val="006A6A7C"/>
    <w:rsid w:val="006B03B3"/>
    <w:rsid w:val="006B0BC4"/>
    <w:rsid w:val="006B2106"/>
    <w:rsid w:val="006D1B34"/>
    <w:rsid w:val="006E73A8"/>
    <w:rsid w:val="006F388C"/>
    <w:rsid w:val="00752C1A"/>
    <w:rsid w:val="00761F46"/>
    <w:rsid w:val="00767E5D"/>
    <w:rsid w:val="0077014D"/>
    <w:rsid w:val="007A1003"/>
    <w:rsid w:val="007A4E4F"/>
    <w:rsid w:val="007B11DC"/>
    <w:rsid w:val="007B491E"/>
    <w:rsid w:val="007B6E6D"/>
    <w:rsid w:val="007C74C3"/>
    <w:rsid w:val="007D3DCA"/>
    <w:rsid w:val="007D4ECF"/>
    <w:rsid w:val="007E367F"/>
    <w:rsid w:val="007F51C9"/>
    <w:rsid w:val="007F5EED"/>
    <w:rsid w:val="007F65C7"/>
    <w:rsid w:val="0080277D"/>
    <w:rsid w:val="008116CA"/>
    <w:rsid w:val="008302F4"/>
    <w:rsid w:val="00835387"/>
    <w:rsid w:val="00835B65"/>
    <w:rsid w:val="00865DA1"/>
    <w:rsid w:val="00874258"/>
    <w:rsid w:val="008857AA"/>
    <w:rsid w:val="00894A81"/>
    <w:rsid w:val="008C22F1"/>
    <w:rsid w:val="008C7B04"/>
    <w:rsid w:val="008D4D8A"/>
    <w:rsid w:val="008E1EE0"/>
    <w:rsid w:val="008F11F0"/>
    <w:rsid w:val="00901286"/>
    <w:rsid w:val="00901634"/>
    <w:rsid w:val="00912372"/>
    <w:rsid w:val="00935745"/>
    <w:rsid w:val="00936F20"/>
    <w:rsid w:val="00940018"/>
    <w:rsid w:val="00945775"/>
    <w:rsid w:val="00953F7E"/>
    <w:rsid w:val="00965C22"/>
    <w:rsid w:val="009777C6"/>
    <w:rsid w:val="00982F51"/>
    <w:rsid w:val="00986A57"/>
    <w:rsid w:val="00995850"/>
    <w:rsid w:val="009E5374"/>
    <w:rsid w:val="00A003DB"/>
    <w:rsid w:val="00A00419"/>
    <w:rsid w:val="00A00991"/>
    <w:rsid w:val="00A10BA7"/>
    <w:rsid w:val="00A154BE"/>
    <w:rsid w:val="00A157C4"/>
    <w:rsid w:val="00A24C75"/>
    <w:rsid w:val="00A46D77"/>
    <w:rsid w:val="00A67300"/>
    <w:rsid w:val="00A703CD"/>
    <w:rsid w:val="00A775BF"/>
    <w:rsid w:val="00A85990"/>
    <w:rsid w:val="00A931AC"/>
    <w:rsid w:val="00A942E5"/>
    <w:rsid w:val="00A97F26"/>
    <w:rsid w:val="00AB69D7"/>
    <w:rsid w:val="00AB6AB9"/>
    <w:rsid w:val="00AC1F58"/>
    <w:rsid w:val="00AD2533"/>
    <w:rsid w:val="00AD3014"/>
    <w:rsid w:val="00AE7AEA"/>
    <w:rsid w:val="00AF58AF"/>
    <w:rsid w:val="00B10638"/>
    <w:rsid w:val="00B113F0"/>
    <w:rsid w:val="00B147AA"/>
    <w:rsid w:val="00B358D1"/>
    <w:rsid w:val="00B4543A"/>
    <w:rsid w:val="00B45C85"/>
    <w:rsid w:val="00B5158A"/>
    <w:rsid w:val="00B56ED2"/>
    <w:rsid w:val="00B656EF"/>
    <w:rsid w:val="00B71086"/>
    <w:rsid w:val="00B74BAC"/>
    <w:rsid w:val="00BA5C9B"/>
    <w:rsid w:val="00BB5509"/>
    <w:rsid w:val="00BD2F31"/>
    <w:rsid w:val="00BE300B"/>
    <w:rsid w:val="00BF33E0"/>
    <w:rsid w:val="00BF6F01"/>
    <w:rsid w:val="00C028A4"/>
    <w:rsid w:val="00C139D2"/>
    <w:rsid w:val="00C22BD2"/>
    <w:rsid w:val="00C22E3D"/>
    <w:rsid w:val="00C25F3D"/>
    <w:rsid w:val="00C310CA"/>
    <w:rsid w:val="00C502FF"/>
    <w:rsid w:val="00C6192C"/>
    <w:rsid w:val="00C66912"/>
    <w:rsid w:val="00C728E9"/>
    <w:rsid w:val="00C7662B"/>
    <w:rsid w:val="00C83A32"/>
    <w:rsid w:val="00C85FB3"/>
    <w:rsid w:val="00C95D27"/>
    <w:rsid w:val="00C96748"/>
    <w:rsid w:val="00C97C8B"/>
    <w:rsid w:val="00CA704F"/>
    <w:rsid w:val="00CB6AFC"/>
    <w:rsid w:val="00CC5C42"/>
    <w:rsid w:val="00CC60E7"/>
    <w:rsid w:val="00CD029B"/>
    <w:rsid w:val="00CD61E9"/>
    <w:rsid w:val="00CE6F8E"/>
    <w:rsid w:val="00CF12D9"/>
    <w:rsid w:val="00CF28ED"/>
    <w:rsid w:val="00CF3630"/>
    <w:rsid w:val="00CF7567"/>
    <w:rsid w:val="00D16FB7"/>
    <w:rsid w:val="00D172E0"/>
    <w:rsid w:val="00D31F75"/>
    <w:rsid w:val="00D33E34"/>
    <w:rsid w:val="00D372D7"/>
    <w:rsid w:val="00D4402B"/>
    <w:rsid w:val="00D46FF9"/>
    <w:rsid w:val="00D64DE6"/>
    <w:rsid w:val="00D6594D"/>
    <w:rsid w:val="00D74D39"/>
    <w:rsid w:val="00D94526"/>
    <w:rsid w:val="00D963F0"/>
    <w:rsid w:val="00DA0095"/>
    <w:rsid w:val="00DC7916"/>
    <w:rsid w:val="00DC7BC5"/>
    <w:rsid w:val="00DD7DA0"/>
    <w:rsid w:val="00DE1E00"/>
    <w:rsid w:val="00DF297F"/>
    <w:rsid w:val="00DF4476"/>
    <w:rsid w:val="00DF58F8"/>
    <w:rsid w:val="00DF6F5C"/>
    <w:rsid w:val="00E235A5"/>
    <w:rsid w:val="00E24D13"/>
    <w:rsid w:val="00E40702"/>
    <w:rsid w:val="00E45D49"/>
    <w:rsid w:val="00E57A32"/>
    <w:rsid w:val="00E759D4"/>
    <w:rsid w:val="00EA6800"/>
    <w:rsid w:val="00EB7FEB"/>
    <w:rsid w:val="00EC0233"/>
    <w:rsid w:val="00ED49A3"/>
    <w:rsid w:val="00ED677B"/>
    <w:rsid w:val="00EE3001"/>
    <w:rsid w:val="00EE496D"/>
    <w:rsid w:val="00EF4AE4"/>
    <w:rsid w:val="00EF5C38"/>
    <w:rsid w:val="00EF69AE"/>
    <w:rsid w:val="00F045D3"/>
    <w:rsid w:val="00F0585A"/>
    <w:rsid w:val="00F15AF2"/>
    <w:rsid w:val="00F2167A"/>
    <w:rsid w:val="00F234E0"/>
    <w:rsid w:val="00F271A5"/>
    <w:rsid w:val="00F30CDF"/>
    <w:rsid w:val="00F355BB"/>
    <w:rsid w:val="00F35D66"/>
    <w:rsid w:val="00F447C7"/>
    <w:rsid w:val="00F455C0"/>
    <w:rsid w:val="00F529E5"/>
    <w:rsid w:val="00F5777C"/>
    <w:rsid w:val="00F66298"/>
    <w:rsid w:val="00F86D97"/>
    <w:rsid w:val="00F95CBB"/>
    <w:rsid w:val="00F974BF"/>
    <w:rsid w:val="00FA329B"/>
    <w:rsid w:val="00FC3E15"/>
    <w:rsid w:val="00FE0CBF"/>
    <w:rsid w:val="00FE235C"/>
    <w:rsid w:val="00FF5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714CBDB"/>
  <w15:chartTrackingRefBased/>
  <w15:docId w15:val="{D8BB3F69-B753-9142-8959-644BE75A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uiPriority w:val="39"/>
    <w:unhideWhenUsed/>
    <w:qFormat/>
    <w:rsid w:val="001B0E14"/>
    <w:pPr>
      <w:widowControl/>
      <w:spacing w:before="120" w:after="120"/>
      <w:jc w:val="left"/>
    </w:pPr>
    <w:rPr>
      <w:rFonts w:ascii="Times New Roman" w:eastAsia="宋体" w:hAnsi="Times New Roman" w:cs="宋体"/>
      <w:bCs/>
      <w:color w:val="000000" w:themeColor="text1"/>
      <w:kern w:val="0"/>
      <w:sz w:val="24"/>
      <w:szCs w:val="20"/>
      <w14:ligatures w14:val="none"/>
    </w:rPr>
  </w:style>
  <w:style w:type="paragraph" w:styleId="TOC2">
    <w:name w:val="toc 2"/>
    <w:basedOn w:val="a"/>
    <w:next w:val="a"/>
    <w:uiPriority w:val="39"/>
    <w:unhideWhenUsed/>
    <w:qFormat/>
    <w:rsid w:val="001B0E14"/>
    <w:pPr>
      <w:widowControl/>
      <w:ind w:left="240"/>
      <w:jc w:val="left"/>
    </w:pPr>
    <w:rPr>
      <w:rFonts w:ascii="Times New Roman" w:eastAsia="宋体" w:hAnsi="Times New Roman" w:cs="宋体"/>
      <w:color w:val="000000" w:themeColor="text1"/>
      <w:kern w:val="0"/>
      <w:sz w:val="24"/>
      <w:szCs w:val="20"/>
      <w14:ligatures w14:val="none"/>
    </w:rPr>
  </w:style>
  <w:style w:type="character" w:styleId="a3">
    <w:name w:val="line number"/>
    <w:basedOn w:val="a0"/>
    <w:uiPriority w:val="99"/>
    <w:semiHidden/>
    <w:unhideWhenUsed/>
    <w:rsid w:val="00CC5C42"/>
  </w:style>
  <w:style w:type="table" w:styleId="a4">
    <w:name w:val="Table Grid"/>
    <w:basedOn w:val="a1"/>
    <w:uiPriority w:val="39"/>
    <w:rsid w:val="00300B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书目1"/>
    <w:basedOn w:val="a"/>
    <w:link w:val="Bibliography"/>
    <w:rsid w:val="00472086"/>
    <w:pPr>
      <w:spacing w:after="240"/>
    </w:pPr>
    <w:rPr>
      <w:rFonts w:ascii="Times New Roman" w:hAnsi="Times New Roman" w:cs="Times New Roman"/>
      <w:sz w:val="28"/>
      <w:szCs w:val="28"/>
    </w:rPr>
  </w:style>
  <w:style w:type="character" w:customStyle="1" w:styleId="Bibliography">
    <w:name w:val="Bibliography 字符"/>
    <w:basedOn w:val="a0"/>
    <w:link w:val="1"/>
    <w:rsid w:val="00472086"/>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3346234">
      <w:bodyDiv w:val="1"/>
      <w:marLeft w:val="0"/>
      <w:marRight w:val="0"/>
      <w:marTop w:val="0"/>
      <w:marBottom w:val="0"/>
      <w:divBdr>
        <w:top w:val="none" w:sz="0" w:space="0" w:color="auto"/>
        <w:left w:val="none" w:sz="0" w:space="0" w:color="auto"/>
        <w:bottom w:val="none" w:sz="0" w:space="0" w:color="auto"/>
        <w:right w:val="none" w:sz="0" w:space="0" w:color="auto"/>
      </w:divBdr>
      <w:divsChild>
        <w:div w:id="911280402">
          <w:marLeft w:val="0"/>
          <w:marRight w:val="0"/>
          <w:marTop w:val="0"/>
          <w:marBottom w:val="0"/>
          <w:divBdr>
            <w:top w:val="single" w:sz="2" w:space="0" w:color="E3E3E3"/>
            <w:left w:val="single" w:sz="2" w:space="0" w:color="E3E3E3"/>
            <w:bottom w:val="single" w:sz="2" w:space="0" w:color="E3E3E3"/>
            <w:right w:val="single" w:sz="2" w:space="0" w:color="E3E3E3"/>
          </w:divBdr>
          <w:divsChild>
            <w:div w:id="259342682">
              <w:marLeft w:val="0"/>
              <w:marRight w:val="0"/>
              <w:marTop w:val="0"/>
              <w:marBottom w:val="0"/>
              <w:divBdr>
                <w:top w:val="single" w:sz="2" w:space="0" w:color="E3E3E3"/>
                <w:left w:val="single" w:sz="2" w:space="0" w:color="E3E3E3"/>
                <w:bottom w:val="single" w:sz="2" w:space="0" w:color="E3E3E3"/>
                <w:right w:val="single" w:sz="2" w:space="0" w:color="E3E3E3"/>
              </w:divBdr>
              <w:divsChild>
                <w:div w:id="302320831">
                  <w:marLeft w:val="0"/>
                  <w:marRight w:val="0"/>
                  <w:marTop w:val="0"/>
                  <w:marBottom w:val="0"/>
                  <w:divBdr>
                    <w:top w:val="single" w:sz="2" w:space="2" w:color="E3E3E3"/>
                    <w:left w:val="single" w:sz="2" w:space="0" w:color="E3E3E3"/>
                    <w:bottom w:val="single" w:sz="2" w:space="0" w:color="E3E3E3"/>
                    <w:right w:val="single" w:sz="2" w:space="0" w:color="E3E3E3"/>
                  </w:divBdr>
                  <w:divsChild>
                    <w:div w:id="112657821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707871182">
          <w:marLeft w:val="0"/>
          <w:marRight w:val="0"/>
          <w:marTop w:val="0"/>
          <w:marBottom w:val="0"/>
          <w:divBdr>
            <w:top w:val="single" w:sz="2" w:space="0" w:color="E3E3E3"/>
            <w:left w:val="single" w:sz="2" w:space="0" w:color="E3E3E3"/>
            <w:bottom w:val="single" w:sz="2" w:space="0" w:color="E3E3E3"/>
            <w:right w:val="single" w:sz="2" w:space="0" w:color="E3E3E3"/>
          </w:divBdr>
          <w:divsChild>
            <w:div w:id="1670644038">
              <w:marLeft w:val="0"/>
              <w:marRight w:val="0"/>
              <w:marTop w:val="0"/>
              <w:marBottom w:val="0"/>
              <w:divBdr>
                <w:top w:val="single" w:sz="2" w:space="0" w:color="E3E3E3"/>
                <w:left w:val="single" w:sz="2" w:space="0" w:color="E3E3E3"/>
                <w:bottom w:val="single" w:sz="2" w:space="0" w:color="E3E3E3"/>
                <w:right w:val="single" w:sz="2" w:space="0" w:color="E3E3E3"/>
              </w:divBdr>
              <w:divsChild>
                <w:div w:id="1774007422">
                  <w:marLeft w:val="0"/>
                  <w:marRight w:val="0"/>
                  <w:marTop w:val="0"/>
                  <w:marBottom w:val="0"/>
                  <w:divBdr>
                    <w:top w:val="single" w:sz="2" w:space="0" w:color="E3E3E3"/>
                    <w:left w:val="single" w:sz="2" w:space="0" w:color="E3E3E3"/>
                    <w:bottom w:val="single" w:sz="2" w:space="0" w:color="E3E3E3"/>
                    <w:right w:val="single" w:sz="2" w:space="0" w:color="E3E3E3"/>
                  </w:divBdr>
                  <w:divsChild>
                    <w:div w:id="214165420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izhongjia/Library/Group%20Containers/UBF8T346G9.Office/User%20Content.localized/Templates.localized/Normal.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5C2CB-6383-D542-A18E-4BD8573AD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1138</Words>
  <Characters>6489</Characters>
  <Application>Microsoft Office Word</Application>
  <DocSecurity>0</DocSecurity>
  <Lines>54</Lines>
  <Paragraphs>15</Paragraphs>
  <ScaleCrop>false</ScaleCrop>
  <Company/>
  <LinksUpToDate>false</LinksUpToDate>
  <CharactersWithSpaces>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中嘉</dc:creator>
  <cp:keywords/>
  <dc:description/>
  <cp:lastModifiedBy>中嘉 李</cp:lastModifiedBy>
  <cp:revision>2</cp:revision>
  <dcterms:created xsi:type="dcterms:W3CDTF">2024-05-21T10:13:00Z</dcterms:created>
  <dcterms:modified xsi:type="dcterms:W3CDTF">2024-05-21T10:13:00Z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id="nhzhRmIf"/&gt;&lt;style id="http://www.zotero.org/styles/journal-of-neuroinflammation" hasBibliography="1" bibliographyStyleHasBeenSet="1"/&gt;&lt;prefs&gt;&lt;pref name="fieldType" value="Field"/&gt;&lt;pref name="dela</vt:lpwstr>
  </property>
  <property fmtid="{D5CDD505-2E9C-101B-9397-08002B2CF9AE}" pid="3" name="ZOTERO_PREF_2">
    <vt:lpwstr>yCitationUpdates" value="true"/&gt;&lt;pref name="dontAskDelayCitationUpdates" value="true"/&gt;&lt;/prefs&gt;&lt;/data&gt;</vt:lpwstr>
  </property>
</Properties>
</file>