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1AC9D" w14:textId="77777777" w:rsidR="002B487A" w:rsidRDefault="002B487A" w:rsidP="002B487A">
      <w:pPr>
        <w:rPr>
          <w:rFonts w:ascii="Arial" w:hAnsi="Arial" w:cs="Arial"/>
          <w:b/>
          <w:bCs/>
          <w:sz w:val="22"/>
          <w:szCs w:val="22"/>
        </w:rPr>
      </w:pPr>
      <w:r w:rsidRPr="003968D0">
        <w:rPr>
          <w:rFonts w:ascii="Arial" w:hAnsi="Arial" w:cs="Arial"/>
          <w:b/>
          <w:bCs/>
          <w:sz w:val="22"/>
          <w:szCs w:val="22"/>
        </w:rPr>
        <w:t>Supplemental Figure</w:t>
      </w:r>
      <w:r>
        <w:rPr>
          <w:rFonts w:ascii="Arial" w:hAnsi="Arial" w:cs="Arial"/>
          <w:b/>
          <w:bCs/>
          <w:sz w:val="22"/>
          <w:szCs w:val="22"/>
        </w:rPr>
        <w:t>s</w:t>
      </w:r>
    </w:p>
    <w:p w14:paraId="27F7F035" w14:textId="77777777" w:rsidR="002B487A" w:rsidRDefault="002B487A" w:rsidP="002B487A">
      <w:pPr>
        <w:rPr>
          <w:rFonts w:ascii="Arial" w:hAnsi="Arial" w:cs="Arial"/>
          <w:b/>
          <w:bCs/>
          <w:sz w:val="22"/>
          <w:szCs w:val="22"/>
        </w:rPr>
      </w:pPr>
    </w:p>
    <w:p w14:paraId="6DC6EDAE" w14:textId="77777777" w:rsidR="002B487A" w:rsidRPr="002912A7" w:rsidRDefault="002B487A" w:rsidP="002B487A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28193802" wp14:editId="6A865E7E">
            <wp:extent cx="5731510" cy="8058150"/>
            <wp:effectExtent l="0" t="0" r="0" b="6350"/>
            <wp:docPr id="745736281" name="Picture 7" descr="A screenshot of a computer generat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36281" name="Picture 7" descr="A screenshot of a computer generated imag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5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9108B" w14:textId="77777777" w:rsidR="002B487A" w:rsidRDefault="002B487A" w:rsidP="002B487A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B535FC">
        <w:rPr>
          <w:rFonts w:ascii="Arial" w:hAnsi="Arial" w:cs="Arial"/>
          <w:b/>
          <w:bCs/>
          <w:sz w:val="22"/>
          <w:szCs w:val="22"/>
        </w:rPr>
        <w:lastRenderedPageBreak/>
        <w:t>Supplementa</w:t>
      </w:r>
      <w:r>
        <w:rPr>
          <w:rFonts w:ascii="Arial" w:hAnsi="Arial" w:cs="Arial"/>
          <w:b/>
          <w:bCs/>
          <w:sz w:val="22"/>
          <w:szCs w:val="22"/>
        </w:rPr>
        <w:t>l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 Figure 1. Expression of </w:t>
      </w:r>
      <w:r>
        <w:rPr>
          <w:rFonts w:ascii="Arial" w:hAnsi="Arial" w:cs="Arial"/>
          <w:b/>
          <w:bCs/>
          <w:sz w:val="22"/>
          <w:szCs w:val="22"/>
        </w:rPr>
        <w:t>immune cell lineage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 markers measured </w:t>
      </w:r>
      <w:r>
        <w:rPr>
          <w:rFonts w:ascii="Arial" w:hAnsi="Arial" w:cs="Arial"/>
          <w:b/>
          <w:bCs/>
          <w:sz w:val="22"/>
          <w:szCs w:val="22"/>
        </w:rPr>
        <w:t>via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 flow cytometry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UMAP representation of individual immune cell lineage markers among PBMCs.</w:t>
      </w:r>
    </w:p>
    <w:p w14:paraId="221C605E" w14:textId="77777777" w:rsidR="002B487A" w:rsidRDefault="002B487A" w:rsidP="002B487A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noProof/>
          <w:sz w:val="22"/>
          <w:szCs w:val="22"/>
          <w14:ligatures w14:val="standardContextual"/>
        </w:rPr>
        <w:lastRenderedPageBreak/>
        <w:drawing>
          <wp:inline distT="0" distB="0" distL="0" distR="0" wp14:anchorId="3FE409B3" wp14:editId="2A54F085">
            <wp:extent cx="4566920" cy="8863330"/>
            <wp:effectExtent l="0" t="0" r="5080" b="1270"/>
            <wp:docPr id="570049386" name="Picture 8" descr="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049386" name="Picture 8" descr="A diagram of a diagram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692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9AEA5" w14:textId="77777777" w:rsidR="002B487A" w:rsidRDefault="002B487A" w:rsidP="002B487A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B535FC">
        <w:rPr>
          <w:rFonts w:ascii="Arial" w:hAnsi="Arial" w:cs="Arial"/>
          <w:b/>
          <w:bCs/>
          <w:sz w:val="22"/>
          <w:szCs w:val="22"/>
        </w:rPr>
        <w:lastRenderedPageBreak/>
        <w:t>Supplementa</w:t>
      </w:r>
      <w:r>
        <w:rPr>
          <w:rFonts w:ascii="Arial" w:hAnsi="Arial" w:cs="Arial"/>
          <w:b/>
          <w:bCs/>
          <w:sz w:val="22"/>
          <w:szCs w:val="22"/>
        </w:rPr>
        <w:t>l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 Figure 2. </w:t>
      </w:r>
      <w:r>
        <w:rPr>
          <w:rFonts w:ascii="Arial" w:hAnsi="Arial" w:cs="Arial"/>
          <w:b/>
          <w:bCs/>
          <w:sz w:val="22"/>
          <w:szCs w:val="22"/>
        </w:rPr>
        <w:t>Flow cytometric g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ating strategies for </w:t>
      </w:r>
      <w:r>
        <w:rPr>
          <w:rFonts w:ascii="Arial" w:hAnsi="Arial" w:cs="Arial"/>
          <w:b/>
          <w:bCs/>
          <w:sz w:val="22"/>
          <w:szCs w:val="22"/>
        </w:rPr>
        <w:t xml:space="preserve">the identification of immune cell </w:t>
      </w:r>
      <w:r w:rsidRPr="00B535FC">
        <w:rPr>
          <w:rFonts w:ascii="Arial" w:hAnsi="Arial" w:cs="Arial"/>
          <w:b/>
          <w:bCs/>
          <w:sz w:val="22"/>
          <w:szCs w:val="22"/>
        </w:rPr>
        <w:t>lineage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 and</w:t>
      </w:r>
      <w:r>
        <w:rPr>
          <w:rFonts w:ascii="Arial" w:hAnsi="Arial" w:cs="Arial"/>
          <w:b/>
          <w:bCs/>
          <w:sz w:val="22"/>
          <w:szCs w:val="22"/>
        </w:rPr>
        <w:t xml:space="preserve"> activation-induced marker upregulation</w:t>
      </w:r>
      <w:r w:rsidRPr="00B535FC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(</w:t>
      </w:r>
      <w:r w:rsidRPr="002814D0"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bCs/>
          <w:sz w:val="22"/>
          <w:szCs w:val="22"/>
        </w:rPr>
        <w:t>) Flow cytometric gating strategy for immune cell lineage characterization. Numbers indicate percentages in the drawn gates. (</w:t>
      </w:r>
      <w:r w:rsidRPr="00142F7B"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bCs/>
          <w:sz w:val="22"/>
          <w:szCs w:val="22"/>
        </w:rPr>
        <w:t>) Flow cytometric gating strategy for the identification of antigen-specific CD4</w:t>
      </w:r>
      <w:r w:rsidRPr="00EE52DA">
        <w:rPr>
          <w:rFonts w:ascii="Arial" w:hAnsi="Arial" w:cs="Arial"/>
          <w:bCs/>
          <w:sz w:val="22"/>
          <w:szCs w:val="22"/>
          <w:vertAlign w:val="superscript"/>
        </w:rPr>
        <w:t>+</w:t>
      </w:r>
      <w:r>
        <w:rPr>
          <w:rFonts w:ascii="Arial" w:hAnsi="Arial" w:cs="Arial"/>
          <w:bCs/>
          <w:sz w:val="22"/>
          <w:szCs w:val="22"/>
        </w:rPr>
        <w:t xml:space="preserve"> and CD8</w:t>
      </w:r>
      <w:r w:rsidRPr="00EE52DA">
        <w:rPr>
          <w:rFonts w:ascii="Arial" w:hAnsi="Arial" w:cs="Arial"/>
          <w:bCs/>
          <w:sz w:val="22"/>
          <w:szCs w:val="22"/>
          <w:vertAlign w:val="superscript"/>
        </w:rPr>
        <w:t>+</w:t>
      </w:r>
      <w:r>
        <w:rPr>
          <w:rFonts w:ascii="Arial" w:hAnsi="Arial" w:cs="Arial"/>
          <w:bCs/>
          <w:sz w:val="22"/>
          <w:szCs w:val="22"/>
        </w:rPr>
        <w:t xml:space="preserve"> T cells via upregulation of the activation-induced markers CD69 and CD154 or CD69 and CD137, respectively. Numbers indicate percentages in the drawn gates.</w:t>
      </w:r>
    </w:p>
    <w:p w14:paraId="499DC822" w14:textId="77777777" w:rsidR="002B487A" w:rsidRPr="00A46F44" w:rsidRDefault="002B487A" w:rsidP="002B487A">
      <w:pPr>
        <w:rPr>
          <w:rFonts w:ascii="Arial" w:hAnsi="Arial" w:cs="Arial"/>
          <w:bCs/>
          <w:sz w:val="22"/>
          <w:szCs w:val="22"/>
        </w:rPr>
      </w:pPr>
      <w:r w:rsidRPr="00A46F44">
        <w:rPr>
          <w:noProof/>
          <w14:ligatures w14:val="standardContextual"/>
        </w:rPr>
        <w:lastRenderedPageBreak/>
        <w:t xml:space="preserve"> </w:t>
      </w:r>
      <w:r>
        <w:rPr>
          <w:rFonts w:ascii="Arial" w:hAnsi="Arial" w:cs="Arial"/>
          <w:bCs/>
          <w:noProof/>
          <w:sz w:val="22"/>
          <w:szCs w:val="22"/>
          <w14:ligatures w14:val="standardContextual"/>
        </w:rPr>
        <w:drawing>
          <wp:inline distT="0" distB="0" distL="0" distR="0" wp14:anchorId="179BE5A7" wp14:editId="52C5E825">
            <wp:extent cx="5731510" cy="7787005"/>
            <wp:effectExtent l="0" t="0" r="0" b="0"/>
            <wp:docPr id="1502211961" name="Picture 1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211961" name="Picture 1" descr="A screenshot of a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8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3922C" w14:textId="77777777" w:rsidR="002B487A" w:rsidRDefault="002B487A" w:rsidP="002B487A">
      <w:pPr>
        <w:spacing w:line="360" w:lineRule="auto"/>
        <w:jc w:val="both"/>
        <w:rPr>
          <w:rFonts w:ascii="Arial" w:eastAsiaTheme="majorEastAsia" w:hAnsi="Arial" w:cs="Arial"/>
          <w:bCs/>
          <w:color w:val="000000" w:themeColor="text1"/>
          <w:sz w:val="22"/>
          <w:szCs w:val="22"/>
        </w:rPr>
      </w:pPr>
      <w:r w:rsidRPr="00B535FC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/>
          <w:b/>
          <w:bCs/>
          <w:sz w:val="22"/>
          <w:szCs w:val="22"/>
        </w:rPr>
        <w:t>l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 Figure 3. </w:t>
      </w:r>
      <w:r>
        <w:rPr>
          <w:rFonts w:ascii="Arial" w:hAnsi="Arial" w:cs="Arial"/>
          <w:b/>
          <w:bCs/>
          <w:sz w:val="22"/>
          <w:szCs w:val="22"/>
        </w:rPr>
        <w:t>Immune cell lineages and T cell immunity in healthy convalescent individuals and patients with long COVID recruited from Sweden.</w:t>
      </w:r>
      <w:r>
        <w:rPr>
          <w:rFonts w:ascii="Arial" w:hAnsi="Arial" w:cs="Arial"/>
          <w:bCs/>
          <w:sz w:val="22"/>
          <w:szCs w:val="22"/>
        </w:rPr>
        <w:t xml:space="preserve"> (</w:t>
      </w:r>
      <w:r w:rsidRPr="00EE2974">
        <w:rPr>
          <w:rFonts w:ascii="Arial" w:hAnsi="Arial" w:cs="Arial"/>
          <w:b/>
          <w:bCs/>
          <w:sz w:val="22"/>
          <w:szCs w:val="22"/>
        </w:rPr>
        <w:t>A</w:t>
      </w:r>
      <w:r>
        <w:rPr>
          <w:rFonts w:ascii="Arial" w:hAnsi="Arial" w:cs="Arial"/>
          <w:bCs/>
          <w:sz w:val="22"/>
          <w:szCs w:val="22"/>
        </w:rPr>
        <w:t xml:space="preserve">)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Scatter dot plots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lastRenderedPageBreak/>
        <w:t>showing the frequencies of naive and total B and T cells (top) and naive and total CD4</w:t>
      </w:r>
      <w:r w:rsidRPr="000759C6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CD8</w:t>
      </w:r>
      <w:r w:rsidRPr="000759C6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(bottom) for 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20)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56). Significance was evaluated using the Mann–Whitney U test. (</w:t>
      </w:r>
      <w:r w:rsidRPr="00B349B3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Scatter dot plots showing the frequencies of total NK cells and ILCs (top) and immature and mature NK cells (bottom) for 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20)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56). Significance was evaluated using the Mann–Whitney U test. (</w:t>
      </w:r>
      <w:r w:rsidRPr="00922221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Scatter dot plots showing the frequencies of monocyte subsets for 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20)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56). Significance was evaluated using the Mann–Whitney U test. </w:t>
      </w:r>
      <w:r w:rsidRPr="00441FE0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(D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Scatter dot plots showing the frequencies of basophils, cDCs, and pDCs for 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20)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56). Significance was evaluated using the Mann–Whitney U test. (</w:t>
      </w:r>
      <w:r w:rsidRPr="00C13FB7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E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 Scatter dot plots showing the frequencies of CD4</w:t>
      </w:r>
      <w:r w:rsidRPr="002A7220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CD8</w:t>
      </w:r>
      <w:r w:rsidRPr="002A7220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targeting defined proteins from SARS-CoV-2, CMV, or EBV for 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20)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56). Horizontal bars represent median values. Significance was evaluated using the Mann–Whitney U test. (</w:t>
      </w:r>
      <w:r w:rsidRPr="00361DF5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F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 Heatmap showing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the phenotypic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attributes of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CD4</w:t>
      </w:r>
      <w:r w:rsidRPr="002A7220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CD8</w:t>
      </w:r>
      <w:r w:rsidRPr="002A7220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targeting defined proteins from SARS-CoV-2, CMV, or EBV for 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20)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56). Data are shown as fold change in geometric mean fluorescence intensity (gMFI).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*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 &lt; 0.05,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**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p &lt; 0.01 (Mann–Whitney U test).</w:t>
      </w:r>
    </w:p>
    <w:p w14:paraId="1ADB8950" w14:textId="77777777" w:rsidR="002B487A" w:rsidRPr="00B535FC" w:rsidRDefault="002B487A" w:rsidP="002B487A">
      <w:pPr>
        <w:rPr>
          <w:rFonts w:ascii="Arial" w:eastAsiaTheme="majorEastAsia" w:hAnsi="Arial" w:cs="Arial"/>
          <w:bCs/>
          <w:color w:val="000000" w:themeColor="text1"/>
          <w:sz w:val="22"/>
          <w:szCs w:val="22"/>
        </w:rPr>
      </w:pP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br w:type="page"/>
      </w:r>
      <w:r w:rsidRPr="00A32281">
        <w:rPr>
          <w:noProof/>
          <w14:ligatures w14:val="standardContextual"/>
        </w:rPr>
        <w:lastRenderedPageBreak/>
        <w:t xml:space="preserve"> </w:t>
      </w:r>
      <w:r>
        <w:rPr>
          <w:rFonts w:ascii="Arial" w:eastAsiaTheme="majorEastAsia" w:hAnsi="Arial" w:cs="Arial"/>
          <w:bCs/>
          <w:noProof/>
          <w:color w:val="000000" w:themeColor="text1"/>
          <w:sz w:val="22"/>
          <w:szCs w:val="22"/>
          <w14:ligatures w14:val="standardContextual"/>
        </w:rPr>
        <w:drawing>
          <wp:inline distT="0" distB="0" distL="0" distR="0" wp14:anchorId="0D67C14A" wp14:editId="606EF24C">
            <wp:extent cx="5731510" cy="6740525"/>
            <wp:effectExtent l="0" t="0" r="0" b="3175"/>
            <wp:docPr id="1280956392" name="Picture 1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956392" name="Picture 1" descr="A screenshot of a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4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F880B" w14:textId="77777777" w:rsidR="002B487A" w:rsidRDefault="002B487A" w:rsidP="002B487A">
      <w:pPr>
        <w:spacing w:line="360" w:lineRule="auto"/>
        <w:jc w:val="both"/>
        <w:rPr>
          <w:rFonts w:ascii="Arial" w:eastAsiaTheme="majorEastAsia" w:hAnsi="Arial" w:cs="Arial"/>
          <w:bCs/>
          <w:color w:val="000000" w:themeColor="text1"/>
          <w:sz w:val="22"/>
          <w:szCs w:val="22"/>
        </w:rPr>
      </w:pPr>
      <w:r w:rsidRPr="00F4060E">
        <w:rPr>
          <w:rFonts w:ascii="Arial" w:hAnsi="Arial" w:cs="Arial"/>
          <w:b/>
          <w:bCs/>
          <w:sz w:val="22"/>
          <w:szCs w:val="22"/>
        </w:rPr>
        <w:t>Supplementa</w:t>
      </w:r>
      <w:r>
        <w:rPr>
          <w:rFonts w:ascii="Arial" w:hAnsi="Arial" w:cs="Arial"/>
          <w:b/>
          <w:bCs/>
          <w:sz w:val="22"/>
          <w:szCs w:val="22"/>
        </w:rPr>
        <w:t>l</w:t>
      </w:r>
      <w:r w:rsidRPr="00F4060E">
        <w:rPr>
          <w:rFonts w:ascii="Arial" w:hAnsi="Arial" w:cs="Arial"/>
          <w:b/>
          <w:bCs/>
          <w:sz w:val="22"/>
          <w:szCs w:val="22"/>
        </w:rPr>
        <w:t xml:space="preserve"> Figure 4</w:t>
      </w:r>
      <w:r w:rsidRPr="00F4060E">
        <w:rPr>
          <w:rFonts w:ascii="Arial" w:hAnsi="Arial" w:cs="Arial"/>
          <w:b/>
          <w:sz w:val="22"/>
          <w:szCs w:val="22"/>
        </w:rPr>
        <w:t xml:space="preserve">. Additional </w:t>
      </w:r>
      <w:r w:rsidRPr="00F4060E">
        <w:rPr>
          <w:rFonts w:ascii="Arial" w:hAnsi="Arial" w:cs="Arial"/>
          <w:b/>
          <w:bCs/>
          <w:color w:val="000000" w:themeColor="text1"/>
          <w:sz w:val="22"/>
          <w:szCs w:val="22"/>
        </w:rPr>
        <w:t>phenotypic characteristics of virus-specific CD8</w:t>
      </w:r>
      <w:r w:rsidRPr="00F4060E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+</w:t>
      </w:r>
      <w:r w:rsidRPr="00F4060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T cells </w:t>
      </w:r>
      <w:r w:rsidRPr="00F4060E">
        <w:rPr>
          <w:rFonts w:ascii="Arial" w:hAnsi="Arial" w:cs="Arial"/>
          <w:b/>
          <w:bCs/>
          <w:sz w:val="22"/>
          <w:szCs w:val="22"/>
        </w:rPr>
        <w:t>in healthy convalescent individuals and patients with long COVID recruited from the UK</w:t>
      </w:r>
      <w:r w:rsidRPr="00F4060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4E3A17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(</w:t>
      </w:r>
      <w:r w:rsidRPr="004E3A17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A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Flow cytometric </w:t>
      </w:r>
      <w:r>
        <w:rPr>
          <w:rFonts w:ascii="Arial" w:hAnsi="Arial" w:cs="Arial"/>
          <w:bCs/>
          <w:sz w:val="22"/>
          <w:szCs w:val="22"/>
        </w:rPr>
        <w:t>gating strategy for the identification of tetramer</w:t>
      </w:r>
      <w:r w:rsidRPr="00D540BF">
        <w:rPr>
          <w:rFonts w:ascii="Arial" w:hAnsi="Arial" w:cs="Arial"/>
          <w:bCs/>
          <w:sz w:val="22"/>
          <w:szCs w:val="22"/>
          <w:vertAlign w:val="superscript"/>
        </w:rPr>
        <w:t>+</w:t>
      </w:r>
      <w:r>
        <w:rPr>
          <w:rFonts w:ascii="Arial" w:hAnsi="Arial" w:cs="Arial"/>
          <w:bCs/>
          <w:sz w:val="22"/>
          <w:szCs w:val="22"/>
        </w:rPr>
        <w:t xml:space="preserve"> CD8</w:t>
      </w:r>
      <w:r w:rsidRPr="00EE52DA">
        <w:rPr>
          <w:rFonts w:ascii="Arial" w:hAnsi="Arial" w:cs="Arial"/>
          <w:bCs/>
          <w:sz w:val="22"/>
          <w:szCs w:val="22"/>
          <w:vertAlign w:val="superscript"/>
        </w:rPr>
        <w:t>+</w:t>
      </w:r>
      <w:r>
        <w:rPr>
          <w:rFonts w:ascii="Arial" w:hAnsi="Arial" w:cs="Arial"/>
          <w:bCs/>
          <w:sz w:val="22"/>
          <w:szCs w:val="22"/>
        </w:rPr>
        <w:t xml:space="preserve"> T cells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directly </w:t>
      </w:r>
      <w:r w:rsidRPr="009B7365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ex vivo</w:t>
      </w:r>
      <w:r>
        <w:rPr>
          <w:rFonts w:ascii="Arial" w:hAnsi="Arial" w:cs="Arial"/>
          <w:bCs/>
          <w:sz w:val="22"/>
          <w:szCs w:val="22"/>
        </w:rPr>
        <w:t>. Numbers indicate percentages in the drawn gates.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(</w:t>
      </w:r>
      <w:r w:rsidRPr="004C10AA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B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Flow cytometry histograms showing the expression patterns of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PD-1, TIM-3, LAG-3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,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TIGIT among clusters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of tetramer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CD8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targeting nonspike epitopes from SARS-CoV-2 identified using Phenograph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healthy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lastRenderedPageBreak/>
        <w:t xml:space="preserve">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17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15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(</w:t>
      </w:r>
      <w:r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</w:t>
      </w:r>
      <w:r w:rsidRPr="00855454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Scatter dot plots showing the expression intensities of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PD-1,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TIM-3,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LAG-3, TIGIT, T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-BET,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E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OMES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among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tetramer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CD8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targeting lytic epitopes from EBV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17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15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Horizontal bars represent median values. Significance was evaluated using the Mann–Whitney U test.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gMFI, geometric mean fluorescence intensity. (</w:t>
      </w:r>
      <w:r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Scatter dot plots showing the expression intensities of PD-1, TIM-3,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LAG-3, TIGIT, TCF-1, T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-BET,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E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OMES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and coinhibitory scores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among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tetramer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CD8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targeting epitopes from CMV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17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15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Horizontal bars represent median values. Significance was evaluated using the Mann–Whitney U test.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gMFI, geometric mean fluorescence intensity. (</w:t>
      </w:r>
      <w:r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E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Scatter dot plots showing the expression intensities of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PD-1,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TIM-3,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LAG-3, TIGIT, TCF-1, T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-BET,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E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OMES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and coinhibitory scores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among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tetramer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CD8</w:t>
      </w:r>
      <w:r w:rsidRPr="009C2E69">
        <w:rPr>
          <w:rFonts w:ascii="Arial" w:eastAsiaTheme="majorEastAsia" w:hAnsi="Arial" w:cs="Arial"/>
          <w:bCs/>
          <w:color w:val="000000" w:themeColor="text1"/>
          <w:sz w:val="22"/>
          <w:szCs w:val="22"/>
          <w:vertAlign w:val="superscript"/>
        </w:rPr>
        <w:t>+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T cells targeting latent epitopes from EBV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17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=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15</w:t>
      </w:r>
      <w:r w:rsidRPr="00C9347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Horizontal bars represent median values. Significance was evaluated using the Mann–Whitney U test.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gMFI, geometric mean fluorescence intensity. </w:t>
      </w:r>
    </w:p>
    <w:p w14:paraId="018300DE" w14:textId="77777777" w:rsidR="002B487A" w:rsidRPr="009341E6" w:rsidRDefault="002B487A" w:rsidP="002B487A">
      <w:pPr>
        <w:rPr>
          <w:rFonts w:ascii="Arial" w:eastAsiaTheme="majorEastAsia" w:hAnsi="Arial" w:cs="Arial"/>
          <w:bCs/>
          <w:color w:val="000000" w:themeColor="text1"/>
          <w:sz w:val="22"/>
          <w:szCs w:val="22"/>
        </w:rPr>
      </w:pP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br w:type="page"/>
      </w:r>
      <w:r w:rsidRPr="009341E6">
        <w:rPr>
          <w:noProof/>
          <w14:ligatures w14:val="standardContextual"/>
        </w:rPr>
        <w:lastRenderedPageBreak/>
        <w:t xml:space="preserve"> </w:t>
      </w:r>
      <w:r>
        <w:rPr>
          <w:rFonts w:ascii="Arial" w:eastAsiaTheme="majorEastAsia" w:hAnsi="Arial" w:cs="Arial"/>
          <w:bCs/>
          <w:noProof/>
          <w:color w:val="000000" w:themeColor="text1"/>
          <w:sz w:val="22"/>
          <w:szCs w:val="22"/>
          <w14:ligatures w14:val="standardContextual"/>
        </w:rPr>
        <w:drawing>
          <wp:inline distT="0" distB="0" distL="0" distR="0" wp14:anchorId="1B523337" wp14:editId="3B838425">
            <wp:extent cx="5731510" cy="4507230"/>
            <wp:effectExtent l="0" t="0" r="0" b="1270"/>
            <wp:docPr id="1131823174" name="Picture 12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823174" name="Picture 12" descr="A screenshot of a 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4E34C" w14:textId="77777777" w:rsidR="002B487A" w:rsidRDefault="002B487A" w:rsidP="002B487A">
      <w:pPr>
        <w:spacing w:line="360" w:lineRule="auto"/>
        <w:jc w:val="both"/>
        <w:rPr>
          <w:rFonts w:ascii="Arial" w:eastAsiaTheme="majorEastAsia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Supplemental Figure 5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</w:t>
      </w:r>
      <w:r w:rsidRPr="00B535FC">
        <w:rPr>
          <w:rFonts w:ascii="Arial" w:hAnsi="Arial" w:cs="Arial"/>
          <w:b/>
          <w:bCs/>
          <w:sz w:val="22"/>
          <w:szCs w:val="22"/>
        </w:rPr>
        <w:t>ysregulat</w:t>
      </w:r>
      <w:r>
        <w:rPr>
          <w:rFonts w:ascii="Arial" w:hAnsi="Arial" w:cs="Arial"/>
          <w:b/>
          <w:bCs/>
          <w:sz w:val="22"/>
          <w:szCs w:val="22"/>
        </w:rPr>
        <w:t xml:space="preserve">ion of the </w:t>
      </w:r>
      <w:r w:rsidRPr="00B535FC">
        <w:rPr>
          <w:rFonts w:ascii="Arial" w:hAnsi="Arial" w:cs="Arial"/>
          <w:b/>
          <w:bCs/>
          <w:sz w:val="22"/>
          <w:szCs w:val="22"/>
        </w:rPr>
        <w:t>plasma proteome</w:t>
      </w:r>
      <w:r>
        <w:rPr>
          <w:rFonts w:ascii="Arial" w:hAnsi="Arial" w:cs="Arial"/>
          <w:b/>
          <w:bCs/>
          <w:sz w:val="22"/>
          <w:szCs w:val="22"/>
        </w:rPr>
        <w:t xml:space="preserve"> associated with clinical assignation and symptomatology in healthy convalescent individuals and patients with long COVID recruited from the UK</w:t>
      </w:r>
      <w:r w:rsidRPr="00B535FC">
        <w:rPr>
          <w:rFonts w:ascii="Arial" w:hAnsi="Arial" w:cs="Arial"/>
          <w:b/>
          <w:bCs/>
          <w:sz w:val="22"/>
          <w:szCs w:val="22"/>
        </w:rPr>
        <w:t>.</w:t>
      </w:r>
      <w:r w:rsidRPr="00B535FC">
        <w:rPr>
          <w:rFonts w:ascii="Arial" w:hAnsi="Arial" w:cs="Arial"/>
          <w:sz w:val="22"/>
          <w:szCs w:val="22"/>
        </w:rPr>
        <w:t xml:space="preserve">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(</w:t>
      </w:r>
      <w:r w:rsidRPr="007B7D76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A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Volcano plots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showing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differentially expressed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plasma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proteins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from each panel versus clinical assignation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healthy convalescent individuals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 and patients with long COVID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51). Significance was evaluated using the </w:t>
      </w:r>
      <w:r w:rsidRPr="009D148E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Wilcoxon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rank sum test with</w:t>
      </w:r>
      <w:r w:rsidRPr="009D148E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(red) or without </w:t>
      </w:r>
      <w:r w:rsidRPr="009D148E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Benjamini-Hochberg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correction (gray).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(</w:t>
      </w:r>
      <w:r w:rsidRPr="007A6F75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B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Gene set enrichment analysis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showing differentially expressed plasma proteins by rank versus clinical assignation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healthy convalescent individuals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 and patients with long COVID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Significance was evaluated using the Spearman rank test. NES, normalized enrichment score. PID, Pathway Interaction Database. (</w:t>
      </w:r>
      <w:r w:rsidRPr="00D8784C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 Heatmap showing correlations among all recorded clinical scores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healthy convalescent individuals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 and patients with long COVID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51), irrespective of clinical assignation (total, </w:t>
      </w:r>
      <w:r w:rsidRPr="00CD2D18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102)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Significance was evaluated using the Spearman rank test. (</w:t>
      </w:r>
      <w:r w:rsidRPr="00FF499A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Bar plots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showing differentially upregulated plasma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proteins from each panel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versus the highest and lowest symptom score tiers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healthy convalescent individuals (HC,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 and patients with long COVID (LC, 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51), irrespective of clinical assignation (total, </w:t>
      </w:r>
      <w:r w:rsidRPr="00CD2D18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102)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.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Significance was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lastRenderedPageBreak/>
        <w:t xml:space="preserve">evaluated using the </w:t>
      </w:r>
      <w:r w:rsidRPr="009D148E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Wilcoxon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rank sum test with</w:t>
      </w:r>
      <w:r w:rsidRPr="009D148E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(red) or without </w:t>
      </w:r>
      <w:r w:rsidRPr="009D148E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Benjamini-Hochberg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correction (gray).</w:t>
      </w:r>
    </w:p>
    <w:p w14:paraId="31509940" w14:textId="77777777" w:rsidR="002B487A" w:rsidRPr="00120D31" w:rsidRDefault="002B487A" w:rsidP="002B487A">
      <w:pPr>
        <w:rPr>
          <w:rFonts w:ascii="Arial" w:eastAsiaTheme="majorEastAsia" w:hAnsi="Arial" w:cs="Arial"/>
          <w:bCs/>
          <w:color w:val="000000" w:themeColor="text1"/>
          <w:sz w:val="22"/>
          <w:szCs w:val="22"/>
        </w:rPr>
      </w:pPr>
      <w:r w:rsidRPr="00AC7A78">
        <w:rPr>
          <w:noProof/>
          <w14:ligatures w14:val="standardContextual"/>
        </w:rPr>
        <w:lastRenderedPageBreak/>
        <w:t xml:space="preserve"> </w:t>
      </w:r>
      <w:r>
        <w:rPr>
          <w:rFonts w:ascii="Arial" w:eastAsiaTheme="majorEastAsia" w:hAnsi="Arial" w:cs="Arial"/>
          <w:bCs/>
          <w:noProof/>
          <w:color w:val="000000" w:themeColor="text1"/>
          <w:sz w:val="22"/>
          <w:szCs w:val="22"/>
          <w14:ligatures w14:val="standardContextual"/>
        </w:rPr>
        <w:drawing>
          <wp:inline distT="0" distB="0" distL="0" distR="0" wp14:anchorId="3F715E00" wp14:editId="7B3008AD">
            <wp:extent cx="5047615" cy="8863330"/>
            <wp:effectExtent l="0" t="0" r="0" b="1270"/>
            <wp:docPr id="476935250" name="Picture 13" descr="A char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935250" name="Picture 13" descr="A chart of a graph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761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9452E" w14:textId="7C140BE5" w:rsidR="00755780" w:rsidRDefault="002B487A" w:rsidP="002B487A">
      <w:r w:rsidRPr="00B535FC">
        <w:rPr>
          <w:rFonts w:ascii="Arial" w:hAnsi="Arial" w:cs="Arial"/>
          <w:b/>
          <w:bCs/>
          <w:sz w:val="22"/>
          <w:szCs w:val="22"/>
        </w:rPr>
        <w:lastRenderedPageBreak/>
        <w:t>Suppleme</w:t>
      </w:r>
      <w:r>
        <w:rPr>
          <w:rFonts w:ascii="Arial" w:hAnsi="Arial" w:cs="Arial"/>
          <w:b/>
          <w:bCs/>
          <w:sz w:val="22"/>
          <w:szCs w:val="22"/>
        </w:rPr>
        <w:t>ntal Figure 6</w:t>
      </w:r>
      <w:r w:rsidRPr="00B535FC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</w:t>
      </w:r>
      <w:r w:rsidRPr="00B535FC">
        <w:rPr>
          <w:rFonts w:ascii="Arial" w:hAnsi="Arial" w:cs="Arial"/>
          <w:b/>
          <w:bCs/>
          <w:sz w:val="22"/>
          <w:szCs w:val="22"/>
        </w:rPr>
        <w:t>ysregulat</w:t>
      </w:r>
      <w:r>
        <w:rPr>
          <w:rFonts w:ascii="Arial" w:hAnsi="Arial" w:cs="Arial"/>
          <w:b/>
          <w:bCs/>
          <w:sz w:val="22"/>
          <w:szCs w:val="22"/>
        </w:rPr>
        <w:t xml:space="preserve">ion of the </w:t>
      </w:r>
      <w:r w:rsidRPr="00B535FC">
        <w:rPr>
          <w:rFonts w:ascii="Arial" w:hAnsi="Arial" w:cs="Arial"/>
          <w:b/>
          <w:bCs/>
          <w:sz w:val="22"/>
          <w:szCs w:val="22"/>
        </w:rPr>
        <w:t>plasma proteome</w:t>
      </w:r>
      <w:r>
        <w:rPr>
          <w:rFonts w:ascii="Arial" w:hAnsi="Arial" w:cs="Arial"/>
          <w:b/>
          <w:bCs/>
          <w:sz w:val="22"/>
          <w:szCs w:val="22"/>
        </w:rPr>
        <w:t xml:space="preserve"> associated with age in healthy convalescent individuals and patients with long COVID recruited from the UK</w:t>
      </w:r>
      <w:r w:rsidRPr="00B535FC">
        <w:rPr>
          <w:rFonts w:ascii="Arial" w:hAnsi="Arial" w:cs="Arial"/>
          <w:b/>
          <w:bCs/>
          <w:sz w:val="22"/>
          <w:szCs w:val="22"/>
        </w:rPr>
        <w:t>.</w:t>
      </w:r>
      <w:r w:rsidRPr="00B535FC">
        <w:rPr>
          <w:rFonts w:ascii="Arial" w:hAnsi="Arial" w:cs="Arial"/>
          <w:sz w:val="22"/>
          <w:szCs w:val="22"/>
        </w:rPr>
        <w:t xml:space="preserve">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(</w:t>
      </w:r>
      <w:r w:rsidRPr="00AF4701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A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) Stacked histogram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showing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correlation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s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from pairwise comparisons of plasma protein concentrations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versus age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healthy convalescent individuals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 and patients with long COVID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51), irrespective of clinical assignation (total, </w:t>
      </w:r>
      <w:r w:rsidRPr="00CD2D18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102)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.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Significance was evaluated using the Spearman rank test. (</w:t>
      </w:r>
      <w:r w:rsidRPr="005C78D8">
        <w:rPr>
          <w:rFonts w:ascii="Arial" w:eastAsiaTheme="majorEastAsia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) Correlation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dot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plots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showing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the highest and lowest ranked plasma 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proteins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in terms of normalized expression versus age for</w:t>
      </w:r>
      <w:r w:rsidRPr="00AB2B6F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healthy convalescent individuals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 and patients with long COVID (</w:t>
      </w:r>
      <w:r w:rsidRPr="00393569">
        <w:rPr>
          <w:rFonts w:ascii="Arial" w:eastAsiaTheme="majorEastAsia" w:hAnsi="Arial" w:cs="Arial"/>
          <w:bCs/>
          <w:i/>
          <w:color w:val="000000" w:themeColor="text1"/>
          <w:sz w:val="22"/>
          <w:szCs w:val="22"/>
        </w:rPr>
        <w:t>n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 = 51)</w:t>
      </w:r>
      <w:r w:rsidRPr="00B535FC"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 xml:space="preserve">. </w:t>
      </w:r>
      <w:r>
        <w:rPr>
          <w:rFonts w:ascii="Arial" w:eastAsiaTheme="majorEastAsia" w:hAnsi="Arial" w:cs="Arial"/>
          <w:bCs/>
          <w:color w:val="000000" w:themeColor="text1"/>
          <w:sz w:val="22"/>
          <w:szCs w:val="22"/>
        </w:rPr>
        <w:t>Significance was evaluated using the Spearman rank test. NPX, normalized protein expression.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7A"/>
    <w:rsid w:val="002B487A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628B"/>
  <w15:chartTrackingRefBased/>
  <w15:docId w15:val="{CA395179-91CA-4C60-B538-B62C46FE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87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8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8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8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8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8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87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87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87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87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8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8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8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8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8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8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8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8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8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8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4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8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4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87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48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87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48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8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8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8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1007</Words>
  <Characters>5740</Characters>
  <Application>Microsoft Office Word</Application>
  <DocSecurity>0</DocSecurity>
  <Lines>47</Lines>
  <Paragraphs>13</Paragraphs>
  <ScaleCrop>false</ScaleCrop>
  <Company>Springer Nature</Company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2024-06-05T09:09:00Z</dcterms:created>
  <dcterms:modified xsi:type="dcterms:W3CDTF">2024-06-05T09:09:00Z</dcterms:modified>
</cp:coreProperties>
</file>