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6F76" w14:textId="77777777" w:rsidR="006C2EFA" w:rsidRDefault="006C2EFA" w:rsidP="006C2EFA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Supplementary file 5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Some characteristics of </w:t>
      </w:r>
      <w:proofErr w:type="spellStart"/>
      <w:r w:rsidRPr="00027DE6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AU"/>
          <w14:ligatures w14:val="none"/>
        </w:rPr>
        <w:t>Stictodora</w:t>
      </w:r>
      <w:proofErr w:type="spellEnd"/>
      <w:r w:rsidRPr="00027DE6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AU"/>
          <w14:ligatures w14:val="none"/>
        </w:rPr>
        <w:t xml:space="preserve"> </w:t>
      </w:r>
      <w:proofErr w:type="spellStart"/>
      <w:r w:rsidRPr="00027DE6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AU"/>
          <w14:ligatures w14:val="none"/>
        </w:rPr>
        <w:t>tridactyla</w:t>
      </w:r>
      <w:proofErr w:type="spellEnd"/>
      <w:r w:rsidRPr="00027DE6">
        <w:rPr>
          <w:rFonts w:ascii="Times New Roman" w:eastAsia="Calibri" w:hAnsi="Times New Roman" w:cs="Times New Roman"/>
          <w:kern w:val="0"/>
          <w:sz w:val="20"/>
          <w:szCs w:val="20"/>
          <w:lang w:val="en-AU"/>
          <w14:ligatures w14:val="none"/>
        </w:rPr>
        <w:t xml:space="preserve">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found in this study and the reference sources </w:t>
      </w:r>
    </w:p>
    <w:p w14:paraId="4EA30BE2" w14:textId="77777777" w:rsidR="006C2EFA" w:rsidRPr="00DC1189" w:rsidRDefault="006C2EFA" w:rsidP="006C2EFA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(measurement in µm, n/a = no data)</w:t>
      </w:r>
    </w:p>
    <w:p w14:paraId="600BCD6B" w14:textId="77777777" w:rsidR="006C2EFA" w:rsidRDefault="006C2EFA" w:rsidP="006C2EFA">
      <w:pPr>
        <w:spacing w:after="0" w:line="36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tbl>
      <w:tblPr>
        <w:tblStyle w:val="2"/>
        <w:tblW w:w="497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3050"/>
        <w:gridCol w:w="3050"/>
        <w:gridCol w:w="3050"/>
        <w:gridCol w:w="3050"/>
      </w:tblGrid>
      <w:tr w:rsidR="006C2EFA" w:rsidRPr="00027DE6" w14:paraId="739C0326" w14:textId="77777777" w:rsidTr="00CA667D">
        <w:trPr>
          <w:trHeight w:val="567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3FD4666D" w14:textId="77777777" w:rsidR="006C2EFA" w:rsidRDefault="006C2EFA" w:rsidP="00CA667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Family </w:t>
            </w:r>
            <w:bookmarkStart w:id="0" w:name="_Hlk162092522"/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Heterophyi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dae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</w:t>
            </w:r>
            <w:bookmarkEnd w:id="0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(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Leiper, 1909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)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Odhner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1914</w:t>
            </w:r>
          </w:p>
          <w:p w14:paraId="526A344B" w14:textId="77777777" w:rsidR="006C2EFA" w:rsidRPr="00027DE6" w:rsidRDefault="006C2EFA" w:rsidP="00CA667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</w:p>
          <w:p w14:paraId="4F651323" w14:textId="77777777" w:rsidR="006C2EFA" w:rsidRPr="00027DE6" w:rsidRDefault="006C2EFA" w:rsidP="00CA667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Subfamily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Haplorch</w:t>
            </w:r>
            <w:r w:rsidRPr="00027DE6">
              <w:rPr>
                <w:rFonts w:ascii="Times New Roman" w:eastAsia="Calibri" w:hAnsi="Times New Roman" w:cs="Times New Roman"/>
                <w:sz w:val="20"/>
                <w:szCs w:val="25"/>
              </w:rPr>
              <w:t>i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nae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Looss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, 1899</w:t>
            </w:r>
          </w:p>
        </w:tc>
      </w:tr>
      <w:tr w:rsidR="006C2EFA" w:rsidRPr="00027DE6" w14:paraId="69F7491E" w14:textId="77777777" w:rsidTr="00CA667D">
        <w:trPr>
          <w:trHeight w:val="425"/>
        </w:trPr>
        <w:tc>
          <w:tcPr>
            <w:tcW w:w="5000" w:type="pct"/>
            <w:gridSpan w:val="5"/>
            <w:shd w:val="clear" w:color="auto" w:fill="ACB9CA" w:themeFill="text2" w:themeFillTint="66"/>
            <w:vAlign w:val="center"/>
          </w:tcPr>
          <w:p w14:paraId="4331B60D" w14:textId="77777777" w:rsidR="006C2EFA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</w:p>
          <w:p w14:paraId="6521E444" w14:textId="77777777" w:rsidR="006C2EFA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Parapleurolophocercous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cercaria: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Stictodora</w:t>
            </w:r>
            <w:proofErr w:type="spellEnd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tridactyla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Martin&amp;Kuntz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, 1955</w:t>
            </w:r>
          </w:p>
          <w:p w14:paraId="603EF2D9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C2EFA" w:rsidRPr="00027DE6" w14:paraId="23DD61F9" w14:textId="77777777" w:rsidTr="00CA667D">
        <w:trPr>
          <w:trHeight w:val="546"/>
        </w:trPr>
        <w:tc>
          <w:tcPr>
            <w:tcW w:w="604" w:type="pct"/>
            <w:vAlign w:val="center"/>
          </w:tcPr>
          <w:p w14:paraId="4EBCFF61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References</w:t>
            </w:r>
          </w:p>
        </w:tc>
        <w:tc>
          <w:tcPr>
            <w:tcW w:w="1099" w:type="pct"/>
            <w:vAlign w:val="center"/>
          </w:tcPr>
          <w:p w14:paraId="439E1344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Cordia New"/>
                <w:sz w:val="20"/>
                <w:szCs w:val="20"/>
                <w:lang w:val="en-AU"/>
              </w:rPr>
            </w:pP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Martin&amp;Kuntz</w:t>
            </w:r>
            <w:proofErr w:type="spellEnd"/>
            <w:r w:rsidRPr="00027DE6">
              <w:rPr>
                <w:rFonts w:ascii="Times New Roman" w:eastAsia="Calibri" w:hAnsi="Times New Roman" w:cs="Cordia New" w:hint="cs"/>
                <w:sz w:val="20"/>
                <w:szCs w:val="20"/>
                <w:cs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(1955)</w:t>
            </w:r>
          </w:p>
        </w:tc>
        <w:tc>
          <w:tcPr>
            <w:tcW w:w="1099" w:type="pct"/>
            <w:vAlign w:val="center"/>
          </w:tcPr>
          <w:p w14:paraId="2255E82E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Krailas et al. (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2014)</w:t>
            </w:r>
          </w:p>
        </w:tc>
        <w:tc>
          <w:tcPr>
            <w:tcW w:w="1099" w:type="pct"/>
            <w:vAlign w:val="center"/>
          </w:tcPr>
          <w:p w14:paraId="54B8E355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Veeravechsukij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et al. (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2018)</w:t>
            </w:r>
          </w:p>
        </w:tc>
        <w:tc>
          <w:tcPr>
            <w:tcW w:w="1099" w:type="pct"/>
            <w:vAlign w:val="center"/>
          </w:tcPr>
          <w:p w14:paraId="53F61DAD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This study</w:t>
            </w:r>
          </w:p>
        </w:tc>
      </w:tr>
      <w:tr w:rsidR="006C2EFA" w:rsidRPr="00027DE6" w14:paraId="76B25D53" w14:textId="77777777" w:rsidTr="00CA667D">
        <w:trPr>
          <w:trHeight w:val="694"/>
        </w:trPr>
        <w:tc>
          <w:tcPr>
            <w:tcW w:w="604" w:type="pct"/>
            <w:vAlign w:val="center"/>
          </w:tcPr>
          <w:p w14:paraId="7F04450D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Immature cercaria</w:t>
            </w:r>
          </w:p>
        </w:tc>
        <w:tc>
          <w:tcPr>
            <w:tcW w:w="1099" w:type="pct"/>
            <w:vAlign w:val="center"/>
          </w:tcPr>
          <w:p w14:paraId="61D9FB62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cercariae develop within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redia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.</w:t>
            </w:r>
          </w:p>
        </w:tc>
        <w:tc>
          <w:tcPr>
            <w:tcW w:w="1099" w:type="pct"/>
            <w:vAlign w:val="center"/>
          </w:tcPr>
          <w:p w14:paraId="028DBB97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cercariae develop within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redia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.</w:t>
            </w:r>
          </w:p>
        </w:tc>
        <w:tc>
          <w:tcPr>
            <w:tcW w:w="1099" w:type="pct"/>
            <w:vAlign w:val="center"/>
          </w:tcPr>
          <w:p w14:paraId="1262534B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cercariae develop within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redia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.</w:t>
            </w:r>
          </w:p>
        </w:tc>
        <w:tc>
          <w:tcPr>
            <w:tcW w:w="1099" w:type="pct"/>
            <w:vAlign w:val="center"/>
          </w:tcPr>
          <w:p w14:paraId="61222A01" w14:textId="77777777" w:rsidR="006C2EFA" w:rsidRPr="00027DE6" w:rsidRDefault="006C2EFA" w:rsidP="00CA667D">
            <w:pPr>
              <w:tabs>
                <w:tab w:val="center" w:pos="885"/>
              </w:tabs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</w:tr>
      <w:tr w:rsidR="006C2EFA" w:rsidRPr="00027DE6" w14:paraId="4CB4E8AE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33B327BF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Eyespot</w:t>
            </w:r>
          </w:p>
        </w:tc>
        <w:tc>
          <w:tcPr>
            <w:tcW w:w="1099" w:type="pct"/>
            <w:vAlign w:val="center"/>
          </w:tcPr>
          <w:p w14:paraId="7B08A81E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cercaria is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biocellate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, the conspicuous, black eyespots. </w:t>
            </w:r>
          </w:p>
        </w:tc>
        <w:tc>
          <w:tcPr>
            <w:tcW w:w="1099" w:type="pct"/>
            <w:vAlign w:val="center"/>
          </w:tcPr>
          <w:p w14:paraId="16269005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1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pair of eyespot;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12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-1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7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µm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  <w:t>(avg. 14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µm) x 6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-1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2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µm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  <w:t>(avg. 8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µm)</w:t>
            </w:r>
          </w:p>
        </w:tc>
        <w:tc>
          <w:tcPr>
            <w:tcW w:w="1099" w:type="pct"/>
            <w:vAlign w:val="center"/>
          </w:tcPr>
          <w:p w14:paraId="606FD2E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1 pair of pigmented eyespots; 5-15 µm </w:t>
            </w:r>
          </w:p>
          <w:p w14:paraId="3CF9CB05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(avg. 9 µm) x 5-15 µm </w:t>
            </w:r>
          </w:p>
          <w:p w14:paraId="55EE4B04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(avg. 9 µm)</w:t>
            </w:r>
          </w:p>
        </w:tc>
        <w:tc>
          <w:tcPr>
            <w:tcW w:w="1099" w:type="pct"/>
            <w:vAlign w:val="center"/>
          </w:tcPr>
          <w:p w14:paraId="31C0CE3E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1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pairs of eyespot;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 5-13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µm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  <w:t xml:space="preserve">(avg.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8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µm) x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4-10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µm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  <w:t xml:space="preserve">(avg.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 xml:space="preserve">7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µm)</w:t>
            </w:r>
          </w:p>
        </w:tc>
      </w:tr>
      <w:tr w:rsidR="006C2EFA" w:rsidRPr="00027DE6" w14:paraId="6C1AE6E0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534F31FA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Prepharynx</w:t>
            </w:r>
            <w:proofErr w:type="spellEnd"/>
          </w:p>
        </w:tc>
        <w:tc>
          <w:tcPr>
            <w:tcW w:w="1099" w:type="pct"/>
            <w:vAlign w:val="center"/>
          </w:tcPr>
          <w:p w14:paraId="203D2AB3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Present; 9-20 (avg. 16</w:t>
            </w:r>
            <w:r w:rsidRPr="00027DE6">
              <w:rPr>
                <w:rFonts w:ascii="Calibri" w:eastAsia="Calibri" w:hAnsi="Calibri" w:cs="Angsana New"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µm)</w:t>
            </w:r>
          </w:p>
        </w:tc>
        <w:tc>
          <w:tcPr>
            <w:tcW w:w="1099" w:type="pct"/>
            <w:vAlign w:val="center"/>
          </w:tcPr>
          <w:p w14:paraId="659BD79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26A9948B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52B45B2E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</w:tr>
      <w:tr w:rsidR="006C2EFA" w:rsidRPr="00027DE6" w14:paraId="291A5F39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5F18002E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Pharynx</w:t>
            </w:r>
          </w:p>
        </w:tc>
        <w:tc>
          <w:tcPr>
            <w:tcW w:w="1099" w:type="pct"/>
            <w:vAlign w:val="center"/>
          </w:tcPr>
          <w:p w14:paraId="36CBD8A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Present; 6-11 (avg. 7 µm) x 6-11 µm (avg. 9 µm)</w:t>
            </w:r>
          </w:p>
        </w:tc>
        <w:tc>
          <w:tcPr>
            <w:tcW w:w="1099" w:type="pct"/>
            <w:vAlign w:val="center"/>
          </w:tcPr>
          <w:p w14:paraId="45424BE4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  <w:tc>
          <w:tcPr>
            <w:tcW w:w="1099" w:type="pct"/>
            <w:vAlign w:val="center"/>
          </w:tcPr>
          <w:p w14:paraId="1B663489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  <w:tc>
          <w:tcPr>
            <w:tcW w:w="1099" w:type="pct"/>
            <w:vAlign w:val="center"/>
          </w:tcPr>
          <w:p w14:paraId="3AFA22EB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</w:tr>
      <w:tr w:rsidR="006C2EFA" w:rsidRPr="00027DE6" w14:paraId="3E056682" w14:textId="77777777" w:rsidTr="00CA667D">
        <w:trPr>
          <w:trHeight w:val="1697"/>
        </w:trPr>
        <w:tc>
          <w:tcPr>
            <w:tcW w:w="604" w:type="pct"/>
            <w:vAlign w:val="center"/>
          </w:tcPr>
          <w:p w14:paraId="73C3DCFA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Body</w:t>
            </w:r>
          </w:p>
        </w:tc>
        <w:tc>
          <w:tcPr>
            <w:tcW w:w="1099" w:type="pct"/>
            <w:vAlign w:val="center"/>
          </w:tcPr>
          <w:p w14:paraId="3C0169C4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body cuticle is covered with minute spines, the cuticle bears laterally a few delicate bristles. </w:t>
            </w:r>
          </w:p>
          <w:p w14:paraId="1D43634A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105-130 µm (avg. 125 µm) x 59-76 µm (avg. 68 µm) (26 specimen fixed in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Bouin’s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solution)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</w:r>
          </w:p>
        </w:tc>
        <w:tc>
          <w:tcPr>
            <w:tcW w:w="1099" w:type="pct"/>
            <w:vAlign w:val="center"/>
          </w:tcPr>
          <w:p w14:paraId="3D44D49E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body is oval in shape and yellowish brown in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color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; 255-309 µm (avg. 257 µm) x 69-149 µm (avg. 112 µm)</w:t>
            </w:r>
          </w:p>
        </w:tc>
        <w:tc>
          <w:tcPr>
            <w:tcW w:w="1099" w:type="pct"/>
            <w:vAlign w:val="center"/>
          </w:tcPr>
          <w:p w14:paraId="149D76DC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 body is oval in shape; 168-207 µm (avg. 202 µm) x 80-118 µm (avg. 99 µm)</w:t>
            </w:r>
          </w:p>
        </w:tc>
        <w:tc>
          <w:tcPr>
            <w:tcW w:w="1099" w:type="pct"/>
            <w:vAlign w:val="center"/>
          </w:tcPr>
          <w:p w14:paraId="77E59801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 body is oval in shape; 127-256 µm (avg. 184 µm) x 91-120 µm (avg. 10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1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µm)</w:t>
            </w:r>
          </w:p>
        </w:tc>
      </w:tr>
      <w:tr w:rsidR="006C2EFA" w:rsidRPr="00027DE6" w14:paraId="0381E7B0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703A64B6" w14:textId="77777777" w:rsidR="006C2EFA" w:rsidRPr="00027DE6" w:rsidRDefault="006C2EFA" w:rsidP="00CA667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Esophagus</w:t>
            </w:r>
          </w:p>
        </w:tc>
        <w:tc>
          <w:tcPr>
            <w:tcW w:w="1099" w:type="pct"/>
            <w:vAlign w:val="center"/>
          </w:tcPr>
          <w:p w14:paraId="0B369202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A little of the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esophagus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proximal to the pharynx.</w:t>
            </w:r>
          </w:p>
        </w:tc>
        <w:tc>
          <w:tcPr>
            <w:tcW w:w="1099" w:type="pct"/>
            <w:vAlign w:val="center"/>
          </w:tcPr>
          <w:p w14:paraId="478BFBD1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60485764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524D88B2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</w:tr>
      <w:tr w:rsidR="006C2EFA" w:rsidRPr="00027DE6" w14:paraId="09F0D4CB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29A2084E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Intestine</w:t>
            </w:r>
          </w:p>
        </w:tc>
        <w:tc>
          <w:tcPr>
            <w:tcW w:w="1099" w:type="pct"/>
            <w:vAlign w:val="center"/>
          </w:tcPr>
          <w:p w14:paraId="4825691C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5E3E29AB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11D15E7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2820B5F2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</w:tr>
      <w:tr w:rsidR="006C2EFA" w:rsidRPr="00027DE6" w14:paraId="6DD2C48C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772014FB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Oral sucker</w:t>
            </w:r>
          </w:p>
        </w:tc>
        <w:tc>
          <w:tcPr>
            <w:tcW w:w="1099" w:type="pct"/>
            <w:vAlign w:val="center"/>
          </w:tcPr>
          <w:p w14:paraId="24D1EBF4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Oval, 22-28 (avg. 25 µm)</w:t>
            </w:r>
            <w:r w:rsidRPr="00027DE6">
              <w:rPr>
                <w:rFonts w:ascii="Calibri" w:eastAsia="Calibri" w:hAnsi="Calibri" w:cs="Angsana New"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x 19-28 µm (avg. 22 µm)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</w:r>
          </w:p>
        </w:tc>
        <w:tc>
          <w:tcPr>
            <w:tcW w:w="1099" w:type="pct"/>
            <w:vAlign w:val="center"/>
          </w:tcPr>
          <w:p w14:paraId="2455B267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proofErr w:type="gram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Well</w:t>
            </w:r>
            <w:proofErr w:type="gram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developed; 33-52 (avg. 41 µm) x 36-48 µm (avg. 38 µm)</w:t>
            </w:r>
          </w:p>
        </w:tc>
        <w:tc>
          <w:tcPr>
            <w:tcW w:w="1099" w:type="pct"/>
            <w:vAlign w:val="center"/>
          </w:tcPr>
          <w:p w14:paraId="06A9ED31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proofErr w:type="gram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Well</w:t>
            </w:r>
            <w:proofErr w:type="gram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developed; 18-23 µm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  <w:t xml:space="preserve"> (avg. 21 µm) x 16-20 µm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  <w:t xml:space="preserve"> (avg. 18 µm) </w:t>
            </w:r>
          </w:p>
        </w:tc>
        <w:tc>
          <w:tcPr>
            <w:tcW w:w="1099" w:type="pct"/>
            <w:vAlign w:val="center"/>
          </w:tcPr>
          <w:p w14:paraId="3FFD272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proofErr w:type="gram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Well</w:t>
            </w:r>
            <w:proofErr w:type="gram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developed; 33-47 µm (avg.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39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µm) x 3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1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-37 µm (avg. 35 µm)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br/>
            </w:r>
          </w:p>
        </w:tc>
      </w:tr>
      <w:tr w:rsidR="006C2EFA" w:rsidRPr="00027DE6" w14:paraId="655A92AD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49CB2B77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Ventral sucker</w:t>
            </w:r>
          </w:p>
        </w:tc>
        <w:tc>
          <w:tcPr>
            <w:tcW w:w="1099" w:type="pct"/>
            <w:vAlign w:val="center"/>
          </w:tcPr>
          <w:p w14:paraId="124F50C5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  <w:tc>
          <w:tcPr>
            <w:tcW w:w="1099" w:type="pct"/>
            <w:vAlign w:val="center"/>
          </w:tcPr>
          <w:p w14:paraId="07DA558F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small</w:t>
            </w:r>
          </w:p>
        </w:tc>
        <w:tc>
          <w:tcPr>
            <w:tcW w:w="1099" w:type="pct"/>
            <w:vAlign w:val="center"/>
          </w:tcPr>
          <w:p w14:paraId="5E110712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Poorly developed; 15-45 µm (avg. 27 µm) x13-35 µm (avg. 23 µm)</w:t>
            </w:r>
          </w:p>
        </w:tc>
        <w:tc>
          <w:tcPr>
            <w:tcW w:w="1099" w:type="pct"/>
            <w:vAlign w:val="center"/>
          </w:tcPr>
          <w:p w14:paraId="4E49194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small</w:t>
            </w:r>
          </w:p>
        </w:tc>
      </w:tr>
      <w:tr w:rsidR="006C2EFA" w:rsidRPr="00027DE6" w14:paraId="622DEA70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5EB9DC4D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Penetration glands</w:t>
            </w:r>
          </w:p>
        </w:tc>
        <w:tc>
          <w:tcPr>
            <w:tcW w:w="1099" w:type="pct"/>
            <w:vAlign w:val="center"/>
          </w:tcPr>
          <w:p w14:paraId="1B454D91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14 penetration glands, located between the pharynx and the anterior margins of excretory bladder. </w:t>
            </w:r>
          </w:p>
        </w:tc>
        <w:tc>
          <w:tcPr>
            <w:tcW w:w="1099" w:type="pct"/>
            <w:vAlign w:val="center"/>
          </w:tcPr>
          <w:p w14:paraId="4CBD741D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There are 7 pairs of penetration glands in 4 groups of 3:4:4:3. The penetration ducts are open near the oral sucker. The eight ducts are arranged in two bundles, four open through the dorsal wall, and four through the ventral wall</w:t>
            </w:r>
          </w:p>
        </w:tc>
        <w:tc>
          <w:tcPr>
            <w:tcW w:w="1099" w:type="pct"/>
            <w:vAlign w:val="center"/>
          </w:tcPr>
          <w:p w14:paraId="1B1C5E78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There are 7 pairs of penetration glands in 4 groups of 3:4:4:3 </w:t>
            </w:r>
            <w:proofErr w:type="gram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are</w:t>
            </w:r>
            <w:proofErr w:type="gram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present that are situated between the pharynx and the excretory bladder. </w:t>
            </w:r>
          </w:p>
        </w:tc>
        <w:tc>
          <w:tcPr>
            <w:tcW w:w="1099" w:type="pct"/>
            <w:vAlign w:val="center"/>
          </w:tcPr>
          <w:p w14:paraId="2A60E495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14 penetration glands, located between the pharynx and the anterior margins of excretory bladder.</w:t>
            </w:r>
          </w:p>
        </w:tc>
      </w:tr>
      <w:tr w:rsidR="006C2EFA" w:rsidRPr="00027DE6" w14:paraId="2EDBDCBF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1687C160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Cystogenous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glands</w:t>
            </w:r>
          </w:p>
        </w:tc>
        <w:tc>
          <w:tcPr>
            <w:tcW w:w="1099" w:type="pct"/>
            <w:vAlign w:val="center"/>
          </w:tcPr>
          <w:p w14:paraId="71124EEC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Located laterally from a little below the eyespots to the posterior end of the body. </w:t>
            </w:r>
          </w:p>
        </w:tc>
        <w:tc>
          <w:tcPr>
            <w:tcW w:w="1099" w:type="pct"/>
            <w:vAlign w:val="center"/>
          </w:tcPr>
          <w:p w14:paraId="666AA5C6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24668874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0C8D96B9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Located laterally below the eyespots to the posterior end of the body.</w:t>
            </w:r>
          </w:p>
        </w:tc>
      </w:tr>
      <w:tr w:rsidR="006C2EFA" w:rsidRPr="00027DE6" w14:paraId="6482CB10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43B0654D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Excretory bladder</w:t>
            </w:r>
          </w:p>
        </w:tc>
        <w:tc>
          <w:tcPr>
            <w:tcW w:w="1099" w:type="pct"/>
            <w:vAlign w:val="center"/>
          </w:tcPr>
          <w:p w14:paraId="612B139C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</w:p>
          <w:p w14:paraId="4C9C434E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 shape of the excretory bladder varied with the state of contraction from oval, V-shaped, Y-shaped, to four-lobed.</w:t>
            </w:r>
          </w:p>
        </w:tc>
        <w:tc>
          <w:tcPr>
            <w:tcW w:w="1099" w:type="pct"/>
            <w:vAlign w:val="center"/>
          </w:tcPr>
          <w:p w14:paraId="21CED5F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 excretory bladder in the flattened V-shaped is situated at the end of the body.</w:t>
            </w:r>
          </w:p>
        </w:tc>
        <w:tc>
          <w:tcPr>
            <w:tcW w:w="1099" w:type="pct"/>
            <w:vAlign w:val="center"/>
          </w:tcPr>
          <w:p w14:paraId="16F2206C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 excretory bladder is V-shaped and thick-walled; 43-90 µm (avg. 64 µm) x 20-55 µm (avg. 39 µm)</w:t>
            </w:r>
          </w:p>
        </w:tc>
        <w:tc>
          <w:tcPr>
            <w:tcW w:w="1099" w:type="pct"/>
            <w:vAlign w:val="center"/>
          </w:tcPr>
          <w:p w14:paraId="61D2869B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 excretory bladder is V-shaped; 33-72 µm (avg. 53 µm) x18-43 µm (avg. 2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7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µm) </w:t>
            </w:r>
          </w:p>
        </w:tc>
      </w:tr>
      <w:tr w:rsidR="006C2EFA" w:rsidRPr="00027DE6" w14:paraId="16BA3057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08B50E17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Tail</w:t>
            </w:r>
          </w:p>
        </w:tc>
        <w:tc>
          <w:tcPr>
            <w:tcW w:w="1099" w:type="pct"/>
            <w:vAlign w:val="center"/>
          </w:tcPr>
          <w:p w14:paraId="24EA43B3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The tail fits into a socket of the body; 340 x 400 µm (avg. 370 µm) x 16-22 µm (avg. 21 µm)</w:t>
            </w:r>
          </w:p>
        </w:tc>
        <w:tc>
          <w:tcPr>
            <w:tcW w:w="1099" w:type="pct"/>
            <w:vAlign w:val="center"/>
          </w:tcPr>
          <w:p w14:paraId="4A33FE79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The tail is longer than the body with a bilateral </w:t>
            </w:r>
            <w:proofErr w:type="spellStart"/>
            <w:r w:rsidRPr="00027DE6">
              <w:rPr>
                <w:rFonts w:ascii="Times New Roman" w:eastAsia="Calibri" w:hAnsi="Times New Roman" w:cs="Angsana New"/>
                <w:sz w:val="20"/>
                <w:szCs w:val="20"/>
              </w:rPr>
              <w:t>finfold</w:t>
            </w:r>
            <w:proofErr w:type="spellEnd"/>
            <w:r w:rsidRPr="00027DE6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and </w:t>
            </w:r>
            <w:proofErr w:type="spellStart"/>
            <w:r w:rsidRPr="00027DE6">
              <w:rPr>
                <w:rFonts w:ascii="Times New Roman" w:eastAsia="Calibri" w:hAnsi="Times New Roman" w:cs="Angsana New"/>
                <w:sz w:val="20"/>
                <w:szCs w:val="20"/>
              </w:rPr>
              <w:t>dorso</w:t>
            </w:r>
            <w:proofErr w:type="spellEnd"/>
            <w:r w:rsidRPr="00027DE6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-ventral </w:t>
            </w:r>
            <w:proofErr w:type="spellStart"/>
            <w:r w:rsidRPr="00027DE6">
              <w:rPr>
                <w:rFonts w:ascii="Times New Roman" w:eastAsia="Calibri" w:hAnsi="Times New Roman" w:cs="Angsana New"/>
                <w:sz w:val="20"/>
                <w:szCs w:val="20"/>
              </w:rPr>
              <w:t>finfold</w:t>
            </w:r>
            <w:proofErr w:type="spellEnd"/>
            <w:r w:rsidRPr="00027DE6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; </w:t>
            </w:r>
            <w:r w:rsidRPr="00027DE6">
              <w:rPr>
                <w:rFonts w:ascii="Times New Roman" w:eastAsia="Calibri" w:hAnsi="Times New Roman" w:cs="Angsana New"/>
                <w:sz w:val="20"/>
                <w:szCs w:val="20"/>
                <w:lang w:val="en-AU"/>
              </w:rPr>
              <w:t>486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-595 µm (avg. 546 µm) x 37-55 µm (avg. 45 µm)</w:t>
            </w:r>
          </w:p>
        </w:tc>
        <w:tc>
          <w:tcPr>
            <w:tcW w:w="1099" w:type="pct"/>
            <w:vAlign w:val="center"/>
          </w:tcPr>
          <w:p w14:paraId="47B636A2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tail is longer than the body, there is a bilateral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finfold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and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and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dorso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-ventral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finfold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; 405-495 µm (avg. 458 µm) x 20-33 µm (avg. 26 µm)</w:t>
            </w:r>
          </w:p>
        </w:tc>
        <w:tc>
          <w:tcPr>
            <w:tcW w:w="1099" w:type="pct"/>
            <w:vAlign w:val="center"/>
          </w:tcPr>
          <w:p w14:paraId="345AB40D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The tail is longer than the body with a bilateral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finfold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and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dorso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-ventral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finfold</w:t>
            </w:r>
            <w:proofErr w:type="spellEnd"/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; 396-435 µm (avg. 407 µm) x 29-45 µm (avg. 3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3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µm)</w:t>
            </w:r>
          </w:p>
        </w:tc>
      </w:tr>
      <w:tr w:rsidR="006C2EFA" w:rsidRPr="00027DE6" w14:paraId="3BA6E5FE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7FDD365E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Lateral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finfold</w:t>
            </w:r>
            <w:proofErr w:type="spellEnd"/>
          </w:p>
        </w:tc>
        <w:tc>
          <w:tcPr>
            <w:tcW w:w="1099" w:type="pct"/>
            <w:vAlign w:val="center"/>
          </w:tcPr>
          <w:p w14:paraId="647BC043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  <w:tc>
          <w:tcPr>
            <w:tcW w:w="1099" w:type="pct"/>
            <w:vAlign w:val="center"/>
          </w:tcPr>
          <w:p w14:paraId="7A8BBDF3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Present; 88-100 µm (avg. 95 µm) x 9-15 µm (avg. 13 µm)</w:t>
            </w:r>
          </w:p>
        </w:tc>
        <w:tc>
          <w:tcPr>
            <w:tcW w:w="1099" w:type="pct"/>
            <w:vAlign w:val="center"/>
          </w:tcPr>
          <w:p w14:paraId="5E031DE5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Present; 74-148 µm (avg. 108 µm) x 10-25 µm (avg. 18 µm)</w:t>
            </w:r>
          </w:p>
        </w:tc>
        <w:tc>
          <w:tcPr>
            <w:tcW w:w="1099" w:type="pct"/>
            <w:vAlign w:val="center"/>
          </w:tcPr>
          <w:p w14:paraId="389EB588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Proceed ahead, covering approximately 3/5 of the tail's length</w:t>
            </w:r>
            <w:r w:rsidRPr="00027DE6">
              <w:rPr>
                <w:rFonts w:ascii="Times New Roman" w:eastAsia="Calibri" w:hAnsi="Times New Roman" w:cs="Times New Roman"/>
                <w:sz w:val="20"/>
                <w:szCs w:val="25"/>
              </w:rPr>
              <w:t xml:space="preserve">;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139-265 µm (avg. 199 µm) x 12-26 µm (avg. 16 µm)</w:t>
            </w:r>
          </w:p>
        </w:tc>
      </w:tr>
      <w:tr w:rsidR="006C2EFA" w:rsidRPr="00027DE6" w14:paraId="1006364A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0CD214F9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Dorso-ventral </w:t>
            </w:r>
            <w:proofErr w:type="spellStart"/>
            <w:r w:rsidRPr="00027DE6">
              <w:rPr>
                <w:rFonts w:ascii="Times New Roman" w:eastAsia="Calibri" w:hAnsi="Times New Roman" w:cs="Times New Roman"/>
                <w:sz w:val="20"/>
                <w:szCs w:val="20"/>
              </w:rPr>
              <w:t>finfold</w:t>
            </w:r>
            <w:proofErr w:type="spellEnd"/>
          </w:p>
        </w:tc>
        <w:tc>
          <w:tcPr>
            <w:tcW w:w="1099" w:type="pct"/>
            <w:vAlign w:val="center"/>
          </w:tcPr>
          <w:p w14:paraId="727B43CF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  <w:tc>
          <w:tcPr>
            <w:tcW w:w="1099" w:type="pct"/>
            <w:vAlign w:val="center"/>
          </w:tcPr>
          <w:p w14:paraId="7DE5549B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  <w:tc>
          <w:tcPr>
            <w:tcW w:w="1099" w:type="pct"/>
            <w:vAlign w:val="center"/>
          </w:tcPr>
          <w:p w14:paraId="61EBBA9D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Present</w:t>
            </w:r>
          </w:p>
        </w:tc>
        <w:tc>
          <w:tcPr>
            <w:tcW w:w="1099" w:type="pct"/>
            <w:vAlign w:val="center"/>
          </w:tcPr>
          <w:p w14:paraId="2B63001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212-256 µm (avg. 2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36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µm) x 11-32 µm (avg.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cs/>
                <w:lang w:val="en-AU"/>
              </w:rPr>
              <w:t>22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µm)</w:t>
            </w:r>
          </w:p>
        </w:tc>
      </w:tr>
      <w:tr w:rsidR="006C2EFA" w:rsidRPr="00027DE6" w14:paraId="4B0E864A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595D6B81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Flame cell formula</w:t>
            </w:r>
          </w:p>
        </w:tc>
        <w:tc>
          <w:tcPr>
            <w:tcW w:w="1099" w:type="pct"/>
            <w:vAlign w:val="center"/>
          </w:tcPr>
          <w:p w14:paraId="6FF21DA9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Flame cell formula; 2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sym w:font="Symbol" w:char="F05B"/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(3+3+3) + (3+3+3)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sym w:font="Symbol" w:char="F05D"/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=36</w:t>
            </w:r>
          </w:p>
        </w:tc>
        <w:tc>
          <w:tcPr>
            <w:tcW w:w="1099" w:type="pct"/>
            <w:vAlign w:val="center"/>
          </w:tcPr>
          <w:p w14:paraId="3668C884" w14:textId="77777777" w:rsidR="006C2EFA" w:rsidRPr="00027DE6" w:rsidRDefault="006C2EFA" w:rsidP="00CA667D">
            <w:pPr>
              <w:rPr>
                <w:rFonts w:ascii="Times New Roman" w:eastAsia="Calibri" w:hAnsi="Times New Roman" w:cs="Cordia New"/>
                <w:sz w:val="20"/>
                <w:szCs w:val="20"/>
                <w:cs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6CE14DFC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1A79BB2E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</w:tr>
      <w:tr w:rsidR="006C2EFA" w:rsidRPr="00027DE6" w14:paraId="050C3A3C" w14:textId="77777777" w:rsidTr="00CA667D">
        <w:trPr>
          <w:trHeight w:val="425"/>
        </w:trPr>
        <w:tc>
          <w:tcPr>
            <w:tcW w:w="604" w:type="pct"/>
            <w:vAlign w:val="center"/>
          </w:tcPr>
          <w:p w14:paraId="07428FAA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1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AU"/>
              </w:rPr>
              <w:t>st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IH</w:t>
            </w:r>
          </w:p>
        </w:tc>
        <w:tc>
          <w:tcPr>
            <w:tcW w:w="1099" w:type="pct"/>
            <w:vAlign w:val="center"/>
          </w:tcPr>
          <w:p w14:paraId="1F8E2AE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Pironella</w:t>
            </w:r>
            <w:proofErr w:type="spellEnd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conica</w:t>
            </w:r>
            <w:proofErr w:type="spellEnd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(marine gastropod)</w:t>
            </w:r>
          </w:p>
        </w:tc>
        <w:tc>
          <w:tcPr>
            <w:tcW w:w="1099" w:type="pct"/>
            <w:vAlign w:val="center"/>
          </w:tcPr>
          <w:p w14:paraId="2C0F9D1B" w14:textId="77777777" w:rsidR="006C2EFA" w:rsidRPr="00027DE6" w:rsidRDefault="006C2EFA" w:rsidP="00CA667D">
            <w:pPr>
              <w:rPr>
                <w:rFonts w:ascii="Times New Roman" w:eastAsia="Calibri" w:hAnsi="Times New Roman" w:cs="Angsana New"/>
                <w:i/>
                <w:iCs/>
                <w:sz w:val="20"/>
                <w:szCs w:val="25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Found from 2,182</w:t>
            </w:r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Melanoides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tuberculata</w:t>
            </w:r>
            <w:proofErr w:type="spellEnd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.</w:t>
            </w:r>
          </w:p>
        </w:tc>
        <w:tc>
          <w:tcPr>
            <w:tcW w:w="1099" w:type="pct"/>
            <w:vAlign w:val="center"/>
          </w:tcPr>
          <w:p w14:paraId="6E0AE474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Found from 440</w:t>
            </w:r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Tarebia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granifera</w:t>
            </w:r>
            <w:proofErr w:type="spellEnd"/>
          </w:p>
        </w:tc>
        <w:tc>
          <w:tcPr>
            <w:tcW w:w="1099" w:type="pct"/>
            <w:vAlign w:val="center"/>
          </w:tcPr>
          <w:p w14:paraId="32EB3991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highlight w:val="yellow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Found from 2</w:t>
            </w:r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Bithynia s.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siamensis</w:t>
            </w:r>
            <w:proofErr w:type="spellEnd"/>
          </w:p>
        </w:tc>
      </w:tr>
      <w:tr w:rsidR="006C2EFA" w:rsidRPr="00027DE6" w14:paraId="72CC56A0" w14:textId="77777777" w:rsidTr="00CA667D">
        <w:trPr>
          <w:trHeight w:val="983"/>
        </w:trPr>
        <w:tc>
          <w:tcPr>
            <w:tcW w:w="604" w:type="pct"/>
            <w:vAlign w:val="center"/>
          </w:tcPr>
          <w:p w14:paraId="4122B902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lastRenderedPageBreak/>
              <w:t>2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AU"/>
              </w:rPr>
              <w:t>nd</w:t>
            </w: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 IH</w:t>
            </w:r>
          </w:p>
        </w:tc>
        <w:tc>
          <w:tcPr>
            <w:tcW w:w="1099" w:type="pct"/>
            <w:vAlign w:val="center"/>
          </w:tcPr>
          <w:p w14:paraId="6C2057D1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 xml:space="preserve">Fish;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Aphanius</w:t>
            </w:r>
            <w:proofErr w:type="spellEnd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fasciatus, Gambusia </w:t>
            </w:r>
            <w:proofErr w:type="spellStart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affinis</w:t>
            </w:r>
            <w:proofErr w:type="spellEnd"/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1099" w:type="pct"/>
            <w:vAlign w:val="center"/>
          </w:tcPr>
          <w:p w14:paraId="2FD5E1D1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3B44D030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  <w:vAlign w:val="center"/>
          </w:tcPr>
          <w:p w14:paraId="59F3A34B" w14:textId="77777777" w:rsidR="006C2EFA" w:rsidRPr="00027DE6" w:rsidRDefault="006C2EFA" w:rsidP="00CA667D">
            <w:pPr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</w:tr>
      <w:tr w:rsidR="006C2EFA" w:rsidRPr="00027DE6" w14:paraId="49E41A00" w14:textId="77777777" w:rsidTr="00CA667D">
        <w:trPr>
          <w:trHeight w:val="425"/>
        </w:trPr>
        <w:tc>
          <w:tcPr>
            <w:tcW w:w="604" w:type="pct"/>
          </w:tcPr>
          <w:p w14:paraId="242424EC" w14:textId="77777777" w:rsidR="006C2EFA" w:rsidRPr="00027DE6" w:rsidRDefault="006C2EFA" w:rsidP="00CA667D">
            <w:pPr>
              <w:tabs>
                <w:tab w:val="left" w:pos="58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DH</w:t>
            </w:r>
          </w:p>
        </w:tc>
        <w:tc>
          <w:tcPr>
            <w:tcW w:w="1099" w:type="pct"/>
          </w:tcPr>
          <w:p w14:paraId="19A941AF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Chick</w:t>
            </w:r>
          </w:p>
        </w:tc>
        <w:tc>
          <w:tcPr>
            <w:tcW w:w="1099" w:type="pct"/>
          </w:tcPr>
          <w:p w14:paraId="0D49A926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</w:tcPr>
          <w:p w14:paraId="5DEAD0B9" w14:textId="77777777" w:rsidR="006C2EFA" w:rsidRPr="00027DE6" w:rsidRDefault="006C2EFA" w:rsidP="00CA667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AU"/>
              </w:rPr>
              <w:t>n/a</w:t>
            </w:r>
          </w:p>
        </w:tc>
        <w:tc>
          <w:tcPr>
            <w:tcW w:w="1099" w:type="pct"/>
          </w:tcPr>
          <w:p w14:paraId="145632B6" w14:textId="77777777" w:rsidR="006C2EFA" w:rsidRPr="00027DE6" w:rsidRDefault="006C2EFA" w:rsidP="00CA667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</w:pPr>
            <w:r w:rsidRPr="00027DE6">
              <w:rPr>
                <w:rFonts w:ascii="Times New Roman" w:eastAsia="Calibri" w:hAnsi="Times New Roman" w:cs="Times New Roman"/>
                <w:sz w:val="20"/>
                <w:szCs w:val="20"/>
                <w:lang w:val="en-AU"/>
              </w:rPr>
              <w:t>n/a</w:t>
            </w:r>
          </w:p>
        </w:tc>
      </w:tr>
    </w:tbl>
    <w:p w14:paraId="4EC66072" w14:textId="77777777" w:rsidR="006C2EFA" w:rsidRPr="002907F9" w:rsidRDefault="006C2EFA" w:rsidP="006C2EFA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162092571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Bithynia s. </w:t>
      </w:r>
      <w:proofErr w:type="spellStart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>siamensis</w:t>
      </w:r>
      <w:proofErr w:type="spellEnd"/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2 snails (SUT 0122032; </w:t>
      </w:r>
      <w:proofErr w:type="spellStart"/>
      <w:r w:rsidRPr="002907F9">
        <w:rPr>
          <w:rFonts w:ascii="Times New Roman" w:hAnsi="Times New Roman" w:cs="Times New Roman"/>
          <w:kern w:val="0"/>
          <w:sz w:val="24"/>
          <w:szCs w:val="24"/>
        </w:rPr>
        <w:t>Hadpunkrai</w:t>
      </w:r>
      <w:proofErr w:type="spellEnd"/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 1, Mueang District, Chumphon Province)</w:t>
      </w:r>
    </w:p>
    <w:bookmarkEnd w:id="1"/>
    <w:p w14:paraId="2B6EC537" w14:textId="77777777" w:rsidR="006C2EFA" w:rsidRPr="002907F9" w:rsidRDefault="006C2EFA" w:rsidP="006C2EFA"/>
    <w:p w14:paraId="3CD09C14" w14:textId="77777777" w:rsidR="00525C71" w:rsidRDefault="00525C71"/>
    <w:sectPr w:rsidR="00525C71" w:rsidSect="00D639D8">
      <w:headerReference w:type="default" r:id="rId4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037539"/>
      <w:docPartObj>
        <w:docPartGallery w:val="Page Numbers (Top of Page)"/>
        <w:docPartUnique/>
      </w:docPartObj>
    </w:sdtPr>
    <w:sdtContent>
      <w:p w14:paraId="5390939D" w14:textId="77777777" w:rsidR="00000000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6C7BD68F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FA"/>
    <w:rsid w:val="00525C71"/>
    <w:rsid w:val="006C2EFA"/>
    <w:rsid w:val="00D6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9B01F"/>
  <w15:chartTrackingRefBased/>
  <w15:docId w15:val="{2A3AEFBB-EEB2-453D-BE0E-DD409BF8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C2EFA"/>
  </w:style>
  <w:style w:type="table" w:customStyle="1" w:styleId="2">
    <w:name w:val="เส้นตาราง2"/>
    <w:basedOn w:val="a1"/>
    <w:next w:val="a5"/>
    <w:uiPriority w:val="39"/>
    <w:rsid w:val="006C2E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C2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Duangduen Krailas</dc:creator>
  <cp:keywords/>
  <dc:description/>
  <cp:lastModifiedBy>Duangduen Krailas</cp:lastModifiedBy>
  <cp:revision>1</cp:revision>
  <dcterms:created xsi:type="dcterms:W3CDTF">2024-04-09T09:17:00Z</dcterms:created>
  <dcterms:modified xsi:type="dcterms:W3CDTF">2024-04-09T09:17:00Z</dcterms:modified>
</cp:coreProperties>
</file>