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hAnsi="Times New Roman" w:cs="Times New Roman"/>
          <w:b/>
          <w:sz w:val="24"/>
          <w:szCs w:val="24"/>
        </w:rPr>
      </w:pPr>
      <w:r>
        <w:rPr>
          <w:rFonts w:ascii="Times New Roman" w:hAnsi="Times New Roman" w:cs="Times New Roman"/>
          <w:b/>
          <w:sz w:val="24"/>
          <w:szCs w:val="24"/>
        </w:rPr>
        <w:t>Supplementary materials to:</w:t>
      </w:r>
    </w:p>
    <w:p>
      <w:pPr>
        <w:jc w:val="both"/>
        <w:rPr>
          <w:rFonts w:ascii="Times New Roman" w:hAnsi="Times New Roman" w:cs="Times New Roman"/>
          <w:b/>
          <w:sz w:val="28"/>
          <w:szCs w:val="24"/>
        </w:rPr>
      </w:pPr>
      <w:r>
        <w:rPr>
          <w:rFonts w:ascii="Times New Roman" w:hAnsi="Times New Roman" w:cs="Times New Roman"/>
          <w:b/>
          <w:sz w:val="28"/>
          <w:szCs w:val="24"/>
        </w:rPr>
        <w:t>Woody component of tropical rainforest recovers slower from drought than the upper canopy layer and leaves</w:t>
      </w:r>
    </w:p>
    <w:p>
      <w:pPr>
        <w:rPr>
          <w:rFonts w:ascii="Times New Roman" w:hAnsi="Times New Roman" w:cs="Times New Roman"/>
          <w:sz w:val="20"/>
          <w:szCs w:val="20"/>
        </w:rPr>
      </w:pPr>
      <w:r>
        <w:rPr>
          <w:rFonts w:ascii="Times New Roman" w:hAnsi="Times New Roman" w:cs="Times New Roman"/>
          <w:sz w:val="20"/>
          <w:szCs w:val="20"/>
        </w:rPr>
        <w:t xml:space="preserve">Yujie Dou, Feng Tian, Jean-Pierre Wigneron, Xiaojun Li, Wenmin Zhang, Yaoliang Chen, </w:t>
      </w:r>
      <w:proofErr w:type="spellStart"/>
      <w:r>
        <w:rPr>
          <w:rFonts w:ascii="Times New Roman" w:hAnsi="Times New Roman" w:cs="Times New Roman"/>
          <w:sz w:val="20"/>
          <w:szCs w:val="20"/>
        </w:rPr>
        <w:t>Luwei</w:t>
      </w:r>
      <w:proofErr w:type="spellEnd"/>
      <w:r>
        <w:rPr>
          <w:rFonts w:ascii="Times New Roman" w:hAnsi="Times New Roman" w:cs="Times New Roman"/>
          <w:sz w:val="20"/>
          <w:szCs w:val="20"/>
        </w:rPr>
        <w:t xml:space="preserve"> Feng, Qi </w:t>
      </w:r>
      <w:proofErr w:type="spellStart"/>
      <w:r>
        <w:rPr>
          <w:rFonts w:ascii="Times New Roman" w:hAnsi="Times New Roman" w:cs="Times New Roman"/>
          <w:sz w:val="20"/>
          <w:szCs w:val="20"/>
        </w:rPr>
        <w:t>Xie</w:t>
      </w:r>
      <w:proofErr w:type="spellEnd"/>
      <w:r>
        <w:rPr>
          <w:rFonts w:ascii="Times New Roman" w:hAnsi="Times New Roman" w:cs="Times New Roman"/>
          <w:sz w:val="20"/>
          <w:szCs w:val="20"/>
        </w:rPr>
        <w:t xml:space="preserve">, Rasmus </w:t>
      </w:r>
      <w:proofErr w:type="spellStart"/>
      <w:r>
        <w:rPr>
          <w:rFonts w:ascii="Times New Roman" w:hAnsi="Times New Roman" w:cs="Times New Roman"/>
          <w:sz w:val="20"/>
          <w:szCs w:val="20"/>
        </w:rPr>
        <w:t>Fensholt</w:t>
      </w:r>
      <w:proofErr w:type="spellEnd"/>
    </w:p>
    <w:p>
      <w:pPr>
        <w:rPr>
          <w:rFonts w:ascii="Times New Roman" w:hAnsi="Times New Roman" w:cs="Times New Roman"/>
          <w:b/>
          <w:sz w:val="24"/>
          <w:szCs w:val="24"/>
        </w:rPr>
      </w:pPr>
    </w:p>
    <w:p>
      <w:pP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5267960" cy="1951355"/>
            <wp:effectExtent l="0" t="0" r="5080" b="14605"/>
            <wp:docPr id="3" name="图片 3" descr="tropical_EBF_recovery_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ropical_EBF_recovery_time"/>
                    <pic:cNvPicPr>
                      <a:picLocks noChangeAspect="1"/>
                    </pic:cNvPicPr>
                  </pic:nvPicPr>
                  <pic:blipFill>
                    <a:blip r:embed="rId7"/>
                    <a:stretch>
                      <a:fillRect/>
                    </a:stretch>
                  </pic:blipFill>
                  <pic:spPr>
                    <a:xfrm>
                      <a:off x="0" y="0"/>
                      <a:ext cx="5267960" cy="1951355"/>
                    </a:xfrm>
                    <a:prstGeom prst="rect">
                      <a:avLst/>
                    </a:prstGeom>
                  </pic:spPr>
                </pic:pic>
              </a:graphicData>
            </a:graphic>
          </wp:inline>
        </w:drawing>
      </w:r>
    </w:p>
    <w:p>
      <w:pPr>
        <w:pStyle w:val="a3"/>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Statistical distribution of (a) the recovery time of the woody component, the upper canopy component, and the leaf component, (b) the area percentage cover of different temporal sequences of vegetation component recovery. L indicates the leaves, C indicates the upper canopy layer, and W represents the woody component.</w:t>
      </w:r>
    </w:p>
    <w:p>
      <w:pP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5264785" cy="1215390"/>
            <wp:effectExtent l="0" t="0" r="8255" b="3810"/>
            <wp:docPr id="2" name="图片 2" descr="Who_recovery_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ho_recovery_first"/>
                    <pic:cNvPicPr>
                      <a:picLocks noChangeAspect="1"/>
                    </pic:cNvPicPr>
                  </pic:nvPicPr>
                  <pic:blipFill>
                    <a:blip r:embed="rId8"/>
                    <a:stretch>
                      <a:fillRect/>
                    </a:stretch>
                  </pic:blipFill>
                  <pic:spPr>
                    <a:xfrm>
                      <a:off x="0" y="0"/>
                      <a:ext cx="5264785" cy="1215390"/>
                    </a:xfrm>
                    <a:prstGeom prst="rect">
                      <a:avLst/>
                    </a:prstGeom>
                  </pic:spPr>
                </pic:pic>
              </a:graphicData>
            </a:graphic>
          </wp:inline>
        </w:drawing>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Spatial distribution of different temporal sequences of vegetation component recovery from the 2015-2016 drought.</w:t>
      </w:r>
    </w:p>
    <w:p/>
    <w:p>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72405" cy="2495550"/>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2405" cy="2495550"/>
                    </a:xfrm>
                    <a:prstGeom prst="rect">
                      <a:avLst/>
                    </a:prstGeom>
                    <a:noFill/>
                    <a:ln>
                      <a:noFill/>
                    </a:ln>
                  </pic:spPr>
                </pic:pic>
              </a:graphicData>
            </a:graphic>
          </wp:inline>
        </w:drawing>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Attributions of long-term climate conditions, climate conditions during the woody recovery period, drought-related, and ecosystem-related factors to the woody component recovery time across South America evergreen broadleaf forests. (a) The relative importance of the predictor variables in the random forest model is shown by the percentage increase of mean squared error (%</w:t>
      </w:r>
      <w:proofErr w:type="spellStart"/>
      <w:r>
        <w:rPr>
          <w:rFonts w:ascii="Times New Roman" w:hAnsi="Times New Roman" w:cs="Times New Roman"/>
          <w:sz w:val="24"/>
          <w:szCs w:val="24"/>
        </w:rPr>
        <w:t>IncMSE</w:t>
      </w:r>
      <w:proofErr w:type="spellEnd"/>
      <w:r>
        <w:rPr>
          <w:rFonts w:ascii="Times New Roman" w:hAnsi="Times New Roman" w:cs="Times New Roman"/>
          <w:sz w:val="24"/>
          <w:szCs w:val="24"/>
        </w:rPr>
        <w:t xml:space="preserve">). The scatterplots illustrate the relationships between the woody recovery time and various factors: (b) L-VOD anomaly during the drought period, (c-f) mean monthly precipitation, VPD, soil moisture of layer2 and layer3 during the recovery period, (g) </w:t>
      </w:r>
      <w:r>
        <w:rPr>
          <w:rFonts w:ascii="Times New Roman" w:eastAsia="Times New Roman" w:hAnsi="Times New Roman" w:cs="Times New Roman"/>
          <w:sz w:val="24"/>
          <w:szCs w:val="24"/>
          <w:lang w:bidi="ar"/>
        </w:rPr>
        <w:t xml:space="preserve">annual L-VOD </w:t>
      </w:r>
      <w:r>
        <w:rPr>
          <w:rFonts w:ascii="Times New Roman" w:eastAsia="宋体" w:hAnsi="Times New Roman" w:cs="Times New Roman"/>
          <w:sz w:val="24"/>
          <w:szCs w:val="24"/>
          <w:lang w:bidi="ar"/>
        </w:rPr>
        <w:t>pre-</w:t>
      </w:r>
      <w:r>
        <w:rPr>
          <w:rFonts w:ascii="Times New Roman" w:eastAsia="Times New Roman" w:hAnsi="Times New Roman" w:cs="Times New Roman"/>
          <w:sz w:val="24"/>
          <w:szCs w:val="24"/>
          <w:lang w:bidi="ar"/>
        </w:rPr>
        <w:t>El Niño period, (h) monthly temperature variation, (</w:t>
      </w:r>
      <w:proofErr w:type="spellStart"/>
      <w:r>
        <w:rPr>
          <w:rFonts w:ascii="Times New Roman" w:eastAsia="Times New Roman" w:hAnsi="Times New Roman" w:cs="Times New Roman"/>
          <w:sz w:val="24"/>
          <w:szCs w:val="24"/>
          <w:lang w:bidi="ar"/>
        </w:rPr>
        <w:t>i</w:t>
      </w:r>
      <w:proofErr w:type="spellEnd"/>
      <w:r>
        <w:rPr>
          <w:rFonts w:ascii="Times New Roman" w:eastAsia="Times New Roman" w:hAnsi="Times New Roman" w:cs="Times New Roman"/>
          <w:sz w:val="24"/>
          <w:szCs w:val="24"/>
          <w:lang w:bidi="ar"/>
        </w:rPr>
        <w:t>) the VPD anomaly during the drought period, and (j) maximum monthly temperature.</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73040" cy="250444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3040" cy="2504440"/>
                    </a:xfrm>
                    <a:prstGeom prst="rect">
                      <a:avLst/>
                    </a:prstGeom>
                    <a:noFill/>
                    <a:ln>
                      <a:noFill/>
                    </a:ln>
                  </pic:spPr>
                </pic:pic>
              </a:graphicData>
            </a:graphic>
          </wp:inline>
        </w:drawing>
      </w:r>
    </w:p>
    <w:p>
      <w:pPr>
        <w:jc w:val="both"/>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Attributions of long-term climate conditions, climate conditions during the woody recovery period, drought-related, and ecosystem-related factors to the woody component recovery time across Africa evergreen broadleaf forests. (a) The relative importance of the predictor variables in the random forest model is shown by the percentage increase of mean squared error (%</w:t>
      </w:r>
      <w:proofErr w:type="spellStart"/>
      <w:r>
        <w:rPr>
          <w:rFonts w:ascii="Times New Roman" w:hAnsi="Times New Roman" w:cs="Times New Roman"/>
          <w:sz w:val="24"/>
          <w:szCs w:val="24"/>
        </w:rPr>
        <w:t>IncMSE</w:t>
      </w:r>
      <w:proofErr w:type="spellEnd"/>
      <w:r>
        <w:rPr>
          <w:rFonts w:ascii="Times New Roman" w:hAnsi="Times New Roman" w:cs="Times New Roman"/>
          <w:sz w:val="24"/>
          <w:szCs w:val="24"/>
        </w:rPr>
        <w:t xml:space="preserve">). The scatterplots illustrate the relationships between the woody recovery time and various factors: (b) L-VOD anomaly during the drought period, (c) mean monthly precipitation during the recovery period, (d) </w:t>
      </w:r>
      <w:r>
        <w:rPr>
          <w:rFonts w:ascii="Times New Roman" w:eastAsia="Times New Roman" w:hAnsi="Times New Roman" w:cs="Times New Roman"/>
          <w:sz w:val="24"/>
          <w:szCs w:val="24"/>
          <w:lang w:bidi="ar"/>
        </w:rPr>
        <w:t xml:space="preserve">annual L-VOD </w:t>
      </w:r>
      <w:r>
        <w:rPr>
          <w:rFonts w:ascii="Times New Roman" w:eastAsia="宋体" w:hAnsi="Times New Roman" w:cs="Times New Roman"/>
          <w:sz w:val="24"/>
          <w:szCs w:val="24"/>
          <w:lang w:bidi="ar"/>
        </w:rPr>
        <w:t>pre-</w:t>
      </w:r>
      <w:r>
        <w:rPr>
          <w:rFonts w:ascii="Times New Roman" w:eastAsia="Times New Roman" w:hAnsi="Times New Roman" w:cs="Times New Roman"/>
          <w:sz w:val="24"/>
          <w:szCs w:val="24"/>
          <w:lang w:bidi="ar"/>
        </w:rPr>
        <w:t>El Niño period,</w:t>
      </w:r>
      <w:r>
        <w:rPr>
          <w:rFonts w:ascii="Times New Roman" w:hAnsi="Times New Roman" w:cs="Times New Roman"/>
          <w:sz w:val="24"/>
          <w:szCs w:val="24"/>
        </w:rPr>
        <w:t xml:space="preserve"> (e-</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mean monthly VPD, soil moisture of layer1, and temperature during the recovery period, (h) </w:t>
      </w:r>
      <w:r>
        <w:rPr>
          <w:rFonts w:ascii="Times New Roman" w:eastAsia="Times New Roman" w:hAnsi="Times New Roman" w:cs="Times New Roman"/>
          <w:sz w:val="24"/>
          <w:szCs w:val="24"/>
          <w:lang w:bidi="ar"/>
        </w:rPr>
        <w:t>monthly temperature variation, (</w:t>
      </w:r>
      <w:proofErr w:type="spellStart"/>
      <w:r>
        <w:rPr>
          <w:rFonts w:ascii="Times New Roman" w:eastAsia="Times New Roman" w:hAnsi="Times New Roman" w:cs="Times New Roman"/>
          <w:sz w:val="24"/>
          <w:szCs w:val="24"/>
          <w:lang w:bidi="ar"/>
        </w:rPr>
        <w:t>i</w:t>
      </w:r>
      <w:proofErr w:type="spellEnd"/>
      <w:r>
        <w:rPr>
          <w:rFonts w:ascii="Times New Roman" w:eastAsia="Times New Roman" w:hAnsi="Times New Roman" w:cs="Times New Roman"/>
          <w:sz w:val="24"/>
          <w:szCs w:val="24"/>
          <w:lang w:bidi="ar"/>
        </w:rPr>
        <w:t xml:space="preserve">) </w:t>
      </w:r>
      <w:r>
        <w:rPr>
          <w:rFonts w:ascii="Times New Roman" w:hAnsi="Times New Roman" w:cs="Times New Roman"/>
          <w:sz w:val="24"/>
          <w:szCs w:val="24"/>
        </w:rPr>
        <w:t>mean monthly soil moisture of layer 2 during the recovery period, and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eastAsia="Times New Roman" w:hAnsi="Times New Roman" w:cs="Times New Roman"/>
          <w:sz w:val="24"/>
          <w:szCs w:val="24"/>
          <w:lang w:bidi="ar"/>
        </w:rPr>
        <w:t>monthly</w:t>
      </w:r>
      <w:r>
        <w:rPr>
          <w:rFonts w:ascii="Times New Roman" w:hAnsi="Times New Roman" w:cs="Times New Roman"/>
          <w:sz w:val="24"/>
          <w:szCs w:val="24"/>
        </w:rPr>
        <w:t xml:space="preserve"> VPD variation.</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inline distT="0" distB="0" distL="0" distR="0">
            <wp:extent cx="5267960" cy="2509520"/>
            <wp:effectExtent l="0" t="0" r="889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960" cy="2509520"/>
                    </a:xfrm>
                    <a:prstGeom prst="rect">
                      <a:avLst/>
                    </a:prstGeom>
                    <a:noFill/>
                    <a:ln>
                      <a:noFill/>
                    </a:ln>
                  </pic:spPr>
                </pic:pic>
              </a:graphicData>
            </a:graphic>
          </wp:inline>
        </w:drawing>
      </w:r>
      <w:bookmarkEnd w:id="0"/>
    </w:p>
    <w:p>
      <w:pPr>
        <w:jc w:val="both"/>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Attributions of long-term climate conditions, climate conditions during the woody recovery period, drought-related, and ecosystem-related factors to the woody component recovery time across Asia evergreen broadleaf forests. (a) The relative importance of the predictor variables in the random forest model is shown by the percentage increase of mean squared error (%</w:t>
      </w:r>
      <w:proofErr w:type="spellStart"/>
      <w:r>
        <w:rPr>
          <w:rFonts w:ascii="Times New Roman" w:hAnsi="Times New Roman" w:cs="Times New Roman"/>
          <w:sz w:val="24"/>
          <w:szCs w:val="24"/>
        </w:rPr>
        <w:t>IncMSE</w:t>
      </w:r>
      <w:proofErr w:type="spellEnd"/>
      <w:r>
        <w:rPr>
          <w:rFonts w:ascii="Times New Roman" w:hAnsi="Times New Roman" w:cs="Times New Roman"/>
          <w:sz w:val="24"/>
          <w:szCs w:val="24"/>
        </w:rPr>
        <w:t xml:space="preserve">). The scatterplots illustrate the relationships between the woody recovery time and various factors: (b-d) L-VOD, temperature, and VPD anomaly during the drought period, (e) mean monthly precipitation during the recovery period, (f) </w:t>
      </w:r>
      <w:r>
        <w:rPr>
          <w:rFonts w:ascii="Times New Roman" w:eastAsia="Times New Roman" w:hAnsi="Times New Roman" w:cs="Times New Roman"/>
          <w:sz w:val="24"/>
          <w:szCs w:val="24"/>
          <w:lang w:bidi="ar"/>
        </w:rPr>
        <w:t>monthly</w:t>
      </w:r>
      <w:r>
        <w:rPr>
          <w:rFonts w:ascii="Times New Roman" w:hAnsi="Times New Roman" w:cs="Times New Roman"/>
          <w:sz w:val="24"/>
          <w:szCs w:val="24"/>
        </w:rPr>
        <w:t xml:space="preserve"> precipitation variation, (g) minimum </w:t>
      </w:r>
      <w:r>
        <w:rPr>
          <w:rFonts w:ascii="Times New Roman" w:eastAsia="Times New Roman" w:hAnsi="Times New Roman" w:cs="Times New Roman"/>
          <w:sz w:val="24"/>
          <w:szCs w:val="24"/>
          <w:lang w:bidi="ar"/>
        </w:rPr>
        <w:t>monthly</w:t>
      </w:r>
      <w:r>
        <w:rPr>
          <w:rFonts w:ascii="Times New Roman" w:hAnsi="Times New Roman" w:cs="Times New Roman"/>
          <w:sz w:val="24"/>
          <w:szCs w:val="24"/>
        </w:rPr>
        <w:t xml:space="preserve"> precipitation, (h) drought duration,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soil moisture of layer 3 anomalies during the drought period, and (j) forest species diversity.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extent cx="5273675" cy="1466850"/>
            <wp:effectExtent l="0" t="0" r="14605" b="11430"/>
            <wp:docPr id="9" name="图片 9" descr="LVOD_ano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VOD_anomaly"/>
                    <pic:cNvPicPr>
                      <a:picLocks noChangeAspect="1"/>
                    </pic:cNvPicPr>
                  </pic:nvPicPr>
                  <pic:blipFill>
                    <a:blip r:embed="rId12"/>
                    <a:stretch>
                      <a:fillRect/>
                    </a:stretch>
                  </pic:blipFill>
                  <pic:spPr>
                    <a:xfrm>
                      <a:off x="0" y="0"/>
                      <a:ext cx="5273675" cy="1466850"/>
                    </a:xfrm>
                    <a:prstGeom prst="rect">
                      <a:avLst/>
                    </a:prstGeom>
                  </pic:spPr>
                </pic:pic>
              </a:graphicData>
            </a:graphic>
          </wp:inline>
        </w:drawing>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Figure 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Figure_S \* ARABIC </w:instrText>
      </w:r>
      <w:r>
        <w:rPr>
          <w:rFonts w:ascii="Times New Roman" w:hAnsi="Times New Roman" w:cs="Times New Roman"/>
          <w:sz w:val="24"/>
          <w:szCs w:val="24"/>
        </w:rPr>
        <w:fldChar w:fldCharType="separate"/>
      </w:r>
      <w:r>
        <w:rPr>
          <w:rFonts w:ascii="Times New Roman" w:hAnsi="Times New Roman" w:cs="Times New Roman"/>
          <w:noProof/>
          <w:sz w:val="24"/>
          <w:szCs w:val="24"/>
        </w:rPr>
        <w:t>6</w:t>
      </w:r>
      <w:r>
        <w:rPr>
          <w:rFonts w:ascii="Times New Roman" w:hAnsi="Times New Roman" w:cs="Times New Roman"/>
          <w:noProof/>
          <w:sz w:val="24"/>
          <w:szCs w:val="24"/>
        </w:rPr>
        <w:fldChar w:fldCharType="end"/>
      </w:r>
      <w:r>
        <w:rPr>
          <w:rFonts w:ascii="Times New Roman" w:hAnsi="Times New Roman" w:cs="Times New Roman"/>
          <w:sz w:val="24"/>
          <w:szCs w:val="24"/>
        </w:rPr>
        <w:t>. Spatial distribution of the L-VOD anomaly during the 2015-2016 drought event in South America and Africa.</w:t>
      </w:r>
    </w:p>
    <w:p>
      <w:pPr>
        <w:rPr>
          <w:rFonts w:ascii="Times New Roman" w:hAnsi="Times New Roman" w:cs="Times New Roman"/>
          <w:sz w:val="24"/>
          <w:szCs w:val="24"/>
        </w:rPr>
      </w:pPr>
    </w:p>
    <w:sectPr>
      <w:headerReference w:type="default" r:id="rId13"/>
      <w:footerReference w:type="default" r:id="rId14"/>
      <w:pgSz w:w="11906" w:h="16838"/>
      <w:pgMar w:top="1440" w:right="1800" w:bottom="1440" w:left="1800" w:header="680" w:footer="227"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7D67C5" w16cex:dateUtc="2024-04-18T14:11:00Z"/>
  <w16cex:commentExtensible w16cex:durableId="31D203BE" w16cex:dateUtc="2024-04-18T14: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65002"/>
      <w:docPartObj>
        <w:docPartGallery w:val="Page Numbers (Bottom of Page)"/>
        <w:docPartUnique/>
      </w:docPartObj>
    </w:sdtPr>
    <w:sdtContent>
      <w:p>
        <w:pPr>
          <w:pStyle w:val="a4"/>
          <w:jc w:val="center"/>
        </w:pPr>
        <w:r>
          <w:fldChar w:fldCharType="begin"/>
        </w:r>
        <w:r>
          <w:instrText>PAGE   \* MERGEFORMAT</w:instrText>
        </w:r>
        <w:r>
          <w:fldChar w:fldCharType="separate"/>
        </w:r>
        <w:r>
          <w:rPr>
            <w:lang w:val="zh-CN"/>
          </w:rPr>
          <w:t>2</w:t>
        </w:r>
        <w:r>
          <w:fldChar w:fldCharType="end"/>
        </w:r>
      </w:p>
    </w:sdtContent>
  </w:sdt>
  <w:p>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0MDA1MzA2sjSxMDZT0lEKTi0uzszPAymwqAUAye7QSCwAAAA="/>
    <w:docVar w:name="commondata" w:val="eyJoZGlkIjoiOTZkODRkMTlmMTg2OTI2MmEzMWEwMDU1OWI4Y2I3OWU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1D897D-3872-48F4-ADB7-266E2FB9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after="120" w:line="480" w:lineRule="auto"/>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footer"/>
    <w:basedOn w:val="a"/>
    <w:link w:val="a5"/>
    <w:uiPriority w:val="99"/>
    <w:unhideWhenUsed/>
    <w:pPr>
      <w:tabs>
        <w:tab w:val="center" w:pos="4153"/>
        <w:tab w:val="right" w:pos="8306"/>
      </w:tabs>
      <w:snapToGrid w:val="0"/>
    </w:pPr>
    <w:rPr>
      <w:sz w:val="18"/>
      <w:szCs w:val="18"/>
    </w:rPr>
  </w:style>
  <w:style w:type="paragraph" w:styleId="a6">
    <w:name w:val="header"/>
    <w:basedOn w:val="a"/>
    <w:link w:val="a7"/>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autoRedefine/>
    <w:uiPriority w:val="99"/>
    <w:qFormat/>
    <w:rPr>
      <w:sz w:val="18"/>
      <w:szCs w:val="18"/>
    </w:rPr>
  </w:style>
  <w:style w:type="character" w:customStyle="1" w:styleId="a5">
    <w:name w:val="页脚 字符"/>
    <w:basedOn w:val="a0"/>
    <w:link w:val="a4"/>
    <w:uiPriority w:val="99"/>
    <w:rPr>
      <w:sz w:val="18"/>
      <w:szCs w:val="18"/>
    </w:rPr>
  </w:style>
  <w:style w:type="character" w:styleId="a8">
    <w:name w:val="annotation reference"/>
    <w:basedOn w:val="a0"/>
    <w:uiPriority w:val="99"/>
    <w:semiHidden/>
    <w:unhideWhenUsed/>
    <w:rPr>
      <w:sz w:val="16"/>
      <w:szCs w:val="16"/>
    </w:rPr>
  </w:style>
  <w:style w:type="paragraph" w:styleId="a9">
    <w:name w:val="annotation text"/>
    <w:basedOn w:val="a"/>
    <w:link w:val="aa"/>
    <w:uiPriority w:val="99"/>
    <w:unhideWhenUsed/>
    <w:pPr>
      <w:spacing w:line="240" w:lineRule="auto"/>
    </w:pPr>
    <w:rPr>
      <w:sz w:val="20"/>
      <w:szCs w:val="20"/>
    </w:rPr>
  </w:style>
  <w:style w:type="character" w:customStyle="1" w:styleId="aa">
    <w:name w:val="批注文字 字符"/>
    <w:basedOn w:val="a0"/>
    <w:link w:val="a9"/>
    <w:uiPriority w:val="99"/>
    <w:rPr>
      <w:rFonts w:asciiTheme="minorHAnsi" w:eastAsiaTheme="minorEastAsia" w:hAnsiTheme="minorHAnsi" w:cstheme="minorBidi"/>
      <w:kern w:val="2"/>
    </w:rPr>
  </w:style>
  <w:style w:type="paragraph" w:styleId="ab">
    <w:name w:val="annotation subject"/>
    <w:basedOn w:val="a9"/>
    <w:next w:val="a9"/>
    <w:link w:val="ac"/>
    <w:uiPriority w:val="99"/>
    <w:semiHidden/>
    <w:unhideWhenUsed/>
    <w:rPr>
      <w:b/>
      <w:bCs/>
    </w:rPr>
  </w:style>
  <w:style w:type="character" w:customStyle="1" w:styleId="ac">
    <w:name w:val="批注主题 字符"/>
    <w:basedOn w:val="aa"/>
    <w:link w:val="ab"/>
    <w:uiPriority w:val="99"/>
    <w:semiHidden/>
    <w:rPr>
      <w:rFonts w:asciiTheme="minorHAnsi" w:eastAsiaTheme="minorEastAsia" w:hAnsiTheme="minorHAnsi" w:cstheme="minorBidi"/>
      <w:b/>
      <w:bCs/>
      <w:kern w:val="2"/>
    </w:rPr>
  </w:style>
  <w:style w:type="paragraph" w:styleId="ad">
    <w:name w:val="Revision"/>
    <w:hidden/>
    <w:uiPriority w:val="99"/>
    <w:semiHidden/>
    <w:rPr>
      <w:rFonts w:asciiTheme="minorHAnsi" w:eastAsiaTheme="minorEastAsia" w:hAnsiTheme="minorHAnsi" w:cstheme="minorBidi"/>
      <w:kern w:val="2"/>
      <w:sz w:val="21"/>
      <w:szCs w:val="22"/>
    </w:rPr>
  </w:style>
  <w:style w:type="paragraph" w:styleId="ae">
    <w:name w:val="Balloon Text"/>
    <w:basedOn w:val="a"/>
    <w:link w:val="af"/>
    <w:uiPriority w:val="99"/>
    <w:semiHidden/>
    <w:unhideWhenUsed/>
    <w:pPr>
      <w:spacing w:after="0" w:line="240" w:lineRule="auto"/>
    </w:pPr>
    <w:rPr>
      <w:sz w:val="18"/>
      <w:szCs w:val="18"/>
    </w:rPr>
  </w:style>
  <w:style w:type="character" w:customStyle="1" w:styleId="af">
    <w:name w:val="批注框文本 字符"/>
    <w:basedOn w:val="a0"/>
    <w:link w:val="ae"/>
    <w:uiPriority w:val="99"/>
    <w:semiHidden/>
    <w:rPr>
      <w:rFonts w:asciiTheme="minorHAnsi" w:eastAsiaTheme="minorEastAsia" w:hAnsiTheme="minorHAnsi" w:cstheme="minorBidi"/>
      <w:kern w:val="2"/>
      <w:sz w:val="18"/>
      <w:szCs w:val="18"/>
    </w:rPr>
  </w:style>
  <w:style w:type="character" w:styleId="af0">
    <w:name w:val="line number"/>
    <w:basedOn w:val="a0"/>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771C7-18C1-4235-A388-2E6EBB49F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5</Pages>
  <Words>472</Words>
  <Characters>2824</Characters>
  <Application>Microsoft Office Word</Application>
  <DocSecurity>0</DocSecurity>
  <Lines>58</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Yujie</dc:creator>
  <cp:lastModifiedBy>Yujie</cp:lastModifiedBy>
  <cp:revision>64</cp:revision>
  <dcterms:created xsi:type="dcterms:W3CDTF">2023-12-15T07:56:00Z</dcterms:created>
  <dcterms:modified xsi:type="dcterms:W3CDTF">2024-05-23T01:19:00Z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31ba92f036fe02802baecc5dda293fa073e1beffdbf4052344072ffeb2e7f6b9</vt:lpwstr>
  </property>
  <property fmtid="{D5CDD505-2E9C-101B-9397-08002B2CF9AE}" pid="3" name="KSOProductBuildVer">
    <vt:lpwstr>2052-12.1.0.16399</vt:lpwstr>
  </property>
  <property fmtid="{D5CDD505-2E9C-101B-9397-08002B2CF9AE}" pid="4" name="ICV">
    <vt:lpwstr>AA003884DE86407CB2305936A41AE271_12</vt:lpwstr>
  </property>
  <property fmtid="{D5CDD505-2E9C-101B-9397-08002B2CF9AE}" pid="5" name="ContentRemapped">
    <vt:lpwstr>true</vt:lpwstr>
  </property>
</Properties>
</file>